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72" w:rsidRPr="004909C1" w:rsidRDefault="00955F72" w:rsidP="003A2B8E">
      <w:pPr>
        <w:jc w:val="center"/>
        <w:rPr>
          <w:rFonts w:ascii="Times New Roman" w:hAnsi="Times New Roman"/>
          <w:lang w:val="nl-NL"/>
        </w:rPr>
      </w:pPr>
      <w:r w:rsidRPr="004909C1">
        <w:rPr>
          <w:rFonts w:ascii="Times New Roman" w:hAnsi="Times New Roman"/>
          <w:b/>
          <w:lang w:val="nl-NL"/>
        </w:rPr>
        <w:t>Phần 2. YÊU CẦU VỀ KỸ THUẬT</w:t>
      </w:r>
    </w:p>
    <w:p w:rsidR="00955F72" w:rsidRPr="004909C1" w:rsidRDefault="00955F72" w:rsidP="003A2B8E">
      <w:pPr>
        <w:widowControl w:val="0"/>
        <w:tabs>
          <w:tab w:val="left" w:pos="0"/>
          <w:tab w:val="left" w:pos="851"/>
        </w:tabs>
        <w:autoSpaceDE w:val="0"/>
        <w:autoSpaceDN w:val="0"/>
        <w:jc w:val="center"/>
        <w:rPr>
          <w:rFonts w:ascii="Times New Roman" w:hAnsi="Times New Roman"/>
          <w:b/>
          <w:lang w:val="vi-VN"/>
        </w:rPr>
      </w:pPr>
      <w:r w:rsidRPr="004909C1">
        <w:rPr>
          <w:rFonts w:ascii="Times New Roman" w:hAnsi="Times New Roman"/>
          <w:b/>
          <w:lang w:val="vi-VN"/>
        </w:rPr>
        <w:t>Chương V. YÊU CẦU VỀ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sv-SE"/>
        </w:rPr>
      </w:pPr>
      <w:r w:rsidRPr="004909C1">
        <w:rPr>
          <w:rFonts w:ascii="Times New Roman" w:hAnsi="Times New Roman"/>
          <w:b/>
          <w:szCs w:val="26"/>
          <w:lang w:val="sv-SE"/>
        </w:rPr>
        <w:t>I. Giới thiệu về công trình và gói thầu.</w:t>
      </w:r>
    </w:p>
    <w:p w:rsidR="00955F72" w:rsidRPr="004909C1" w:rsidRDefault="00955F72" w:rsidP="00435CEA">
      <w:pPr>
        <w:tabs>
          <w:tab w:val="left" w:pos="1134"/>
        </w:tabs>
        <w:spacing w:before="60" w:after="60" w:line="320" w:lineRule="exact"/>
        <w:ind w:firstLine="624"/>
        <w:jc w:val="both"/>
        <w:rPr>
          <w:rFonts w:ascii="Times New Roman" w:hAnsi="Times New Roman"/>
          <w:szCs w:val="26"/>
          <w:lang w:val="nl-NL"/>
        </w:rPr>
      </w:pPr>
      <w:r w:rsidRPr="004909C1">
        <w:rPr>
          <w:rFonts w:ascii="Times New Roman" w:hAnsi="Times New Roman"/>
          <w:b/>
          <w:szCs w:val="26"/>
          <w:lang w:val="nl-NL"/>
        </w:rPr>
        <w:t xml:space="preserve">1. Tên công trình: </w:t>
      </w:r>
      <w:r w:rsidR="00911AAF" w:rsidRPr="00911AAF">
        <w:rPr>
          <w:rFonts w:ascii="Times New Roman" w:hAnsi="Times New Roman"/>
        </w:rPr>
        <w:t>Nâng cấp, cải tạo vỉa hè từ trụ sở Công an ph</w:t>
      </w:r>
      <w:r w:rsidR="00911AAF" w:rsidRPr="00911AAF">
        <w:rPr>
          <w:rFonts w:ascii="Times New Roman" w:hAnsi="Times New Roman" w:hint="eastAsia"/>
        </w:rPr>
        <w:t>ư</w:t>
      </w:r>
      <w:r w:rsidR="00911AAF" w:rsidRPr="00911AAF">
        <w:rPr>
          <w:rFonts w:ascii="Times New Roman" w:hAnsi="Times New Roman"/>
        </w:rPr>
        <w:t xml:space="preserve">ờng Hiệp Hòa </w:t>
      </w:r>
      <w:r w:rsidR="00911AAF" w:rsidRPr="00911AAF">
        <w:rPr>
          <w:rFonts w:ascii="Times New Roman" w:hAnsi="Times New Roman" w:hint="eastAsia"/>
        </w:rPr>
        <w:t>đ</w:t>
      </w:r>
      <w:r w:rsidR="00911AAF" w:rsidRPr="00911AAF">
        <w:rPr>
          <w:rFonts w:ascii="Times New Roman" w:hAnsi="Times New Roman"/>
        </w:rPr>
        <w:t xml:space="preserve">ến giáp </w:t>
      </w:r>
      <w:r w:rsidR="00911AAF" w:rsidRPr="00911AAF">
        <w:rPr>
          <w:rFonts w:ascii="Times New Roman" w:hAnsi="Times New Roman" w:hint="eastAsia"/>
        </w:rPr>
        <w:t>đư</w:t>
      </w:r>
      <w:r w:rsidR="00911AAF" w:rsidRPr="00911AAF">
        <w:rPr>
          <w:rFonts w:ascii="Times New Roman" w:hAnsi="Times New Roman"/>
        </w:rPr>
        <w:t xml:space="preserve">ờng vào Tiểu </w:t>
      </w:r>
      <w:r w:rsidR="00911AAF" w:rsidRPr="00911AAF">
        <w:rPr>
          <w:rFonts w:ascii="Times New Roman" w:hAnsi="Times New Roman" w:hint="eastAsia"/>
        </w:rPr>
        <w:t>đ</w:t>
      </w:r>
      <w:r w:rsidR="00911AAF" w:rsidRPr="00911AAF">
        <w:rPr>
          <w:rFonts w:ascii="Times New Roman" w:hAnsi="Times New Roman"/>
        </w:rPr>
        <w:t>oàn 1047, ph</w:t>
      </w:r>
      <w:r w:rsidR="00911AAF" w:rsidRPr="00911AAF">
        <w:rPr>
          <w:rFonts w:ascii="Times New Roman" w:hAnsi="Times New Roman" w:hint="eastAsia"/>
        </w:rPr>
        <w:t>ư</w:t>
      </w:r>
      <w:r w:rsidR="00911AAF" w:rsidRPr="00911AAF">
        <w:rPr>
          <w:rFonts w:ascii="Times New Roman" w:hAnsi="Times New Roman"/>
        </w:rPr>
        <w:t>ờng Hiệp Hòa, tỉnh Quảng Ninh</w:t>
      </w:r>
      <w:r w:rsidR="004B1DE7" w:rsidRPr="00F43ACB">
        <w:rPr>
          <w:rFonts w:ascii="Times New Roman" w:hAnsi="Times New Roman"/>
        </w:rPr>
        <w:t>.</w:t>
      </w:r>
    </w:p>
    <w:p w:rsidR="00895615"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2. Người quyết định đầu tư: </w:t>
      </w:r>
      <w:r w:rsidR="004909C1" w:rsidRPr="004909C1">
        <w:rPr>
          <w:rFonts w:ascii="Times New Roman" w:hAnsi="Times New Roman"/>
        </w:rPr>
        <w:t xml:space="preserve">UBND phường </w:t>
      </w:r>
      <w:r w:rsidR="00E579A7">
        <w:rPr>
          <w:rFonts w:ascii="Times New Roman" w:hAnsi="Times New Roman"/>
        </w:rPr>
        <w:t>Hiệp Hoà</w:t>
      </w:r>
      <w:r w:rsidRPr="004909C1">
        <w:rPr>
          <w:rFonts w:ascii="Times New Roman" w:hAnsi="Times New Roman"/>
          <w:b/>
          <w:szCs w:val="26"/>
          <w:lang w:val="nl-NL"/>
        </w:rPr>
        <w:t>.</w:t>
      </w:r>
    </w:p>
    <w:p w:rsidR="00955F72"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3. Chủ đầu tư: </w:t>
      </w:r>
      <w:r w:rsidR="009A5155">
        <w:rPr>
          <w:rFonts w:ascii="Times New Roman" w:hAnsi="Times New Roman"/>
        </w:rPr>
        <w:t xml:space="preserve">Trung tâm cung ứng dịch vụ </w:t>
      </w:r>
      <w:r w:rsidR="004909C1" w:rsidRPr="004909C1">
        <w:rPr>
          <w:rFonts w:ascii="Times New Roman" w:hAnsi="Times New Roman"/>
        </w:rPr>
        <w:t xml:space="preserve">phường </w:t>
      </w:r>
      <w:r w:rsidR="00E579A7">
        <w:rPr>
          <w:rFonts w:ascii="Times New Roman" w:hAnsi="Times New Roman"/>
        </w:rPr>
        <w:t>Hiệp Hoà</w:t>
      </w:r>
      <w:r w:rsidRPr="004909C1">
        <w:rPr>
          <w:rFonts w:ascii="Times New Roman" w:hAnsi="Times New Roman"/>
          <w:b/>
          <w:szCs w:val="26"/>
          <w:lang w:val="nl-NL"/>
        </w:rPr>
        <w:t>.</w:t>
      </w:r>
    </w:p>
    <w:p w:rsidR="001A2E8F" w:rsidRDefault="00C6282B"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4.</w:t>
      </w:r>
      <w:r w:rsidR="001A2E8F" w:rsidRPr="004909C1">
        <w:rPr>
          <w:rFonts w:ascii="Times New Roman" w:hAnsi="Times New Roman"/>
          <w:b/>
          <w:szCs w:val="26"/>
          <w:lang w:val="nl-NL"/>
        </w:rPr>
        <w:t xml:space="preserve"> Quy mô đầu tư, giải pháp thiết kế.</w:t>
      </w:r>
    </w:p>
    <w:p w:rsidR="00062985" w:rsidRPr="004909C1" w:rsidRDefault="005236F7" w:rsidP="0047516F">
      <w:pPr>
        <w:autoSpaceDE w:val="0"/>
        <w:autoSpaceDN w:val="0"/>
        <w:adjustRightInd w:val="0"/>
        <w:spacing w:after="120" w:line="276" w:lineRule="auto"/>
        <w:ind w:firstLine="630"/>
        <w:jc w:val="center"/>
        <w:rPr>
          <w:rFonts w:ascii="Times New Roman" w:hAnsi="Times New Roman"/>
          <w:spacing w:val="-8"/>
          <w:lang w:val="it-IT"/>
        </w:rPr>
      </w:pPr>
      <w:r w:rsidRPr="004909C1">
        <w:rPr>
          <w:rFonts w:ascii="Times New Roman" w:hAnsi="Times New Roman"/>
          <w:spacing w:val="-8"/>
          <w:lang w:val="it-IT"/>
        </w:rPr>
        <w:t xml:space="preserve"> </w:t>
      </w:r>
      <w:r w:rsidR="00062985" w:rsidRPr="004909C1">
        <w:rPr>
          <w:rFonts w:ascii="Times New Roman" w:hAnsi="Times New Roman"/>
          <w:spacing w:val="-8"/>
          <w:lang w:val="it-IT"/>
        </w:rPr>
        <w:t>(Theo hồ sơ thiết kế được phê duyệt đính kèm)</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5</w:t>
      </w:r>
      <w:r w:rsidR="00955F72" w:rsidRPr="00184C01">
        <w:rPr>
          <w:rFonts w:ascii="Times New Roman" w:hAnsi="Times New Roman"/>
          <w:szCs w:val="26"/>
          <w:lang w:val="en-GB"/>
        </w:rPr>
        <w:t xml:space="preserve">. Loại, cấp công trình: Công trình </w:t>
      </w:r>
      <w:r w:rsidR="006F09C8">
        <w:rPr>
          <w:rFonts w:ascii="Times New Roman" w:hAnsi="Times New Roman"/>
          <w:szCs w:val="26"/>
          <w:lang w:val="en-GB"/>
        </w:rPr>
        <w:t xml:space="preserve">hạ tầng kỹ thuật cấp </w:t>
      </w:r>
      <w:r w:rsidR="00F04216">
        <w:rPr>
          <w:rFonts w:ascii="Times New Roman" w:hAnsi="Times New Roman"/>
          <w:szCs w:val="26"/>
          <w:lang w:val="en-GB"/>
        </w:rPr>
        <w:t>IV,</w:t>
      </w:r>
      <w:r w:rsidR="00955F72" w:rsidRPr="00184C01">
        <w:rPr>
          <w:rFonts w:ascii="Times New Roman" w:hAnsi="Times New Roman"/>
          <w:szCs w:val="26"/>
          <w:lang w:val="en-GB"/>
        </w:rPr>
        <w:t xml:space="preserve"> nhóm C.</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6</w:t>
      </w:r>
      <w:r w:rsidR="00955F72" w:rsidRPr="00184C01">
        <w:rPr>
          <w:rFonts w:ascii="Times New Roman" w:hAnsi="Times New Roman"/>
          <w:szCs w:val="26"/>
          <w:lang w:val="en-GB"/>
        </w:rPr>
        <w:t xml:space="preserve">. Địa điểm xây dựng: </w:t>
      </w:r>
      <w:r w:rsidR="007152B2" w:rsidRPr="00184C01">
        <w:rPr>
          <w:rFonts w:ascii="Times New Roman" w:hAnsi="Times New Roman"/>
          <w:szCs w:val="26"/>
          <w:lang w:val="en-GB"/>
        </w:rPr>
        <w:t xml:space="preserve">Phường </w:t>
      </w:r>
      <w:r w:rsidR="00E579A7" w:rsidRPr="00184C01">
        <w:rPr>
          <w:rFonts w:ascii="Times New Roman" w:hAnsi="Times New Roman"/>
          <w:szCs w:val="26"/>
          <w:lang w:val="en-GB"/>
        </w:rPr>
        <w:t>Hiệp Hoà</w:t>
      </w:r>
      <w:r w:rsidR="00A7752F" w:rsidRPr="00184C01">
        <w:rPr>
          <w:rFonts w:ascii="Times New Roman" w:hAnsi="Times New Roman"/>
          <w:szCs w:val="26"/>
          <w:lang w:val="en-GB"/>
        </w:rPr>
        <w:t>, tỉnh Quảng Ninh.</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7</w:t>
      </w:r>
      <w:r w:rsidR="00955F72" w:rsidRPr="00184C01">
        <w:rPr>
          <w:rFonts w:ascii="Times New Roman" w:hAnsi="Times New Roman"/>
          <w:szCs w:val="26"/>
          <w:lang w:val="en-GB"/>
        </w:rPr>
        <w:t xml:space="preserve">. Thời hạn hoàn thành: </w:t>
      </w:r>
      <w:r w:rsidR="005236F7">
        <w:rPr>
          <w:rFonts w:ascii="Times New Roman" w:hAnsi="Times New Roman"/>
          <w:szCs w:val="26"/>
          <w:lang w:val="en-GB"/>
        </w:rPr>
        <w:t>9</w:t>
      </w:r>
      <w:r w:rsidR="00130F88" w:rsidRPr="00184C01">
        <w:rPr>
          <w:rFonts w:ascii="Times New Roman" w:hAnsi="Times New Roman"/>
          <w:szCs w:val="26"/>
          <w:lang w:val="en-GB"/>
        </w:rPr>
        <w:t>0 ngày</w:t>
      </w:r>
      <w:r w:rsidR="00955F72" w:rsidRPr="00184C01">
        <w:rPr>
          <w:rFonts w:ascii="Times New Roman" w:hAnsi="Times New Roman"/>
          <w:szCs w:val="26"/>
          <w:lang w:val="en-GB"/>
        </w:rPr>
        <w:t>;</w:t>
      </w:r>
    </w:p>
    <w:p w:rsidR="00955F72" w:rsidRPr="00184C0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II. Yêu cầu về tiến độ thực hiện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 xml:space="preserve">1. Thời hạn thi công gói thầu tối đa là </w:t>
      </w:r>
      <w:r w:rsidR="005236F7">
        <w:rPr>
          <w:rFonts w:ascii="Times New Roman" w:hAnsi="Times New Roman"/>
          <w:szCs w:val="26"/>
          <w:lang w:val="en-GB"/>
        </w:rPr>
        <w:t>9</w:t>
      </w:r>
      <w:r w:rsidR="005B4D33" w:rsidRPr="00184C01">
        <w:rPr>
          <w:rFonts w:ascii="Times New Roman" w:hAnsi="Times New Roman"/>
          <w:szCs w:val="26"/>
          <w:lang w:val="en-GB"/>
        </w:rPr>
        <w:t>0</w:t>
      </w:r>
      <w:r w:rsidRPr="00184C01">
        <w:rPr>
          <w:rFonts w:ascii="Times New Roman" w:hAnsi="Times New Roman"/>
          <w:szCs w:val="26"/>
          <w:lang w:val="en-GB"/>
        </w:rPr>
        <w:t xml:space="preserve"> ngày.</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2. Thời gian thi công tính từ ngày khởi công theo yêu cầu của Chủ đầu tư cho đến ngày hoàn thành, nghiệm thu và bàn giao công trình.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3. Khởi công công trình: Nhà thầu phải khởi công chậm nhất </w:t>
      </w:r>
      <w:r w:rsidR="00603E83" w:rsidRPr="004909C1">
        <w:rPr>
          <w:rFonts w:ascii="Times New Roman" w:hAnsi="Times New Roman"/>
          <w:szCs w:val="26"/>
          <w:lang w:val="en-GB"/>
        </w:rPr>
        <w:t>trong khoảng 0</w:t>
      </w:r>
      <w:r w:rsidR="00BE2A68" w:rsidRPr="004909C1">
        <w:rPr>
          <w:rFonts w:ascii="Times New Roman" w:hAnsi="Times New Roman"/>
          <w:szCs w:val="26"/>
          <w:lang w:val="en-GB"/>
        </w:rPr>
        <w:t>3</w:t>
      </w:r>
      <w:r w:rsidRPr="004909C1">
        <w:rPr>
          <w:rFonts w:ascii="Times New Roman" w:hAnsi="Times New Roman"/>
          <w:szCs w:val="26"/>
          <w:lang w:val="en-GB"/>
        </w:rPr>
        <w:t xml:space="preserve"> ngày sau khi Chủ đầu tư thông báo yêu cầu khởi công.</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4. Tiến độ thi công xây lắp công trình là một phần của Hồ sơ </w:t>
      </w:r>
      <w:r w:rsidR="001E302B" w:rsidRPr="004909C1">
        <w:rPr>
          <w:rFonts w:ascii="Times New Roman" w:hAnsi="Times New Roman"/>
          <w:szCs w:val="26"/>
          <w:lang w:val="en-GB"/>
        </w:rPr>
        <w:t>dự thầu</w:t>
      </w:r>
      <w:r w:rsidRPr="004909C1">
        <w:rPr>
          <w:rFonts w:ascii="Times New Roman" w:hAnsi="Times New Roman"/>
          <w:szCs w:val="26"/>
          <w:lang w:val="en-GB"/>
        </w:rPr>
        <w:t xml:space="preserve">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5. Nhà thầu phải nộp theo HSDT bảng tiến độ thi công bao gồm cả Biểu đồ nhân lực để hoàn tất công trình theo tiến độ thi công mà BMT dự kiến cho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6. Trong tiến độ cần nêu rõ và cụ thể cho từng hạng mục, đơn vị của tiến độ là ngày. Có thể đề xuất những tiến độ thi công cụ thể giúp cho gói thầu hoàn thành ngắn hơn thời gian dự kiến.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8. Sau khi </w:t>
      </w:r>
      <w:r w:rsidR="00AA0038" w:rsidRPr="004909C1">
        <w:rPr>
          <w:rFonts w:ascii="Times New Roman" w:hAnsi="Times New Roman"/>
          <w:szCs w:val="26"/>
          <w:lang w:val="en-GB"/>
        </w:rPr>
        <w:t>ký</w:t>
      </w:r>
      <w:r w:rsidRPr="004909C1">
        <w:rPr>
          <w:rFonts w:ascii="Times New Roman" w:hAnsi="Times New Roman"/>
          <w:szCs w:val="26"/>
          <w:lang w:val="en-GB"/>
        </w:rPr>
        <w:t xml:space="preserve">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III. Yêu cầu về kỹ thuật/chỉ dẫn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1. Tiêu chuẩn, quy chuẩn áp dụng thi công, nghiệm thu công trình;</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 xml:space="preserve">a) Các quy chuẩn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CellMar>
          <w:left w:w="0" w:type="dxa"/>
          <w:right w:w="0" w:type="dxa"/>
        </w:tblCellMar>
        <w:tblLook w:val="0000" w:firstRow="0" w:lastRow="0" w:firstColumn="0" w:lastColumn="0" w:noHBand="0" w:noVBand="0"/>
      </w:tblPr>
      <w:tblGrid>
        <w:gridCol w:w="737"/>
        <w:gridCol w:w="2004"/>
        <w:gridCol w:w="3281"/>
        <w:gridCol w:w="1345"/>
        <w:gridCol w:w="2546"/>
      </w:tblGrid>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STT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Ký hiệu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Tên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Cơ quan ban hành</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 xml:space="preserve">Số văn bản, </w:t>
            </w:r>
            <w:r w:rsidRPr="004909C1">
              <w:rPr>
                <w:rFonts w:ascii="Times New Roman" w:eastAsia="Arial Unicode MS" w:hAnsi="Times New Roman"/>
                <w:sz w:val="26"/>
                <w:szCs w:val="26"/>
                <w:lang w:val="nl-NL"/>
              </w:rPr>
              <w:br/>
            </w:r>
            <w:r w:rsidRPr="004909C1">
              <w:rPr>
                <w:rFonts w:ascii="Times New Roman" w:eastAsia="Arial Unicode MS" w:hAnsi="Times New Roman"/>
                <w:b/>
                <w:bCs/>
                <w:sz w:val="26"/>
                <w:szCs w:val="26"/>
                <w:lang w:val="nl-NL"/>
              </w:rPr>
              <w:t>ngày ban hành</w:t>
            </w:r>
          </w:p>
        </w:tc>
      </w:tr>
      <w:tr w:rsidR="004909C1" w:rsidRPr="004909C1" w:rsidTr="00B90F11">
        <w:trPr>
          <w:trHeight w:val="1148"/>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lastRenderedPageBreak/>
              <w:t>1</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16:2014/BXD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sản phẩm, hàng hóa vật liệu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15/20141/TT-BXD ngày 15/09/2014</w:t>
            </w:r>
          </w:p>
        </w:tc>
      </w:tr>
      <w:tr w:rsidR="004909C1" w:rsidRPr="004909C1" w:rsidTr="00B90F11">
        <w:trPr>
          <w:trHeight w:val="927"/>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2</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w:t>
            </w:r>
          </w:p>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07:2016-BXD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công trình hạ tầng kỹ thuật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01/2016/TT-BXD ngày 01/02/2016</w:t>
            </w:r>
          </w:p>
        </w:tc>
      </w:tr>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3</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18:2014/BXD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an toàn trong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14/2014/TT-BXD</w:t>
            </w:r>
            <w:r w:rsidRPr="004909C1">
              <w:rPr>
                <w:rFonts w:ascii="Times New Roman" w:hAnsi="Times New Roman"/>
                <w:sz w:val="26"/>
                <w:szCs w:val="26"/>
                <w:lang w:val="nl-NL" w:eastAsia="en-GB"/>
              </w:rPr>
              <w:br/>
              <w:t>05/09/2014</w:t>
            </w:r>
          </w:p>
        </w:tc>
      </w:tr>
    </w:tbl>
    <w:p w:rsidR="00955F72" w:rsidRDefault="00955F72" w:rsidP="00990E46">
      <w:pPr>
        <w:spacing w:before="120" w:after="120"/>
        <w:jc w:val="both"/>
        <w:rPr>
          <w:rFonts w:ascii="Times New Roman" w:hAnsi="Times New Roman"/>
          <w:b/>
          <w:szCs w:val="26"/>
          <w:lang w:val="nl-NL"/>
        </w:rPr>
      </w:pPr>
      <w:r w:rsidRPr="004909C1">
        <w:rPr>
          <w:rFonts w:ascii="Times New Roman" w:hAnsi="Times New Roman"/>
          <w:b/>
          <w:szCs w:val="26"/>
          <w:lang w:val="nl-NL"/>
        </w:rPr>
        <w:t xml:space="preserve">b) Các tiêu chuẩn </w:t>
      </w:r>
    </w:p>
    <w:tbl>
      <w:tblPr>
        <w:tblStyle w:val="TableGrid"/>
        <w:tblW w:w="0" w:type="auto"/>
        <w:jc w:val="center"/>
        <w:tblLook w:val="04A0" w:firstRow="1" w:lastRow="0" w:firstColumn="1" w:lastColumn="0" w:noHBand="0" w:noVBand="1"/>
      </w:tblPr>
      <w:tblGrid>
        <w:gridCol w:w="746"/>
        <w:gridCol w:w="5670"/>
        <w:gridCol w:w="2687"/>
      </w:tblGrid>
      <w:tr w:rsidR="004909C1" w:rsidRPr="004909C1" w:rsidTr="004E7E9B">
        <w:trPr>
          <w:trHeight w:val="643"/>
          <w:jc w:val="center"/>
        </w:trPr>
        <w:tc>
          <w:tcPr>
            <w:tcW w:w="704"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STT</w:t>
            </w:r>
          </w:p>
        </w:tc>
        <w:tc>
          <w:tcPr>
            <w:tcW w:w="5670"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Tên tiêu chuẩn, quy chuẩn áp dụng</w:t>
            </w:r>
          </w:p>
        </w:tc>
        <w:tc>
          <w:tcPr>
            <w:tcW w:w="2687"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Mã hiệu</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Quy chuẩn xây dựng Việt Nam</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QCXDVN 01:2021/BXD</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2</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rPr>
              <w:t>Quy chuẩn Kỹ thuật Quốc Gia Các công trình hạ tầng kỹ thuật</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rPr>
              <w:t>QCVN 07:2023/BXD</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3</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Tải trọng và tác động. Tiêu chuẩn thiết kế</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2737-2023</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4</w:t>
            </w:r>
          </w:p>
        </w:tc>
        <w:tc>
          <w:tcPr>
            <w:tcW w:w="5670" w:type="dxa"/>
            <w:vAlign w:val="center"/>
          </w:tcPr>
          <w:p w:rsidR="004909C1" w:rsidRPr="004909C1" w:rsidRDefault="004909C1" w:rsidP="004E7E9B">
            <w:pPr>
              <w:spacing w:line="276" w:lineRule="auto"/>
              <w:rPr>
                <w:rFonts w:ascii="Times New Roman" w:hAnsi="Times New Roman"/>
                <w:color w:val="000000"/>
              </w:rPr>
            </w:pPr>
            <w:r w:rsidRPr="004909C1">
              <w:rPr>
                <w:rFonts w:ascii="Times New Roman" w:hAnsi="Times New Roman"/>
              </w:rPr>
              <w:t>Thiết kế kết cấu bê tông và bê tông cốt thép</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5574:2018</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5</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bCs/>
                <w:color w:val="000000"/>
              </w:rPr>
              <w:t>Đường ô tô – Yêu cầu thiết kế</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4054:2005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rPr>
            </w:pPr>
            <w:r w:rsidRPr="004909C1">
              <w:rPr>
                <w:rFonts w:ascii="Times New Roman" w:hAnsi="Times New Roman"/>
                <w:bCs/>
              </w:rPr>
              <w:t>6</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Quy phạm an toàn lưới điện trong xây dựng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4086:1985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7</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Quy phạm nối đất và nối không các thiết bị điện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4756:1989</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8</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Tiêu chuẩn về bu lông, vít, vít cấy và đai ốc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1916:1995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9</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Tiêu chuẩn quốc gia Từ vựng chiếu sáng quốc tế</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 xml:space="preserve">TCVN 12236:2018 </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10</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Tiêu chuẩn Module LED dùng cho chiếu sáng thông dụng - Quy định về an toàn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8781-2015</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11</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rPr>
              <w:t>Quy chuẩn kỹ thuật quốc gia về sản phẩm chiếu sáng bằng công nghệ LED</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rPr>
              <w:t>QCVN 19:2019/BKHCN</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12</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Khảo sát cho xây dựng – nguyên tắc cơ bản</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4419:1987</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13</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Công tác trắc địa trong xây dựng công trình – yêu cầu chung</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9398:2012</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14</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Kỹ thuật đo vẽ và xử lý số liệu GPS trong trắc địa công trình</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9401:2012</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15</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Quy phạm đo vẽ bản đồ địa hình tỉ lệ 1:500; 1:1000; 1:2000; 1:5000; (phần ngoài trời)</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r w:rsidRPr="004909C1">
              <w:rPr>
                <w:rFonts w:ascii="Times New Roman" w:hAnsi="Times New Roman"/>
                <w:color w:val="000000"/>
              </w:rPr>
              <w:t>96TCN 43-90</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16</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bCs/>
                <w:color w:val="000000"/>
              </w:rPr>
              <w:t>Quy phạm đo thuỷ chuẩn hạng I, II, III, IV</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lastRenderedPageBreak/>
              <w:t>17</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Tiêu chuẩn quốc gia Thoát nước - mạng lưới và công trình bên ngoài - Tiêu chuẩn thiết kế</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r w:rsidRPr="004909C1">
              <w:rPr>
                <w:rFonts w:ascii="Times New Roman" w:hAnsi="Times New Roman"/>
                <w:color w:val="000000"/>
              </w:rPr>
              <w:t>TCVN 7957:2023</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18</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Các tiêu chuẩn, quy phạm xây dựng và các tài liệu chuyên nghành khác</w:t>
            </w:r>
          </w:p>
        </w:tc>
        <w:tc>
          <w:tcPr>
            <w:tcW w:w="2687" w:type="dxa"/>
            <w:vAlign w:val="center"/>
          </w:tcPr>
          <w:p w:rsidR="004909C1" w:rsidRPr="004909C1" w:rsidRDefault="004909C1" w:rsidP="004E7E9B">
            <w:pPr>
              <w:spacing w:before="60" w:line="276" w:lineRule="auto"/>
              <w:rPr>
                <w:rFonts w:ascii="Times New Roman" w:hAnsi="Times New Roman"/>
                <w:color w:val="000000"/>
              </w:rPr>
            </w:pPr>
          </w:p>
        </w:tc>
      </w:tr>
    </w:tbl>
    <w:p w:rsidR="00811828" w:rsidRPr="004909C1" w:rsidRDefault="00811828" w:rsidP="00811828">
      <w:pPr>
        <w:pStyle w:val="BodyTextIndent"/>
        <w:spacing w:after="0"/>
        <w:ind w:left="0" w:firstLine="720"/>
        <w:jc w:val="both"/>
        <w:rPr>
          <w:sz w:val="28"/>
          <w:szCs w:val="28"/>
          <w:lang w:val="es-ES"/>
        </w:rPr>
      </w:pPr>
      <w:r w:rsidRPr="004909C1">
        <w:rPr>
          <w:sz w:val="28"/>
          <w:szCs w:val="28"/>
          <w:lang w:val="es-ES"/>
        </w:rPr>
        <w:t>Và một số tiêu chuẩn khác theo quy định hiện hành.</w:t>
      </w:r>
    </w:p>
    <w:p w:rsidR="00955F72" w:rsidRPr="004909C1" w:rsidRDefault="00955F72" w:rsidP="00990E46">
      <w:pPr>
        <w:tabs>
          <w:tab w:val="left" w:pos="700"/>
        </w:tabs>
        <w:spacing w:after="120"/>
        <w:ind w:firstLine="720"/>
        <w:rPr>
          <w:rFonts w:ascii="Times New Roman" w:hAnsi="Times New Roman"/>
          <w:b/>
          <w:bCs/>
          <w:szCs w:val="26"/>
          <w:lang w:val="nl-NL"/>
        </w:rPr>
      </w:pPr>
      <w:r w:rsidRPr="004909C1">
        <w:rPr>
          <w:rFonts w:ascii="Times New Roman" w:hAnsi="Times New Roman"/>
          <w:b/>
          <w:bCs/>
          <w:szCs w:val="26"/>
          <w:lang w:val="nl-NL"/>
        </w:rPr>
        <w:t>2. Yêu cầu về tổ chức kỹ thuật thi công, giám sát:</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tuân thủ sự quản lý, giám sát chất lượng thi công của đại diện Chủ đầu tư, giám sát A và Chủ nhiệm đồ án (hoặc người được uỷ quyền) theo qui chế hiện hành của Nhà nước.</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xml:space="preserve">- Trong trường hợp đại diện Chủ đầu tư, giám sát A hay Chủ nhiệm đồ án thiết kế có các chỉ dẫn </w:t>
      </w:r>
      <w:bookmarkStart w:id="0" w:name="VNS001B"/>
      <w:r w:rsidRPr="004909C1">
        <w:rPr>
          <w:rFonts w:ascii="Times New Roman" w:hAnsi="Times New Roman"/>
          <w:szCs w:val="26"/>
        </w:rPr>
        <w:t>kỹ thuật</w:t>
      </w:r>
      <w:bookmarkEnd w:id="0"/>
      <w:r w:rsidRPr="004909C1">
        <w:rPr>
          <w:rFonts w:ascii="Times New Roman" w:hAnsi="Times New Roman"/>
          <w:szCs w:val="26"/>
        </w:rPr>
        <w:t xml:space="preserve"> sai với qui phạm hiện hành, thì người điều hành thi công của Nhà thầu, phải có văn bản phản ánh với họ những ý kiến của mình, gửi cho Chủ</w:t>
      </w:r>
      <w:r w:rsidR="00BE2A68" w:rsidRPr="004909C1">
        <w:rPr>
          <w:rFonts w:ascii="Times New Roman" w:hAnsi="Times New Roman"/>
          <w:szCs w:val="26"/>
        </w:rPr>
        <w:t xml:space="preserve"> đầu tư và đại diện Chủ đầu tư </w:t>
      </w:r>
      <w:r w:rsidRPr="004909C1">
        <w:rPr>
          <w:rFonts w:ascii="Times New Roman" w:hAnsi="Times New Roman"/>
          <w:szCs w:val="26"/>
        </w:rPr>
        <w:t>một bản trước khi thực hiện.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chỉ thực hiện những chỉ dẫn không đúng sau khi đã gửi văn bản cho Chủ đầu tư và đại diện Chủ đầu tư sau 24 giờ mà không được chấp thuận.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xml:space="preserve">-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w:t>
      </w:r>
      <w:r w:rsidRPr="004909C1">
        <w:rPr>
          <w:rFonts w:ascii="Times New Roman" w:hAnsi="Times New Roman"/>
          <w:szCs w:val="26"/>
        </w:rPr>
        <w:lastRenderedPageBreak/>
        <w:t>bị thi công kém chất lượng, cán bộ, kỹ sư điều hành và công nhân có sai phạm lớn về kỹ thuật, chất lượng thi công.</w:t>
      </w:r>
    </w:p>
    <w:p w:rsidR="00955F72" w:rsidRPr="004909C1" w:rsidRDefault="00955F72" w:rsidP="00990E46">
      <w:pPr>
        <w:tabs>
          <w:tab w:val="left" w:pos="567"/>
        </w:tabs>
        <w:spacing w:after="120"/>
        <w:ind w:firstLine="720"/>
        <w:rPr>
          <w:rFonts w:ascii="Times New Roman" w:hAnsi="Times New Roman"/>
          <w:b/>
          <w:bCs/>
          <w:szCs w:val="26"/>
        </w:rPr>
      </w:pPr>
      <w:r w:rsidRPr="004909C1">
        <w:rPr>
          <w:rFonts w:ascii="Times New Roman" w:hAnsi="Times New Roman"/>
          <w:b/>
          <w:bCs/>
          <w:szCs w:val="26"/>
        </w:rPr>
        <w:t xml:space="preserve">3. Yêu cầu về chủng loại, chất lượng vật tư, máy móc, thiết bị </w:t>
      </w:r>
      <w:r w:rsidRPr="004909C1">
        <w:rPr>
          <w:rFonts w:ascii="Times New Roman" w:hAnsi="Times New Roman"/>
          <w:b/>
          <w:szCs w:val="26"/>
        </w:rPr>
        <w:t>(kèm theo các tiêu chuẩn về phương pháp thử):</w:t>
      </w:r>
    </w:p>
    <w:p w:rsidR="00955F72" w:rsidRPr="004909C1" w:rsidRDefault="00955F72" w:rsidP="00990E46">
      <w:pPr>
        <w:tabs>
          <w:tab w:val="left" w:pos="1134"/>
        </w:tabs>
        <w:spacing w:after="120"/>
        <w:ind w:firstLine="720"/>
        <w:jc w:val="both"/>
        <w:rPr>
          <w:rFonts w:ascii="Times New Roman" w:hAnsi="Times New Roman"/>
          <w:i/>
          <w:szCs w:val="26"/>
        </w:rPr>
      </w:pPr>
      <w:r w:rsidRPr="004909C1">
        <w:rPr>
          <w:rFonts w:ascii="Times New Roman" w:hAnsi="Times New Roman"/>
          <w:i/>
          <w:szCs w:val="26"/>
        </w:rPr>
        <w:t>Nhà thầu phải lập danh mục các vật tư, thiết bị dự kiến đưa vào để thi công xây lắp công trình theo mẫu bảng kê 3.1 dưới đây:</w:t>
      </w:r>
    </w:p>
    <w:p w:rsidR="00955F72" w:rsidRPr="004909C1" w:rsidRDefault="00955F72" w:rsidP="00B90F11">
      <w:pPr>
        <w:jc w:val="center"/>
        <w:rPr>
          <w:rFonts w:ascii="Times New Roman" w:hAnsi="Times New Roman"/>
          <w:b/>
          <w:sz w:val="24"/>
          <w:szCs w:val="24"/>
          <w:lang w:val="nl-NL"/>
        </w:rPr>
      </w:pPr>
      <w:r w:rsidRPr="004909C1">
        <w:rPr>
          <w:rFonts w:ascii="Times New Roman" w:hAnsi="Times New Roman"/>
          <w:b/>
          <w:sz w:val="24"/>
          <w:szCs w:val="24"/>
          <w:lang w:val="nl-NL"/>
        </w:rPr>
        <w:t>BẢNG 3.1: BẢNG KÊ DANH MỤC CÁC VẬT TƯ CHÍNH</w:t>
      </w:r>
      <w:r w:rsidR="008974E3" w:rsidRPr="004909C1">
        <w:rPr>
          <w:rFonts w:ascii="Times New Roman" w:hAnsi="Times New Roman"/>
          <w:b/>
          <w:sz w:val="24"/>
          <w:szCs w:val="24"/>
          <w:lang w:val="nl-NL"/>
        </w:rPr>
        <w:t xml:space="preserve"> </w:t>
      </w:r>
      <w:r w:rsidRPr="004909C1">
        <w:rPr>
          <w:rFonts w:ascii="Times New Roman" w:hAnsi="Times New Roman"/>
          <w:b/>
          <w:sz w:val="24"/>
          <w:szCs w:val="24"/>
          <w:lang w:val="nl-NL"/>
        </w:rPr>
        <w:t>SỬ  DỤNG CHO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075"/>
        <w:gridCol w:w="1985"/>
        <w:gridCol w:w="2268"/>
        <w:gridCol w:w="1838"/>
      </w:tblGrid>
      <w:tr w:rsidR="004909C1" w:rsidRPr="004909C1" w:rsidTr="00B90F11">
        <w:tc>
          <w:tcPr>
            <w:tcW w:w="37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STT</w:t>
            </w:r>
          </w:p>
        </w:tc>
        <w:tc>
          <w:tcPr>
            <w:tcW w:w="1551"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Tên loại vật tư</w:t>
            </w:r>
          </w:p>
        </w:tc>
        <w:tc>
          <w:tcPr>
            <w:tcW w:w="1001" w:type="pct"/>
            <w:vAlign w:val="center"/>
          </w:tcPr>
          <w:p w:rsidR="00955F72" w:rsidRPr="004909C1" w:rsidRDefault="008703A2" w:rsidP="003A2B8E">
            <w:pPr>
              <w:jc w:val="center"/>
              <w:rPr>
                <w:rFonts w:ascii="Times New Roman" w:hAnsi="Times New Roman"/>
                <w:b/>
                <w:sz w:val="26"/>
                <w:szCs w:val="26"/>
                <w:lang w:val="nl-NL"/>
              </w:rPr>
            </w:pPr>
            <w:r w:rsidRPr="004909C1">
              <w:rPr>
                <w:rFonts w:ascii="Times New Roman" w:hAnsi="Times New Roman"/>
                <w:b/>
                <w:sz w:val="26"/>
                <w:szCs w:val="26"/>
                <w:lang w:val="nl-NL"/>
              </w:rPr>
              <w:t>Nhà sản xuất/</w:t>
            </w:r>
            <w:r w:rsidR="00955F72" w:rsidRPr="004909C1">
              <w:rPr>
                <w:rFonts w:ascii="Times New Roman" w:hAnsi="Times New Roman"/>
                <w:b/>
                <w:sz w:val="26"/>
                <w:szCs w:val="26"/>
                <w:lang w:val="nl-NL"/>
              </w:rPr>
              <w:t>Xuất xứ</w:t>
            </w:r>
          </w:p>
        </w:tc>
        <w:tc>
          <w:tcPr>
            <w:tcW w:w="1144"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Quy cách, thông số kỹ thuật</w:t>
            </w:r>
          </w:p>
        </w:tc>
        <w:tc>
          <w:tcPr>
            <w:tcW w:w="92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Tiêu chuẩn</w:t>
            </w: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1</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 xml:space="preserve">Gạch </w:t>
            </w:r>
            <w:r>
              <w:rPr>
                <w:rFonts w:ascii="Times New Roman" w:hAnsi="Times New Roman"/>
                <w:sz w:val="26"/>
                <w:szCs w:val="26"/>
                <w:lang w:val="nl-NL"/>
              </w:rPr>
              <w:t>xây</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2</w:t>
            </w:r>
          </w:p>
        </w:tc>
        <w:tc>
          <w:tcPr>
            <w:tcW w:w="1551" w:type="pct"/>
          </w:tcPr>
          <w:p w:rsidR="000E4E56" w:rsidRPr="004909C1" w:rsidRDefault="000E4E56" w:rsidP="000E4E56">
            <w:pPr>
              <w:rPr>
                <w:rFonts w:ascii="Times New Roman" w:hAnsi="Times New Roman"/>
                <w:sz w:val="26"/>
                <w:szCs w:val="26"/>
                <w:lang w:val="nl-NL"/>
              </w:rPr>
            </w:pPr>
            <w:r>
              <w:rPr>
                <w:rFonts w:ascii="Times New Roman" w:hAnsi="Times New Roman"/>
                <w:sz w:val="26"/>
                <w:szCs w:val="26"/>
                <w:lang w:val="nl-NL"/>
              </w:rPr>
              <w:t>Xi măng</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3</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 xml:space="preserve">Thép </w:t>
            </w:r>
            <w:r>
              <w:rPr>
                <w:rFonts w:ascii="Times New Roman" w:hAnsi="Times New Roman"/>
                <w:sz w:val="26"/>
                <w:szCs w:val="26"/>
                <w:lang w:val="nl-NL"/>
              </w:rPr>
              <w:t>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4</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Cát 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5</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Đá 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6</w:t>
            </w:r>
          </w:p>
        </w:tc>
        <w:tc>
          <w:tcPr>
            <w:tcW w:w="1551" w:type="pct"/>
          </w:tcPr>
          <w:p w:rsidR="000E4E56" w:rsidRPr="004909C1" w:rsidRDefault="00911AAF" w:rsidP="000E4E56">
            <w:pPr>
              <w:rPr>
                <w:rFonts w:ascii="Times New Roman" w:hAnsi="Times New Roman"/>
                <w:sz w:val="26"/>
                <w:szCs w:val="26"/>
                <w:lang w:val="nl-NL"/>
              </w:rPr>
            </w:pPr>
            <w:r>
              <w:rPr>
                <w:rFonts w:ascii="Times New Roman" w:hAnsi="Times New Roman"/>
                <w:sz w:val="26"/>
                <w:szCs w:val="26"/>
                <w:lang w:val="nl-NL"/>
              </w:rPr>
              <w:t>Gạch lát vỉa hè</w:t>
            </w:r>
            <w:bookmarkStart w:id="1" w:name="_GoBack"/>
            <w:bookmarkEnd w:id="1"/>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F43ACB" w:rsidRPr="004909C1" w:rsidTr="00B90F11">
        <w:tc>
          <w:tcPr>
            <w:tcW w:w="377" w:type="pct"/>
            <w:vAlign w:val="center"/>
          </w:tcPr>
          <w:p w:rsidR="00F43ACB" w:rsidRPr="004909C1" w:rsidRDefault="00F43ACB" w:rsidP="000E4E56">
            <w:pPr>
              <w:jc w:val="center"/>
              <w:rPr>
                <w:rFonts w:ascii="Times New Roman" w:hAnsi="Times New Roman"/>
                <w:sz w:val="26"/>
                <w:szCs w:val="26"/>
                <w:lang w:val="nl-NL"/>
              </w:rPr>
            </w:pPr>
            <w:r>
              <w:rPr>
                <w:rFonts w:ascii="Times New Roman" w:hAnsi="Times New Roman"/>
                <w:sz w:val="26"/>
                <w:szCs w:val="26"/>
                <w:lang w:val="nl-NL"/>
              </w:rPr>
              <w:t>7</w:t>
            </w:r>
          </w:p>
        </w:tc>
        <w:tc>
          <w:tcPr>
            <w:tcW w:w="1551" w:type="pct"/>
          </w:tcPr>
          <w:p w:rsidR="00F43ACB" w:rsidRPr="004909C1" w:rsidRDefault="00F43ACB" w:rsidP="000E4E56">
            <w:pPr>
              <w:rPr>
                <w:rFonts w:ascii="Times New Roman" w:hAnsi="Times New Roman"/>
                <w:sz w:val="26"/>
                <w:szCs w:val="26"/>
                <w:lang w:val="nl-NL"/>
              </w:rPr>
            </w:pPr>
          </w:p>
        </w:tc>
        <w:tc>
          <w:tcPr>
            <w:tcW w:w="1001" w:type="pct"/>
          </w:tcPr>
          <w:p w:rsidR="00F43ACB" w:rsidRPr="004909C1" w:rsidRDefault="00F43ACB" w:rsidP="000E4E56">
            <w:pPr>
              <w:rPr>
                <w:rFonts w:ascii="Times New Roman" w:hAnsi="Times New Roman"/>
                <w:sz w:val="26"/>
                <w:szCs w:val="26"/>
                <w:lang w:val="nl-NL"/>
              </w:rPr>
            </w:pPr>
          </w:p>
        </w:tc>
        <w:tc>
          <w:tcPr>
            <w:tcW w:w="1144" w:type="pct"/>
          </w:tcPr>
          <w:p w:rsidR="00F43ACB" w:rsidRPr="004909C1" w:rsidRDefault="00F43ACB" w:rsidP="000E4E56">
            <w:pPr>
              <w:rPr>
                <w:rFonts w:ascii="Times New Roman" w:hAnsi="Times New Roman"/>
                <w:sz w:val="26"/>
                <w:szCs w:val="26"/>
                <w:lang w:val="nl-NL"/>
              </w:rPr>
            </w:pPr>
          </w:p>
        </w:tc>
        <w:tc>
          <w:tcPr>
            <w:tcW w:w="927" w:type="pct"/>
          </w:tcPr>
          <w:p w:rsidR="00F43ACB" w:rsidRPr="004909C1" w:rsidRDefault="00F43ACB" w:rsidP="000E4E56">
            <w:pPr>
              <w:rPr>
                <w:rFonts w:ascii="Times New Roman" w:hAnsi="Times New Roman"/>
                <w:sz w:val="26"/>
                <w:szCs w:val="26"/>
                <w:lang w:val="nl-NL"/>
              </w:rPr>
            </w:pPr>
          </w:p>
        </w:tc>
      </w:tr>
      <w:tr w:rsidR="00F43ACB" w:rsidRPr="004909C1" w:rsidTr="00B90F11">
        <w:tc>
          <w:tcPr>
            <w:tcW w:w="377" w:type="pct"/>
            <w:vAlign w:val="center"/>
          </w:tcPr>
          <w:p w:rsidR="00F43ACB" w:rsidRPr="004909C1" w:rsidRDefault="00F43ACB" w:rsidP="000E4E56">
            <w:pPr>
              <w:jc w:val="center"/>
              <w:rPr>
                <w:rFonts w:ascii="Times New Roman" w:hAnsi="Times New Roman"/>
                <w:sz w:val="26"/>
                <w:szCs w:val="26"/>
                <w:lang w:val="nl-NL"/>
              </w:rPr>
            </w:pPr>
            <w:r>
              <w:rPr>
                <w:rFonts w:ascii="Times New Roman" w:hAnsi="Times New Roman"/>
                <w:sz w:val="26"/>
                <w:szCs w:val="26"/>
                <w:lang w:val="nl-NL"/>
              </w:rPr>
              <w:t>8</w:t>
            </w:r>
          </w:p>
        </w:tc>
        <w:tc>
          <w:tcPr>
            <w:tcW w:w="1551" w:type="pct"/>
          </w:tcPr>
          <w:p w:rsidR="00F43ACB" w:rsidRPr="004909C1" w:rsidRDefault="00F43ACB" w:rsidP="000E4E56">
            <w:pPr>
              <w:rPr>
                <w:rFonts w:ascii="Times New Roman" w:hAnsi="Times New Roman"/>
                <w:sz w:val="26"/>
                <w:szCs w:val="26"/>
                <w:lang w:val="nl-NL"/>
              </w:rPr>
            </w:pPr>
          </w:p>
        </w:tc>
        <w:tc>
          <w:tcPr>
            <w:tcW w:w="1001" w:type="pct"/>
          </w:tcPr>
          <w:p w:rsidR="00F43ACB" w:rsidRPr="004909C1" w:rsidRDefault="00F43ACB" w:rsidP="000E4E56">
            <w:pPr>
              <w:rPr>
                <w:rFonts w:ascii="Times New Roman" w:hAnsi="Times New Roman"/>
                <w:sz w:val="26"/>
                <w:szCs w:val="26"/>
                <w:lang w:val="nl-NL"/>
              </w:rPr>
            </w:pPr>
          </w:p>
        </w:tc>
        <w:tc>
          <w:tcPr>
            <w:tcW w:w="1144" w:type="pct"/>
          </w:tcPr>
          <w:p w:rsidR="00F43ACB" w:rsidRPr="004909C1" w:rsidRDefault="00F43ACB" w:rsidP="000E4E56">
            <w:pPr>
              <w:rPr>
                <w:rFonts w:ascii="Times New Roman" w:hAnsi="Times New Roman"/>
                <w:sz w:val="26"/>
                <w:szCs w:val="26"/>
                <w:lang w:val="nl-NL"/>
              </w:rPr>
            </w:pPr>
          </w:p>
        </w:tc>
        <w:tc>
          <w:tcPr>
            <w:tcW w:w="927" w:type="pct"/>
          </w:tcPr>
          <w:p w:rsidR="00F43ACB" w:rsidRPr="004909C1" w:rsidRDefault="00F43ACB" w:rsidP="000E4E56">
            <w:pPr>
              <w:rPr>
                <w:rFonts w:ascii="Times New Roman" w:hAnsi="Times New Roman"/>
                <w:sz w:val="26"/>
                <w:szCs w:val="26"/>
                <w:lang w:val="nl-NL"/>
              </w:rPr>
            </w:pPr>
          </w:p>
        </w:tc>
      </w:tr>
    </w:tbl>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Các vật tư, thiết bị không liệt kê trong bảng này lấy theo quy định của thiết kế và tuân theo tiêu chuẩn Việt Nam.</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Trước khi ký kết hợp đồng, Chủ đầu tư và Nhà thầu sẽ thống nhất danh mục vật tư và thiết bị chủ yếu. Nhà thầu có trách nhiệm cung cấp mẫu vật tư cho Chủ đầu tư. </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Khi phát hiện vật tư không đúng thiết kế hay kém chất lượng, Nhà thầu phải đổi vật tư phù hợp, đồng thời chịu mọi chi phí thí nghiệm kiểm tra.</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4. Yêu cầu về trình tự thi công, lắp đặt: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đề xuất trình tự thi công trên cơ sở Hồ sơ thiết kế và các quy trình, quy phạm về thi công xây lắp, cùng các yêu cầu tại Mục 3 – Tiêu chuẩn đánh giá kỹ thuật.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b/>
          <w:szCs w:val="26"/>
          <w:lang w:val="nl-NL"/>
        </w:rPr>
        <w:t>5. Yêu cầu về vận hành thử nghiệm, an toàn:</w:t>
      </w:r>
      <w:r w:rsidRPr="004909C1">
        <w:rPr>
          <w:rFonts w:ascii="Times New Roman" w:hAnsi="Times New Roman"/>
          <w:szCs w:val="26"/>
          <w:lang w:val="nl-NL"/>
        </w:rPr>
        <w:t xml:space="preserve"> Không yêu cầu.</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6. Yêu cầu về phòng, chống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Nêu rõ các tiêu chuẩn về phòng chống cháy nổ sẽ được tuân thủ. </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xml:space="preserve">- Xác định các nguy cơ cháy nổ có thể xảy ra trong thi công và nguyên nhân của nó.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phòng ngừa nguy cơ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chữa cháy và khắc phục sự cố. </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7. Yêu cầu về vệ sinh môi trường: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lastRenderedPageBreak/>
        <w:t>- Tuân thủ theo các quy định về quản lý môi trường trong quá trình nhà thầu thi công công trình, đảm bảo vệ sinh môi trường trong và sau khi thi công.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Có biện pháp bảo vệ công trình hạ tầng (đường giao thông; hệ thống cấp thoát nước, cấp điện,….) và bảo vệ cây xanh hiện có trong khu công trường. </w:t>
      </w:r>
    </w:p>
    <w:p w:rsidR="008974E3"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8. Yêu cầu về an toàn lao động: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đối với con người (công nhân, cán bộ thi công của nhà thầu, và tất cả những người khác có mặt tại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cho công trình bao gồm các nội dung cơ bản cho phần trình bày về an toàn của từng công tác xây lắp, có 3 vấn đề chính:</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1) Liệt kê và phân tích nguyên nhân những nguy cơ thiếu an toàn..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2) Các giải pháp phòng ngừa sẽ được áp dụng.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3) Các giải pháp khắc phục sự cố.</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An toàn phòng chống cháy nổ trong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Bảo đảm trật tự, an ninh.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Cam kết mua bảo hiểm thân thể đối với con người, bảo hiểm cháy nổ cho công trình, bảo hiểm chất lượng cho công trình.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Tiêu chuẩn qui phạm: cần trích dẫn tiêu chuẩn, qui phạm và các văn bản pháp lý về an toàn lao động và bảo vệ môi trường. </w:t>
      </w:r>
    </w:p>
    <w:p w:rsidR="00955F72" w:rsidRPr="004909C1" w:rsidRDefault="00955F72" w:rsidP="008974E3">
      <w:pPr>
        <w:tabs>
          <w:tab w:val="left" w:pos="1134"/>
        </w:tabs>
        <w:spacing w:after="120"/>
        <w:ind w:firstLine="720"/>
        <w:jc w:val="both"/>
        <w:rPr>
          <w:rFonts w:ascii="Times New Roman" w:hAnsi="Times New Roman"/>
          <w:bCs/>
          <w:szCs w:val="26"/>
        </w:rPr>
      </w:pPr>
      <w:r w:rsidRPr="004909C1">
        <w:rPr>
          <w:rFonts w:ascii="Times New Roman" w:hAnsi="Times New Roman"/>
          <w:szCs w:val="26"/>
          <w:lang w:val="nl-NL"/>
        </w:rPr>
        <w:t>- Bảo hiểm và bảo hộ lao động: nêu cam kết cụ thể của nhà thầu về việc sẽ áp dụng các chính sách về bảo hiểm lao động và</w:t>
      </w:r>
      <w:r w:rsidRPr="004909C1">
        <w:rPr>
          <w:rFonts w:ascii="Times New Roman" w:hAnsi="Times New Roman"/>
          <w:bCs/>
          <w:szCs w:val="26"/>
        </w:rPr>
        <w:t xml:space="preserve"> công tác trang thiết bị bảo hộ lao động. Cần nêu cụ thể những chính sách về bảo hiểm và bảo hộ lao động sẽ được áp dụng như như: mua bảo hiểm tai nạn công nhân.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xml:space="preserve">- Tổ chức học tập và cho tập huấn cho công nhân về an toàn lao động nêu rõ chương trình cụ thể về thời lượng sẽ được áp dụng cho công tác này.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rPr>
        <w:lastRenderedPageBreak/>
        <w:t xml:space="preserve">9. Biện pháp huy động nhân lực và thiết bị phục vụ thi công: </w:t>
      </w:r>
    </w:p>
    <w:p w:rsidR="00955F72" w:rsidRPr="004909C1" w:rsidRDefault="00955F72" w:rsidP="008974E3">
      <w:pPr>
        <w:spacing w:after="120"/>
        <w:ind w:firstLine="720"/>
        <w:jc w:val="both"/>
        <w:rPr>
          <w:rFonts w:ascii="Times New Roman" w:hAnsi="Times New Roman"/>
          <w:bCs/>
          <w:szCs w:val="26"/>
        </w:rPr>
      </w:pPr>
      <w:r w:rsidRPr="004909C1">
        <w:rPr>
          <w:rFonts w:ascii="Times New Roman" w:hAnsi="Times New Roman"/>
          <w:bCs/>
          <w:szCs w:val="26"/>
        </w:rPr>
        <w:t>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955F72" w:rsidRPr="004909C1" w:rsidRDefault="00955F72" w:rsidP="008974E3">
      <w:pPr>
        <w:spacing w:after="120"/>
        <w:ind w:firstLine="720"/>
        <w:jc w:val="both"/>
        <w:rPr>
          <w:rFonts w:ascii="Times New Roman" w:hAnsi="Times New Roman"/>
          <w:szCs w:val="26"/>
        </w:rPr>
      </w:pPr>
      <w:r w:rsidRPr="004909C1">
        <w:rPr>
          <w:rFonts w:ascii="Times New Roman" w:hAnsi="Times New Roman"/>
          <w:bCs/>
          <w:szCs w:val="26"/>
        </w:rPr>
        <w:t xml:space="preserve">- </w:t>
      </w:r>
      <w:r w:rsidRPr="004909C1">
        <w:rPr>
          <w:rFonts w:ascii="Times New Roman" w:hAnsi="Times New Roman"/>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Nhà thầu phải cung cấp đầy đủ các thiết bị máy móc chuyên dùng, các thiết bị liên quan đến công việc thi công như dàn giáo, máy nâng, xe chuyên chở, máy xúc, máy rải nhựa, máy chuyên dùng…Các thiết bị phục vụ cho công tác thi công phải đảm bảo tính năng kỹ thuật và công suất yêu cầu của thiết kế và phải đạt chất lượng theo qui định hiện hành. Thiết bị phải phù hợp với thuyết minh biện pháp thi công trong hồ sơ dự thầu. Nhà thầu phải thu dọn thiết bị thi công khi hoàn thành hoặc khi không cần thiết.</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10. Yêu cầu về biện pháp tổ chức thi công tổng thể và các hạng mục:</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lang w:val="vi-VN"/>
        </w:rPr>
        <w:t xml:space="preserve">- Tổ chức mặt bằng: </w:t>
      </w:r>
      <w:r w:rsidRPr="004909C1">
        <w:rPr>
          <w:rFonts w:ascii="Times New Roman" w:hAnsi="Times New Roman"/>
          <w:szCs w:val="26"/>
          <w:lang w:val="vi-VN"/>
        </w:rPr>
        <w:t>Nhà thầu phải thiết kế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r w:rsidRPr="004909C1">
        <w:rPr>
          <w:rFonts w:ascii="Times New Roman" w:hAnsi="Times New Roman"/>
          <w:szCs w:val="26"/>
        </w:rPr>
        <w:t xml:space="preserve"> và đảm bảo các qui định về </w:t>
      </w:r>
      <w:r w:rsidRPr="004909C1">
        <w:rPr>
          <w:rFonts w:ascii="Times New Roman" w:hAnsi="Times New Roman"/>
          <w:bCs/>
          <w:szCs w:val="26"/>
        </w:rPr>
        <w:t>an ninh quốc phòng</w:t>
      </w:r>
      <w:r w:rsidRPr="004909C1">
        <w:rPr>
          <w:rFonts w:ascii="Times New Roman" w:hAnsi="Times New Roman"/>
          <w:szCs w:val="26"/>
          <w:lang w:val="vi-VN"/>
        </w:rPr>
        <w:t>.</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lastRenderedPageBreak/>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 xml:space="preserve">11. Yêu cầu về hệ thống kiểm tra, giám sát chất lượng của nhà thầu: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cách bố trí và vận hành của hệ thống kiểm tra, giám sát chất lượng của nhà thầu trong quá trình thi công xây dựng công trình. 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đó có vai trò của công trường. Nhà thầu lập bảng danh sách các công trình được tặng danh hiệu về chất lượng của các nhà thầu từ trước đến nay (nếu có).</w:t>
      </w:r>
    </w:p>
    <w:p w:rsidR="00955F72" w:rsidRPr="004909C1" w:rsidRDefault="00955F72" w:rsidP="008974E3">
      <w:pPr>
        <w:spacing w:after="120"/>
        <w:ind w:firstLine="720"/>
        <w:jc w:val="both"/>
        <w:rPr>
          <w:rFonts w:ascii="Times New Roman" w:hAnsi="Times New Roman"/>
          <w:spacing w:val="-4"/>
          <w:szCs w:val="26"/>
          <w:lang w:val="vi-VN"/>
        </w:rPr>
      </w:pPr>
      <w:r w:rsidRPr="004909C1">
        <w:rPr>
          <w:rFonts w:ascii="Times New Roman" w:hAnsi="Times New Roman"/>
          <w:szCs w:val="26"/>
          <w:lang w:val="vi-VN"/>
        </w:rPr>
        <w:t xml:space="preserve">- </w:t>
      </w:r>
      <w:r w:rsidRPr="004909C1">
        <w:rPr>
          <w:rFonts w:ascii="Times New Roman" w:hAnsi="Times New Roman"/>
          <w:spacing w:val="-4"/>
          <w:szCs w:val="26"/>
          <w:lang w:val="vi-VN"/>
        </w:rPr>
        <w:t>Thực hiện các thí nghiệm kiểm tra vật liệu, cấu kiện, vật tư, thiết bị công trình, thiết bị rời trước khi xây dựng và lắp đặt vào công trình theo tiêu chuẩn và yêu cầu thiết kế;</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Lập và kiểm tra thực hiện biện pháp thi công, tiến độ thi công;</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Lập và ghi nhật ký thi công xây dựng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Nghiệm thu nội bộ và lập bản vẽ hoàn công cho bộ phận công trình, hạng mục công trình và công trình hoàn thành;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Báo cáo chủ đầu tư về tiến độ, chất lượng, khối lượng, an toàn lao động và vệ sinh môi trường thi công xây dựng theo yêu cầu của chủ đầu tư;</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lastRenderedPageBreak/>
        <w:t>- Biện pháp kiểm soát chất lượng thiết bị công trình và thiết bị rời: nhà thầu sẽ nêu rõ quy trình và các biện pháp sẽ được áp dụng để kiểm soát chất lượng thiết bị.</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Giải pháp xử lý hàng hoá không phù hợp với yêu cầu: nhà thầu phải nêu rõ cam kết về việc xử lý nghiêm khắc các hàng hóa không phù hợp với yêu cầu của</w:t>
      </w:r>
      <w:r w:rsidRPr="004909C1">
        <w:rPr>
          <w:rFonts w:ascii="Times New Roman" w:hAnsi="Times New Roman"/>
          <w:szCs w:val="26"/>
        </w:rPr>
        <w:t xml:space="preserve"> E-</w:t>
      </w:r>
      <w:r w:rsidRPr="004909C1">
        <w:rPr>
          <w:rFonts w:ascii="Times New Roman" w:hAnsi="Times New Roman"/>
          <w:szCs w:val="26"/>
          <w:lang w:val="vi-VN"/>
        </w:rPr>
        <w:t xml:space="preserve">HSMT.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
          <w:bCs/>
          <w:szCs w:val="26"/>
          <w:lang w:val="vi-VN"/>
        </w:rPr>
        <w:t>12. Yêu cầu khác căn cứ quy mô, tính chất của gói thầu:</w:t>
      </w:r>
      <w:r w:rsidRPr="004909C1">
        <w:rPr>
          <w:rFonts w:ascii="Times New Roman" w:hAnsi="Times New Roman"/>
          <w:bCs/>
          <w:szCs w:val="26"/>
          <w:lang w:val="vi-VN"/>
        </w:rPr>
        <w:t xml:space="preserve"> Tuân thủ các qui chuẩn, tiêu chuẩn hiện hành</w:t>
      </w:r>
      <w:r w:rsidRPr="004909C1">
        <w:rPr>
          <w:rFonts w:ascii="Times New Roman" w:hAnsi="Times New Roman"/>
          <w:bCs/>
          <w:szCs w:val="26"/>
        </w:rPr>
        <w:t xml:space="preserve"> và các qui định khác có liên quan đến việc</w:t>
      </w:r>
      <w:r w:rsidRPr="004909C1">
        <w:rPr>
          <w:rFonts w:ascii="Times New Roman" w:hAnsi="Times New Roman"/>
          <w:bCs/>
          <w:szCs w:val="26"/>
          <w:lang w:val="vi-VN"/>
        </w:rPr>
        <w:t xml:space="preserve"> thi công </w:t>
      </w:r>
      <w:r w:rsidRPr="004909C1">
        <w:rPr>
          <w:rFonts w:ascii="Times New Roman" w:hAnsi="Times New Roman"/>
          <w:bCs/>
          <w:szCs w:val="26"/>
        </w:rPr>
        <w:t>công trình;</w:t>
      </w:r>
      <w:r w:rsidRPr="004909C1">
        <w:rPr>
          <w:rFonts w:ascii="Times New Roman" w:hAnsi="Times New Roman"/>
          <w:bCs/>
          <w:szCs w:val="26"/>
          <w:lang w:val="vi-VN"/>
        </w:rPr>
        <w:t xml:space="preserve"> chấp hành đầy đủ các qui định các yêu cầu về đảm bảo an ninh quốc phòng.</w:t>
      </w:r>
    </w:p>
    <w:p w:rsidR="00AA0038" w:rsidRPr="004909C1" w:rsidRDefault="00AA0038" w:rsidP="00AA0038">
      <w:pPr>
        <w:tabs>
          <w:tab w:val="left" w:pos="851"/>
        </w:tabs>
        <w:spacing w:after="120"/>
        <w:ind w:firstLine="720"/>
        <w:jc w:val="both"/>
        <w:rPr>
          <w:rFonts w:ascii="Times New Roman" w:hAnsi="Times New Roman"/>
          <w:bCs/>
          <w:szCs w:val="26"/>
        </w:rPr>
      </w:pPr>
      <w:r w:rsidRPr="004909C1">
        <w:rPr>
          <w:rFonts w:ascii="Times New Roman" w:hAnsi="Times New Roman"/>
          <w:b/>
          <w:bCs/>
          <w:lang w:val="en-GB"/>
        </w:rPr>
        <w:t>13. Một số lưu ý:</w:t>
      </w:r>
      <w:r w:rsidRPr="004909C1">
        <w:rPr>
          <w:rFonts w:ascii="Times New Roman" w:hAnsi="Times New Roman"/>
          <w:lang w:val="en-GB"/>
        </w:rPr>
        <w:t xml:space="preserve"> Vị trí đổ thải và nguồn vật liệu san lấp phục vụ thi công dự án phải được đảm bảo theo quy định hiện hành.</w:t>
      </w:r>
    </w:p>
    <w:p w:rsidR="00955F72" w:rsidRPr="004909C1" w:rsidRDefault="00955F72" w:rsidP="006648DC">
      <w:pPr>
        <w:widowControl w:val="0"/>
        <w:spacing w:after="120"/>
        <w:ind w:firstLine="720"/>
        <w:rPr>
          <w:rFonts w:ascii="Times New Roman" w:hAnsi="Times New Roman"/>
          <w:b/>
          <w:lang w:val="es-ES_tradnl"/>
        </w:rPr>
      </w:pPr>
      <w:r w:rsidRPr="004909C1">
        <w:rPr>
          <w:rFonts w:ascii="Times New Roman" w:hAnsi="Times New Roman"/>
          <w:b/>
          <w:szCs w:val="26"/>
          <w:lang w:val="nl-NL"/>
        </w:rPr>
        <w:t xml:space="preserve">IV. Các bản vẽ </w:t>
      </w:r>
      <w:r w:rsidRPr="004909C1">
        <w:rPr>
          <w:rFonts w:ascii="Times New Roman" w:hAnsi="Times New Roman"/>
          <w:i/>
          <w:szCs w:val="26"/>
          <w:lang w:val="nl-NL"/>
        </w:rPr>
        <w:t>(đính kèm trên hệ thống)</w:t>
      </w:r>
    </w:p>
    <w:p w:rsidR="003E2535" w:rsidRPr="004909C1" w:rsidRDefault="003E2535" w:rsidP="003A2B8E">
      <w:pPr>
        <w:rPr>
          <w:rFonts w:ascii="Times New Roman" w:hAnsi="Times New Roman"/>
        </w:rPr>
      </w:pPr>
    </w:p>
    <w:sectPr w:rsidR="003E2535" w:rsidRPr="004909C1" w:rsidSect="00A725CB">
      <w:pgSz w:w="12240" w:h="15840"/>
      <w:pgMar w:top="851" w:right="104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519"/>
    <w:multiLevelType w:val="hybridMultilevel"/>
    <w:tmpl w:val="7A4C4B74"/>
    <w:lvl w:ilvl="0" w:tplc="F190D8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A113A"/>
    <w:multiLevelType w:val="hybridMultilevel"/>
    <w:tmpl w:val="C5D86F5E"/>
    <w:lvl w:ilvl="0" w:tplc="BABC494E">
      <w:start w:val="2"/>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77EF2"/>
    <w:multiLevelType w:val="hybridMultilevel"/>
    <w:tmpl w:val="6AA8215A"/>
    <w:lvl w:ilvl="0" w:tplc="252449E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 w15:restartNumberingAfterBreak="0">
    <w:nsid w:val="2CEE6040"/>
    <w:multiLevelType w:val="hybridMultilevel"/>
    <w:tmpl w:val="9AAE7F68"/>
    <w:lvl w:ilvl="0" w:tplc="A4F4A4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0E6D65"/>
    <w:multiLevelType w:val="hybridMultilevel"/>
    <w:tmpl w:val="9BA6B19E"/>
    <w:lvl w:ilvl="0" w:tplc="6C30FE80">
      <w:numFmt w:val="bullet"/>
      <w:lvlText w:val=""/>
      <w:lvlJc w:val="left"/>
      <w:pPr>
        <w:ind w:left="827" w:hanging="360"/>
      </w:pPr>
      <w:rPr>
        <w:rFonts w:ascii="Symbol" w:eastAsia="Symbol" w:hAnsi="Symbol" w:cs="Symbol" w:hint="default"/>
        <w:w w:val="100"/>
        <w:sz w:val="24"/>
        <w:szCs w:val="24"/>
        <w:lang w:val="en-US" w:eastAsia="en-US" w:bidi="en-US"/>
      </w:rPr>
    </w:lvl>
    <w:lvl w:ilvl="1" w:tplc="2460EEF2">
      <w:numFmt w:val="bullet"/>
      <w:lvlText w:val="•"/>
      <w:lvlJc w:val="left"/>
      <w:pPr>
        <w:ind w:left="1440" w:hanging="360"/>
      </w:pPr>
      <w:rPr>
        <w:rFonts w:hint="default"/>
        <w:lang w:val="en-US" w:eastAsia="en-US" w:bidi="en-US"/>
      </w:rPr>
    </w:lvl>
    <w:lvl w:ilvl="2" w:tplc="5C8E05D2">
      <w:numFmt w:val="bullet"/>
      <w:lvlText w:val="•"/>
      <w:lvlJc w:val="left"/>
      <w:pPr>
        <w:ind w:left="2060" w:hanging="360"/>
      </w:pPr>
      <w:rPr>
        <w:rFonts w:hint="default"/>
        <w:lang w:val="en-US" w:eastAsia="en-US" w:bidi="en-US"/>
      </w:rPr>
    </w:lvl>
    <w:lvl w:ilvl="3" w:tplc="C0CCC80E">
      <w:numFmt w:val="bullet"/>
      <w:lvlText w:val="•"/>
      <w:lvlJc w:val="left"/>
      <w:pPr>
        <w:ind w:left="2680" w:hanging="360"/>
      </w:pPr>
      <w:rPr>
        <w:rFonts w:hint="default"/>
        <w:lang w:val="en-US" w:eastAsia="en-US" w:bidi="en-US"/>
      </w:rPr>
    </w:lvl>
    <w:lvl w:ilvl="4" w:tplc="7EE205A8">
      <w:numFmt w:val="bullet"/>
      <w:lvlText w:val="•"/>
      <w:lvlJc w:val="left"/>
      <w:pPr>
        <w:ind w:left="3300" w:hanging="360"/>
      </w:pPr>
      <w:rPr>
        <w:rFonts w:hint="default"/>
        <w:lang w:val="en-US" w:eastAsia="en-US" w:bidi="en-US"/>
      </w:rPr>
    </w:lvl>
    <w:lvl w:ilvl="5" w:tplc="733E8776">
      <w:numFmt w:val="bullet"/>
      <w:lvlText w:val="•"/>
      <w:lvlJc w:val="left"/>
      <w:pPr>
        <w:ind w:left="3920" w:hanging="360"/>
      </w:pPr>
      <w:rPr>
        <w:rFonts w:hint="default"/>
        <w:lang w:val="en-US" w:eastAsia="en-US" w:bidi="en-US"/>
      </w:rPr>
    </w:lvl>
    <w:lvl w:ilvl="6" w:tplc="56822236">
      <w:numFmt w:val="bullet"/>
      <w:lvlText w:val="•"/>
      <w:lvlJc w:val="left"/>
      <w:pPr>
        <w:ind w:left="4540" w:hanging="360"/>
      </w:pPr>
      <w:rPr>
        <w:rFonts w:hint="default"/>
        <w:lang w:val="en-US" w:eastAsia="en-US" w:bidi="en-US"/>
      </w:rPr>
    </w:lvl>
    <w:lvl w:ilvl="7" w:tplc="ED1C1298">
      <w:numFmt w:val="bullet"/>
      <w:lvlText w:val="•"/>
      <w:lvlJc w:val="left"/>
      <w:pPr>
        <w:ind w:left="5160" w:hanging="360"/>
      </w:pPr>
      <w:rPr>
        <w:rFonts w:hint="default"/>
        <w:lang w:val="en-US" w:eastAsia="en-US" w:bidi="en-US"/>
      </w:rPr>
    </w:lvl>
    <w:lvl w:ilvl="8" w:tplc="CE88F576">
      <w:numFmt w:val="bullet"/>
      <w:lvlText w:val="•"/>
      <w:lvlJc w:val="left"/>
      <w:pPr>
        <w:ind w:left="5780" w:hanging="360"/>
      </w:pPr>
      <w:rPr>
        <w:rFonts w:hint="default"/>
        <w:lang w:val="en-US" w:eastAsia="en-US" w:bidi="en-US"/>
      </w:rPr>
    </w:lvl>
  </w:abstractNum>
  <w:abstractNum w:abstractNumId="5" w15:restartNumberingAfterBreak="0">
    <w:nsid w:val="3A825C26"/>
    <w:multiLevelType w:val="hybridMultilevel"/>
    <w:tmpl w:val="B15CA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30"/>
    <w:rsid w:val="00000762"/>
    <w:rsid w:val="000117AA"/>
    <w:rsid w:val="000150BD"/>
    <w:rsid w:val="000435B5"/>
    <w:rsid w:val="00045C69"/>
    <w:rsid w:val="00046693"/>
    <w:rsid w:val="00060CAB"/>
    <w:rsid w:val="00062985"/>
    <w:rsid w:val="00072229"/>
    <w:rsid w:val="00074CC5"/>
    <w:rsid w:val="00092739"/>
    <w:rsid w:val="000A22D0"/>
    <w:rsid w:val="000E4B44"/>
    <w:rsid w:val="000E4E56"/>
    <w:rsid w:val="001056C0"/>
    <w:rsid w:val="0011162A"/>
    <w:rsid w:val="001125A9"/>
    <w:rsid w:val="001242BE"/>
    <w:rsid w:val="00130F88"/>
    <w:rsid w:val="00131466"/>
    <w:rsid w:val="001329D1"/>
    <w:rsid w:val="0014112F"/>
    <w:rsid w:val="001559D3"/>
    <w:rsid w:val="0016208F"/>
    <w:rsid w:val="00174EC4"/>
    <w:rsid w:val="00184C01"/>
    <w:rsid w:val="001916C9"/>
    <w:rsid w:val="00191FC6"/>
    <w:rsid w:val="001A17E9"/>
    <w:rsid w:val="001A2E8F"/>
    <w:rsid w:val="001C6674"/>
    <w:rsid w:val="001E302B"/>
    <w:rsid w:val="001E3880"/>
    <w:rsid w:val="001F3BAF"/>
    <w:rsid w:val="00212309"/>
    <w:rsid w:val="002418AA"/>
    <w:rsid w:val="00251DDC"/>
    <w:rsid w:val="00260E2A"/>
    <w:rsid w:val="002671C1"/>
    <w:rsid w:val="00272039"/>
    <w:rsid w:val="00273DCB"/>
    <w:rsid w:val="002B1300"/>
    <w:rsid w:val="002C0BC5"/>
    <w:rsid w:val="002F1672"/>
    <w:rsid w:val="00321E69"/>
    <w:rsid w:val="003305D9"/>
    <w:rsid w:val="00331743"/>
    <w:rsid w:val="003636DE"/>
    <w:rsid w:val="00363776"/>
    <w:rsid w:val="003665A8"/>
    <w:rsid w:val="00370166"/>
    <w:rsid w:val="00390697"/>
    <w:rsid w:val="003A2B8E"/>
    <w:rsid w:val="003A760A"/>
    <w:rsid w:val="003B781F"/>
    <w:rsid w:val="003C3831"/>
    <w:rsid w:val="003D0E9F"/>
    <w:rsid w:val="003D62DD"/>
    <w:rsid w:val="003E1C40"/>
    <w:rsid w:val="003E2535"/>
    <w:rsid w:val="003E79AB"/>
    <w:rsid w:val="004254CD"/>
    <w:rsid w:val="00435CEA"/>
    <w:rsid w:val="0044390C"/>
    <w:rsid w:val="004610B9"/>
    <w:rsid w:val="0046180C"/>
    <w:rsid w:val="0047516F"/>
    <w:rsid w:val="004804DD"/>
    <w:rsid w:val="00484B12"/>
    <w:rsid w:val="0049099D"/>
    <w:rsid w:val="004909C1"/>
    <w:rsid w:val="00491800"/>
    <w:rsid w:val="004B19DC"/>
    <w:rsid w:val="004B1DE7"/>
    <w:rsid w:val="004E1395"/>
    <w:rsid w:val="004F1390"/>
    <w:rsid w:val="005032C5"/>
    <w:rsid w:val="00517051"/>
    <w:rsid w:val="005236F7"/>
    <w:rsid w:val="005265DD"/>
    <w:rsid w:val="00534A38"/>
    <w:rsid w:val="00563634"/>
    <w:rsid w:val="00566656"/>
    <w:rsid w:val="005B1B60"/>
    <w:rsid w:val="005B4D33"/>
    <w:rsid w:val="005B5C10"/>
    <w:rsid w:val="005D160D"/>
    <w:rsid w:val="005E4545"/>
    <w:rsid w:val="0060211B"/>
    <w:rsid w:val="00603E83"/>
    <w:rsid w:val="006326E8"/>
    <w:rsid w:val="006436EE"/>
    <w:rsid w:val="006461A9"/>
    <w:rsid w:val="006566DF"/>
    <w:rsid w:val="00656D8F"/>
    <w:rsid w:val="00656DDB"/>
    <w:rsid w:val="00660143"/>
    <w:rsid w:val="00660AEE"/>
    <w:rsid w:val="006648AA"/>
    <w:rsid w:val="006648DC"/>
    <w:rsid w:val="00676077"/>
    <w:rsid w:val="00677699"/>
    <w:rsid w:val="006A605A"/>
    <w:rsid w:val="006A7287"/>
    <w:rsid w:val="006B6FF7"/>
    <w:rsid w:val="006C7803"/>
    <w:rsid w:val="006D7C05"/>
    <w:rsid w:val="006E26AF"/>
    <w:rsid w:val="006F09C8"/>
    <w:rsid w:val="006F716A"/>
    <w:rsid w:val="007152B2"/>
    <w:rsid w:val="00727CF1"/>
    <w:rsid w:val="00743E9D"/>
    <w:rsid w:val="007508FC"/>
    <w:rsid w:val="00756DCD"/>
    <w:rsid w:val="00761AAB"/>
    <w:rsid w:val="00761B2C"/>
    <w:rsid w:val="00767249"/>
    <w:rsid w:val="0077479E"/>
    <w:rsid w:val="00786388"/>
    <w:rsid w:val="00793E1E"/>
    <w:rsid w:val="007B6C09"/>
    <w:rsid w:val="007C636B"/>
    <w:rsid w:val="007D2565"/>
    <w:rsid w:val="007D517F"/>
    <w:rsid w:val="007F7338"/>
    <w:rsid w:val="00804EAA"/>
    <w:rsid w:val="00811828"/>
    <w:rsid w:val="0084695A"/>
    <w:rsid w:val="00851FC3"/>
    <w:rsid w:val="008627C1"/>
    <w:rsid w:val="00865970"/>
    <w:rsid w:val="008703A2"/>
    <w:rsid w:val="00877257"/>
    <w:rsid w:val="00882ECB"/>
    <w:rsid w:val="00882ED1"/>
    <w:rsid w:val="00887ABD"/>
    <w:rsid w:val="00890C2B"/>
    <w:rsid w:val="00895615"/>
    <w:rsid w:val="008974E3"/>
    <w:rsid w:val="008A2768"/>
    <w:rsid w:val="008A7A14"/>
    <w:rsid w:val="008C16DF"/>
    <w:rsid w:val="008D1CB5"/>
    <w:rsid w:val="008D3899"/>
    <w:rsid w:val="008D6F1D"/>
    <w:rsid w:val="008E524D"/>
    <w:rsid w:val="008F5EFC"/>
    <w:rsid w:val="00911AAF"/>
    <w:rsid w:val="00914495"/>
    <w:rsid w:val="00920C8E"/>
    <w:rsid w:val="009277CE"/>
    <w:rsid w:val="00927E97"/>
    <w:rsid w:val="00931819"/>
    <w:rsid w:val="0095587D"/>
    <w:rsid w:val="00955F72"/>
    <w:rsid w:val="00963CE3"/>
    <w:rsid w:val="009678EF"/>
    <w:rsid w:val="009812D2"/>
    <w:rsid w:val="00990E46"/>
    <w:rsid w:val="00995B9C"/>
    <w:rsid w:val="009A3718"/>
    <w:rsid w:val="009A5155"/>
    <w:rsid w:val="009A6903"/>
    <w:rsid w:val="009C05FA"/>
    <w:rsid w:val="009C242A"/>
    <w:rsid w:val="009D4BE4"/>
    <w:rsid w:val="009D796D"/>
    <w:rsid w:val="009E7F02"/>
    <w:rsid w:val="00A03E93"/>
    <w:rsid w:val="00A07D87"/>
    <w:rsid w:val="00A531A0"/>
    <w:rsid w:val="00A61D49"/>
    <w:rsid w:val="00A6784D"/>
    <w:rsid w:val="00A725CB"/>
    <w:rsid w:val="00A7752F"/>
    <w:rsid w:val="00A81BEB"/>
    <w:rsid w:val="00A96677"/>
    <w:rsid w:val="00AA0038"/>
    <w:rsid w:val="00AA3C72"/>
    <w:rsid w:val="00AB5938"/>
    <w:rsid w:val="00AD3ADA"/>
    <w:rsid w:val="00AF2784"/>
    <w:rsid w:val="00B00C44"/>
    <w:rsid w:val="00B02B61"/>
    <w:rsid w:val="00B07BA6"/>
    <w:rsid w:val="00B12EA1"/>
    <w:rsid w:val="00B2250D"/>
    <w:rsid w:val="00B532B4"/>
    <w:rsid w:val="00B540CC"/>
    <w:rsid w:val="00B75ABB"/>
    <w:rsid w:val="00B801AA"/>
    <w:rsid w:val="00B90F11"/>
    <w:rsid w:val="00B93622"/>
    <w:rsid w:val="00BA1F69"/>
    <w:rsid w:val="00BA2C7E"/>
    <w:rsid w:val="00BA4EC6"/>
    <w:rsid w:val="00BB4AEC"/>
    <w:rsid w:val="00BC6A4E"/>
    <w:rsid w:val="00BD6086"/>
    <w:rsid w:val="00BD7890"/>
    <w:rsid w:val="00BE2A68"/>
    <w:rsid w:val="00C15B66"/>
    <w:rsid w:val="00C21B7E"/>
    <w:rsid w:val="00C25D53"/>
    <w:rsid w:val="00C4473A"/>
    <w:rsid w:val="00C461C6"/>
    <w:rsid w:val="00C515F7"/>
    <w:rsid w:val="00C5574B"/>
    <w:rsid w:val="00C6282B"/>
    <w:rsid w:val="00C64781"/>
    <w:rsid w:val="00C76739"/>
    <w:rsid w:val="00C8638A"/>
    <w:rsid w:val="00C972DE"/>
    <w:rsid w:val="00CB6401"/>
    <w:rsid w:val="00CD3C50"/>
    <w:rsid w:val="00CF4FF9"/>
    <w:rsid w:val="00D0752F"/>
    <w:rsid w:val="00D167E4"/>
    <w:rsid w:val="00D20F8E"/>
    <w:rsid w:val="00D22F8C"/>
    <w:rsid w:val="00D23C85"/>
    <w:rsid w:val="00D308AC"/>
    <w:rsid w:val="00D31501"/>
    <w:rsid w:val="00D34978"/>
    <w:rsid w:val="00D35FCC"/>
    <w:rsid w:val="00D451D8"/>
    <w:rsid w:val="00D61D97"/>
    <w:rsid w:val="00D62948"/>
    <w:rsid w:val="00D62B97"/>
    <w:rsid w:val="00D64083"/>
    <w:rsid w:val="00D665C0"/>
    <w:rsid w:val="00D74737"/>
    <w:rsid w:val="00D75333"/>
    <w:rsid w:val="00D91978"/>
    <w:rsid w:val="00D922A3"/>
    <w:rsid w:val="00D96E40"/>
    <w:rsid w:val="00DB4598"/>
    <w:rsid w:val="00DC4349"/>
    <w:rsid w:val="00DE6F51"/>
    <w:rsid w:val="00DF0520"/>
    <w:rsid w:val="00DF104B"/>
    <w:rsid w:val="00E00082"/>
    <w:rsid w:val="00E00FB0"/>
    <w:rsid w:val="00E034B8"/>
    <w:rsid w:val="00E11D64"/>
    <w:rsid w:val="00E13DE6"/>
    <w:rsid w:val="00E14868"/>
    <w:rsid w:val="00E35B41"/>
    <w:rsid w:val="00E40189"/>
    <w:rsid w:val="00E426CB"/>
    <w:rsid w:val="00E43671"/>
    <w:rsid w:val="00E579A7"/>
    <w:rsid w:val="00E77B03"/>
    <w:rsid w:val="00E83850"/>
    <w:rsid w:val="00E957DC"/>
    <w:rsid w:val="00E96576"/>
    <w:rsid w:val="00EA7F26"/>
    <w:rsid w:val="00EC48CB"/>
    <w:rsid w:val="00EE7759"/>
    <w:rsid w:val="00F03214"/>
    <w:rsid w:val="00F04216"/>
    <w:rsid w:val="00F13D6A"/>
    <w:rsid w:val="00F1641B"/>
    <w:rsid w:val="00F43ACB"/>
    <w:rsid w:val="00F62549"/>
    <w:rsid w:val="00F633D0"/>
    <w:rsid w:val="00F651AB"/>
    <w:rsid w:val="00F83C9F"/>
    <w:rsid w:val="00F8521D"/>
    <w:rsid w:val="00F96CBA"/>
    <w:rsid w:val="00FC1F30"/>
    <w:rsid w:val="00FC46AE"/>
    <w:rsid w:val="00FC7984"/>
    <w:rsid w:val="00FD1211"/>
    <w:rsid w:val="00FF01CA"/>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8815"/>
  <w15:docId w15:val="{8B362D46-065B-4F5C-831A-E6E3383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03"/>
    <w:pPr>
      <w:spacing w:after="0" w:line="240" w:lineRule="auto"/>
      <w:jc w:val="left"/>
    </w:pPr>
    <w:rPr>
      <w:rFonts w:ascii=".VnTime" w:eastAsia="Times New Roman" w:hAnsi=".VnTime" w:cs="Times New Roman"/>
      <w:szCs w:val="28"/>
    </w:rPr>
  </w:style>
  <w:style w:type="paragraph" w:styleId="Heading1">
    <w:name w:val="heading 1"/>
    <w:basedOn w:val="Normal"/>
    <w:link w:val="Heading1Char"/>
    <w:uiPriority w:val="9"/>
    <w:qFormat/>
    <w:rsid w:val="00390697"/>
    <w:pPr>
      <w:spacing w:before="100" w:beforeAutospacing="1" w:after="100" w:afterAutospacing="1"/>
      <w:outlineLvl w:val="0"/>
    </w:pPr>
    <w:rPr>
      <w:rFonts w:ascii="Times New Roman" w:hAnsi="Times New Roman"/>
      <w:b/>
      <w:bCs/>
      <w:kern w:val="36"/>
      <w:sz w:val="48"/>
      <w:szCs w:val="48"/>
      <w:lang w:val="vi-VN" w:eastAsia="vi-VN"/>
    </w:rPr>
  </w:style>
  <w:style w:type="paragraph" w:styleId="Heading3">
    <w:name w:val="heading 3"/>
    <w:aliases w:val="Heading 3 - HocThatNhanh.vn"/>
    <w:basedOn w:val="Normal"/>
    <w:next w:val="Normal"/>
    <w:link w:val="Heading3Char"/>
    <w:qFormat/>
    <w:rsid w:val="001F3BAF"/>
    <w:pPr>
      <w:spacing w:before="120" w:after="120"/>
      <w:jc w:val="center"/>
      <w:outlineLvl w:val="2"/>
    </w:pPr>
    <w:rPr>
      <w:rFonts w:ascii="Times New Roman" w:hAnsi="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E77B03"/>
    <w:pPr>
      <w:spacing w:before="120" w:after="200"/>
      <w:jc w:val="center"/>
    </w:pPr>
    <w:rPr>
      <w:rFonts w:ascii="Times New Roman" w:hAnsi="Times New Roman"/>
      <w:b/>
      <w:szCs w:val="20"/>
      <w:lang w:val="es-ES_tradnl"/>
    </w:rPr>
  </w:style>
  <w:style w:type="paragraph" w:styleId="BalloonText">
    <w:name w:val="Balloon Text"/>
    <w:basedOn w:val="Normal"/>
    <w:link w:val="BalloonTextChar"/>
    <w:uiPriority w:val="99"/>
    <w:semiHidden/>
    <w:unhideWhenUsed/>
    <w:rsid w:val="009678EF"/>
    <w:rPr>
      <w:rFonts w:ascii="Tahoma" w:hAnsi="Tahoma" w:cs="Tahoma"/>
      <w:sz w:val="16"/>
      <w:szCs w:val="16"/>
    </w:rPr>
  </w:style>
  <w:style w:type="character" w:customStyle="1" w:styleId="BalloonTextChar">
    <w:name w:val="Balloon Text Char"/>
    <w:basedOn w:val="DefaultParagraphFont"/>
    <w:link w:val="BalloonText"/>
    <w:uiPriority w:val="99"/>
    <w:semiHidden/>
    <w:rsid w:val="009678EF"/>
    <w:rPr>
      <w:rFonts w:ascii="Tahoma" w:eastAsia="Times New Roman" w:hAnsi="Tahoma" w:cs="Tahoma"/>
      <w:sz w:val="16"/>
      <w:szCs w:val="16"/>
    </w:rPr>
  </w:style>
  <w:style w:type="paragraph" w:customStyle="1" w:styleId="TableParagraph">
    <w:name w:val="Table Paragraph"/>
    <w:basedOn w:val="Normal"/>
    <w:uiPriority w:val="1"/>
    <w:qFormat/>
    <w:rsid w:val="0060211B"/>
    <w:pPr>
      <w:widowControl w:val="0"/>
      <w:autoSpaceDE w:val="0"/>
      <w:autoSpaceDN w:val="0"/>
      <w:ind w:left="827"/>
    </w:pPr>
    <w:rPr>
      <w:rFonts w:ascii="Arial" w:eastAsia="Arial" w:hAnsi="Arial" w:cs="Arial"/>
      <w:sz w:val="22"/>
      <w:szCs w:val="22"/>
      <w:lang w:bidi="en-US"/>
    </w:rPr>
  </w:style>
  <w:style w:type="paragraph" w:customStyle="1" w:styleId="Char4">
    <w:name w:val="Char4"/>
    <w:basedOn w:val="Normal"/>
    <w:semiHidden/>
    <w:rsid w:val="003D0E9F"/>
    <w:pPr>
      <w:spacing w:after="160" w:line="240" w:lineRule="exact"/>
    </w:pPr>
    <w:rPr>
      <w:rFonts w:ascii="Arial" w:hAnsi="Arial" w:cs="Arial"/>
      <w:sz w:val="22"/>
      <w:szCs w:val="22"/>
    </w:rPr>
  </w:style>
  <w:style w:type="paragraph" w:styleId="ListParagraph">
    <w:name w:val="List Paragraph"/>
    <w:basedOn w:val="Normal"/>
    <w:uiPriority w:val="34"/>
    <w:qFormat/>
    <w:rsid w:val="003A2B8E"/>
    <w:pPr>
      <w:ind w:left="720"/>
      <w:contextualSpacing/>
    </w:pPr>
  </w:style>
  <w:style w:type="character" w:customStyle="1" w:styleId="Heading1Char">
    <w:name w:val="Heading 1 Char"/>
    <w:basedOn w:val="DefaultParagraphFont"/>
    <w:link w:val="Heading1"/>
    <w:uiPriority w:val="9"/>
    <w:rsid w:val="00390697"/>
    <w:rPr>
      <w:rFonts w:eastAsia="Times New Roman" w:cs="Times New Roman"/>
      <w:b/>
      <w:bCs/>
      <w:kern w:val="36"/>
      <w:sz w:val="48"/>
      <w:szCs w:val="48"/>
      <w:lang w:val="vi-VN" w:eastAsia="vi-VN"/>
    </w:rPr>
  </w:style>
  <w:style w:type="character" w:customStyle="1" w:styleId="Heading3Char">
    <w:name w:val="Heading 3 Char"/>
    <w:aliases w:val="Heading 3 - HocThatNhanh.vn Char"/>
    <w:basedOn w:val="DefaultParagraphFont"/>
    <w:link w:val="Heading3"/>
    <w:rsid w:val="001F3BAF"/>
    <w:rPr>
      <w:rFonts w:eastAsia="Times New Roman" w:cs="Times New Roman"/>
      <w:b/>
      <w:bCs/>
      <w:szCs w:val="28"/>
      <w:lang w:val="vi-VN"/>
    </w:rPr>
  </w:style>
  <w:style w:type="character" w:styleId="Strong">
    <w:name w:val="Strong"/>
    <w:uiPriority w:val="22"/>
    <w:qFormat/>
    <w:rsid w:val="001F3BAF"/>
    <w:rPr>
      <w:b/>
      <w:bCs/>
    </w:rPr>
  </w:style>
  <w:style w:type="paragraph" w:customStyle="1" w:styleId="DAUDONG1">
    <w:name w:val="DAUDONG1"/>
    <w:basedOn w:val="Normal"/>
    <w:autoRedefine/>
    <w:rsid w:val="00191FC6"/>
    <w:pPr>
      <w:widowControl w:val="0"/>
      <w:autoSpaceDE w:val="0"/>
      <w:autoSpaceDN w:val="0"/>
      <w:spacing w:after="120"/>
      <w:ind w:left="576" w:right="144"/>
      <w:jc w:val="both"/>
    </w:pPr>
    <w:rPr>
      <w:rFonts w:ascii="Tahoma" w:hAnsi="Tahoma"/>
      <w:sz w:val="20"/>
      <w:szCs w:val="20"/>
    </w:rPr>
  </w:style>
  <w:style w:type="paragraph" w:styleId="BodyTextIndent">
    <w:name w:val="Body Text Indent"/>
    <w:basedOn w:val="Normal"/>
    <w:link w:val="BodyTextIndentChar"/>
    <w:uiPriority w:val="99"/>
    <w:unhideWhenUsed/>
    <w:rsid w:val="00811828"/>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11828"/>
    <w:rPr>
      <w:rFonts w:eastAsia="Times New Roman" w:cs="Times New Roman"/>
      <w:sz w:val="24"/>
      <w:szCs w:val="24"/>
    </w:rPr>
  </w:style>
  <w:style w:type="table" w:styleId="TableGrid">
    <w:name w:val="Table Grid"/>
    <w:basedOn w:val="TableNormal"/>
    <w:uiPriority w:val="39"/>
    <w:rsid w:val="004909C1"/>
    <w:pPr>
      <w:spacing w:after="0" w:line="240" w:lineRule="auto"/>
      <w:jc w:val="left"/>
    </w:pPr>
    <w:rPr>
      <w:rFonts w:eastAsia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
    <w:name w:val="Gu"/>
    <w:basedOn w:val="Normal"/>
    <w:link w:val="GuCharChar"/>
    <w:rsid w:val="000E4E56"/>
    <w:pPr>
      <w:spacing w:before="60"/>
      <w:jc w:val="both"/>
    </w:pPr>
    <w:rPr>
      <w:rFonts w:ascii="Times New Roman" w:hAnsi="Times New Roman"/>
      <w:sz w:val="26"/>
      <w:szCs w:val="26"/>
    </w:rPr>
  </w:style>
  <w:style w:type="character" w:customStyle="1" w:styleId="GuCharChar">
    <w:name w:val="Gu Char Char"/>
    <w:link w:val="Gu"/>
    <w:rsid w:val="000E4E56"/>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024">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243420447">
      <w:bodyDiv w:val="1"/>
      <w:marLeft w:val="0"/>
      <w:marRight w:val="0"/>
      <w:marTop w:val="0"/>
      <w:marBottom w:val="0"/>
      <w:divBdr>
        <w:top w:val="none" w:sz="0" w:space="0" w:color="auto"/>
        <w:left w:val="none" w:sz="0" w:space="0" w:color="auto"/>
        <w:bottom w:val="none" w:sz="0" w:space="0" w:color="auto"/>
        <w:right w:val="none" w:sz="0" w:space="0" w:color="auto"/>
      </w:divBdr>
    </w:div>
    <w:div w:id="257570165">
      <w:bodyDiv w:val="1"/>
      <w:marLeft w:val="0"/>
      <w:marRight w:val="0"/>
      <w:marTop w:val="0"/>
      <w:marBottom w:val="0"/>
      <w:divBdr>
        <w:top w:val="none" w:sz="0" w:space="0" w:color="auto"/>
        <w:left w:val="none" w:sz="0" w:space="0" w:color="auto"/>
        <w:bottom w:val="none" w:sz="0" w:space="0" w:color="auto"/>
        <w:right w:val="none" w:sz="0" w:space="0" w:color="auto"/>
      </w:divBdr>
    </w:div>
    <w:div w:id="336464293">
      <w:bodyDiv w:val="1"/>
      <w:marLeft w:val="0"/>
      <w:marRight w:val="0"/>
      <w:marTop w:val="0"/>
      <w:marBottom w:val="0"/>
      <w:divBdr>
        <w:top w:val="none" w:sz="0" w:space="0" w:color="auto"/>
        <w:left w:val="none" w:sz="0" w:space="0" w:color="auto"/>
        <w:bottom w:val="none" w:sz="0" w:space="0" w:color="auto"/>
        <w:right w:val="none" w:sz="0" w:space="0" w:color="auto"/>
      </w:divBdr>
    </w:div>
    <w:div w:id="361439009">
      <w:bodyDiv w:val="1"/>
      <w:marLeft w:val="0"/>
      <w:marRight w:val="0"/>
      <w:marTop w:val="0"/>
      <w:marBottom w:val="0"/>
      <w:divBdr>
        <w:top w:val="none" w:sz="0" w:space="0" w:color="auto"/>
        <w:left w:val="none" w:sz="0" w:space="0" w:color="auto"/>
        <w:bottom w:val="none" w:sz="0" w:space="0" w:color="auto"/>
        <w:right w:val="none" w:sz="0" w:space="0" w:color="auto"/>
      </w:divBdr>
    </w:div>
    <w:div w:id="374701983">
      <w:bodyDiv w:val="1"/>
      <w:marLeft w:val="0"/>
      <w:marRight w:val="0"/>
      <w:marTop w:val="0"/>
      <w:marBottom w:val="0"/>
      <w:divBdr>
        <w:top w:val="none" w:sz="0" w:space="0" w:color="auto"/>
        <w:left w:val="none" w:sz="0" w:space="0" w:color="auto"/>
        <w:bottom w:val="none" w:sz="0" w:space="0" w:color="auto"/>
        <w:right w:val="none" w:sz="0" w:space="0" w:color="auto"/>
      </w:divBdr>
    </w:div>
    <w:div w:id="432634185">
      <w:bodyDiv w:val="1"/>
      <w:marLeft w:val="0"/>
      <w:marRight w:val="0"/>
      <w:marTop w:val="0"/>
      <w:marBottom w:val="0"/>
      <w:divBdr>
        <w:top w:val="none" w:sz="0" w:space="0" w:color="auto"/>
        <w:left w:val="none" w:sz="0" w:space="0" w:color="auto"/>
        <w:bottom w:val="none" w:sz="0" w:space="0" w:color="auto"/>
        <w:right w:val="none" w:sz="0" w:space="0" w:color="auto"/>
      </w:divBdr>
    </w:div>
    <w:div w:id="522667761">
      <w:bodyDiv w:val="1"/>
      <w:marLeft w:val="0"/>
      <w:marRight w:val="0"/>
      <w:marTop w:val="0"/>
      <w:marBottom w:val="0"/>
      <w:divBdr>
        <w:top w:val="none" w:sz="0" w:space="0" w:color="auto"/>
        <w:left w:val="none" w:sz="0" w:space="0" w:color="auto"/>
        <w:bottom w:val="none" w:sz="0" w:space="0" w:color="auto"/>
        <w:right w:val="none" w:sz="0" w:space="0" w:color="auto"/>
      </w:divBdr>
    </w:div>
    <w:div w:id="582253141">
      <w:bodyDiv w:val="1"/>
      <w:marLeft w:val="0"/>
      <w:marRight w:val="0"/>
      <w:marTop w:val="0"/>
      <w:marBottom w:val="0"/>
      <w:divBdr>
        <w:top w:val="none" w:sz="0" w:space="0" w:color="auto"/>
        <w:left w:val="none" w:sz="0" w:space="0" w:color="auto"/>
        <w:bottom w:val="none" w:sz="0" w:space="0" w:color="auto"/>
        <w:right w:val="none" w:sz="0" w:space="0" w:color="auto"/>
      </w:divBdr>
    </w:div>
    <w:div w:id="770390838">
      <w:bodyDiv w:val="1"/>
      <w:marLeft w:val="0"/>
      <w:marRight w:val="0"/>
      <w:marTop w:val="0"/>
      <w:marBottom w:val="0"/>
      <w:divBdr>
        <w:top w:val="none" w:sz="0" w:space="0" w:color="auto"/>
        <w:left w:val="none" w:sz="0" w:space="0" w:color="auto"/>
        <w:bottom w:val="none" w:sz="0" w:space="0" w:color="auto"/>
        <w:right w:val="none" w:sz="0" w:space="0" w:color="auto"/>
      </w:divBdr>
    </w:div>
    <w:div w:id="839927807">
      <w:bodyDiv w:val="1"/>
      <w:marLeft w:val="0"/>
      <w:marRight w:val="0"/>
      <w:marTop w:val="0"/>
      <w:marBottom w:val="0"/>
      <w:divBdr>
        <w:top w:val="none" w:sz="0" w:space="0" w:color="auto"/>
        <w:left w:val="none" w:sz="0" w:space="0" w:color="auto"/>
        <w:bottom w:val="none" w:sz="0" w:space="0" w:color="auto"/>
        <w:right w:val="none" w:sz="0" w:space="0" w:color="auto"/>
      </w:divBdr>
    </w:div>
    <w:div w:id="847401397">
      <w:bodyDiv w:val="1"/>
      <w:marLeft w:val="0"/>
      <w:marRight w:val="0"/>
      <w:marTop w:val="0"/>
      <w:marBottom w:val="0"/>
      <w:divBdr>
        <w:top w:val="none" w:sz="0" w:space="0" w:color="auto"/>
        <w:left w:val="none" w:sz="0" w:space="0" w:color="auto"/>
        <w:bottom w:val="none" w:sz="0" w:space="0" w:color="auto"/>
        <w:right w:val="none" w:sz="0" w:space="0" w:color="auto"/>
      </w:divBdr>
    </w:div>
    <w:div w:id="889195922">
      <w:bodyDiv w:val="1"/>
      <w:marLeft w:val="0"/>
      <w:marRight w:val="0"/>
      <w:marTop w:val="0"/>
      <w:marBottom w:val="0"/>
      <w:divBdr>
        <w:top w:val="none" w:sz="0" w:space="0" w:color="auto"/>
        <w:left w:val="none" w:sz="0" w:space="0" w:color="auto"/>
        <w:bottom w:val="none" w:sz="0" w:space="0" w:color="auto"/>
        <w:right w:val="none" w:sz="0" w:space="0" w:color="auto"/>
      </w:divBdr>
    </w:div>
    <w:div w:id="946036147">
      <w:bodyDiv w:val="1"/>
      <w:marLeft w:val="0"/>
      <w:marRight w:val="0"/>
      <w:marTop w:val="0"/>
      <w:marBottom w:val="0"/>
      <w:divBdr>
        <w:top w:val="none" w:sz="0" w:space="0" w:color="auto"/>
        <w:left w:val="none" w:sz="0" w:space="0" w:color="auto"/>
        <w:bottom w:val="none" w:sz="0" w:space="0" w:color="auto"/>
        <w:right w:val="none" w:sz="0" w:space="0" w:color="auto"/>
      </w:divBdr>
    </w:div>
    <w:div w:id="958145878">
      <w:bodyDiv w:val="1"/>
      <w:marLeft w:val="0"/>
      <w:marRight w:val="0"/>
      <w:marTop w:val="0"/>
      <w:marBottom w:val="0"/>
      <w:divBdr>
        <w:top w:val="none" w:sz="0" w:space="0" w:color="auto"/>
        <w:left w:val="none" w:sz="0" w:space="0" w:color="auto"/>
        <w:bottom w:val="none" w:sz="0" w:space="0" w:color="auto"/>
        <w:right w:val="none" w:sz="0" w:space="0" w:color="auto"/>
      </w:divBdr>
    </w:div>
    <w:div w:id="1143738890">
      <w:bodyDiv w:val="1"/>
      <w:marLeft w:val="0"/>
      <w:marRight w:val="0"/>
      <w:marTop w:val="0"/>
      <w:marBottom w:val="0"/>
      <w:divBdr>
        <w:top w:val="none" w:sz="0" w:space="0" w:color="auto"/>
        <w:left w:val="none" w:sz="0" w:space="0" w:color="auto"/>
        <w:bottom w:val="none" w:sz="0" w:space="0" w:color="auto"/>
        <w:right w:val="none" w:sz="0" w:space="0" w:color="auto"/>
      </w:divBdr>
    </w:div>
    <w:div w:id="1295990452">
      <w:bodyDiv w:val="1"/>
      <w:marLeft w:val="0"/>
      <w:marRight w:val="0"/>
      <w:marTop w:val="0"/>
      <w:marBottom w:val="0"/>
      <w:divBdr>
        <w:top w:val="none" w:sz="0" w:space="0" w:color="auto"/>
        <w:left w:val="none" w:sz="0" w:space="0" w:color="auto"/>
        <w:bottom w:val="none" w:sz="0" w:space="0" w:color="auto"/>
        <w:right w:val="none" w:sz="0" w:space="0" w:color="auto"/>
      </w:divBdr>
    </w:div>
    <w:div w:id="1373964270">
      <w:bodyDiv w:val="1"/>
      <w:marLeft w:val="0"/>
      <w:marRight w:val="0"/>
      <w:marTop w:val="0"/>
      <w:marBottom w:val="0"/>
      <w:divBdr>
        <w:top w:val="none" w:sz="0" w:space="0" w:color="auto"/>
        <w:left w:val="none" w:sz="0" w:space="0" w:color="auto"/>
        <w:bottom w:val="none" w:sz="0" w:space="0" w:color="auto"/>
        <w:right w:val="none" w:sz="0" w:space="0" w:color="auto"/>
      </w:divBdr>
    </w:div>
    <w:div w:id="1584294129">
      <w:bodyDiv w:val="1"/>
      <w:marLeft w:val="0"/>
      <w:marRight w:val="0"/>
      <w:marTop w:val="0"/>
      <w:marBottom w:val="0"/>
      <w:divBdr>
        <w:top w:val="none" w:sz="0" w:space="0" w:color="auto"/>
        <w:left w:val="none" w:sz="0" w:space="0" w:color="auto"/>
        <w:bottom w:val="none" w:sz="0" w:space="0" w:color="auto"/>
        <w:right w:val="none" w:sz="0" w:space="0" w:color="auto"/>
      </w:divBdr>
    </w:div>
    <w:div w:id="1742678900">
      <w:bodyDiv w:val="1"/>
      <w:marLeft w:val="0"/>
      <w:marRight w:val="0"/>
      <w:marTop w:val="0"/>
      <w:marBottom w:val="0"/>
      <w:divBdr>
        <w:top w:val="none" w:sz="0" w:space="0" w:color="auto"/>
        <w:left w:val="none" w:sz="0" w:space="0" w:color="auto"/>
        <w:bottom w:val="none" w:sz="0" w:space="0" w:color="auto"/>
        <w:right w:val="none" w:sz="0" w:space="0" w:color="auto"/>
      </w:divBdr>
    </w:div>
    <w:div w:id="1775977625">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85865913">
      <w:bodyDiv w:val="1"/>
      <w:marLeft w:val="0"/>
      <w:marRight w:val="0"/>
      <w:marTop w:val="0"/>
      <w:marBottom w:val="0"/>
      <w:divBdr>
        <w:top w:val="none" w:sz="0" w:space="0" w:color="auto"/>
        <w:left w:val="none" w:sz="0" w:space="0" w:color="auto"/>
        <w:bottom w:val="none" w:sz="0" w:space="0" w:color="auto"/>
        <w:right w:val="none" w:sz="0" w:space="0" w:color="auto"/>
      </w:divBdr>
    </w:div>
    <w:div w:id="2019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5016-D828-46A7-94EF-3D2A5471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BVLT</cp:lastModifiedBy>
  <cp:revision>179</cp:revision>
  <cp:lastPrinted>2022-12-02T00:24:00Z</cp:lastPrinted>
  <dcterms:created xsi:type="dcterms:W3CDTF">2022-12-05T08:29:00Z</dcterms:created>
  <dcterms:modified xsi:type="dcterms:W3CDTF">2025-12-05T10:54:00Z</dcterms:modified>
</cp:coreProperties>
</file>