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28E4CD44" w14:textId="25F03E2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Tên dự án</w:t>
      </w:r>
      <w:r w:rsidRPr="00EF5E60">
        <w:rPr>
          <w:sz w:val="28"/>
          <w:szCs w:val="28"/>
        </w:rPr>
        <w:t xml:space="preserve">: </w:t>
      </w:r>
      <w:r w:rsidR="00E07760" w:rsidRPr="00E07760">
        <w:rPr>
          <w:sz w:val="28"/>
          <w:szCs w:val="28"/>
        </w:rPr>
        <w:t>Đầu tư xây dựng đường và cống hộp tại xóm Tài Phèng, khu Thác Bạc (đoạn đi qua suối Diễn Vọng – Đại Bình – Khe Giữa), phường Mông Dương</w:t>
      </w:r>
      <w:r w:rsidRPr="00EF5E60">
        <w:rPr>
          <w:sz w:val="28"/>
          <w:szCs w:val="28"/>
        </w:rPr>
        <w:t>.</w:t>
      </w:r>
    </w:p>
    <w:p w14:paraId="6CA37A79" w14:textId="0F27A83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Chủ đầu tư: </w:t>
      </w:r>
      <w:r w:rsidR="00BB50C7">
        <w:rPr>
          <w:sz w:val="28"/>
          <w:szCs w:val="28"/>
        </w:rPr>
        <w:t xml:space="preserve">Trung tâm cung ứng dịch vụ phường </w:t>
      </w:r>
      <w:r w:rsidR="00EF5E60">
        <w:rPr>
          <w:sz w:val="28"/>
          <w:szCs w:val="28"/>
        </w:rPr>
        <w:t>Mông Dương</w:t>
      </w:r>
      <w:r w:rsidRPr="00BB50C7">
        <w:rPr>
          <w:sz w:val="28"/>
          <w:szCs w:val="28"/>
          <w:lang w:val="vi-VN"/>
        </w:rPr>
        <w:t>.</w:t>
      </w:r>
    </w:p>
    <w:p w14:paraId="569E6CD1" w14:textId="03D4617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Nguồn vốn đầu tư: </w:t>
      </w:r>
      <w:r w:rsidR="00EF5E60" w:rsidRPr="00EF5E60">
        <w:rPr>
          <w:sz w:val="28"/>
          <w:szCs w:val="28"/>
        </w:rPr>
        <w:t>Ngân sách phường năm và Ngân sách tỉnh bổ sung có mục tiêu.</w:t>
      </w:r>
    </w:p>
    <w:p w14:paraId="16C16751" w14:textId="24C3E05C"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Địa điểm xây dựng: Phường </w:t>
      </w:r>
      <w:r w:rsidR="00EF5E60">
        <w:rPr>
          <w:sz w:val="28"/>
          <w:szCs w:val="28"/>
        </w:rPr>
        <w:t>Mông Dương</w:t>
      </w:r>
      <w:r w:rsidRPr="00BB50C7">
        <w:rPr>
          <w:sz w:val="28"/>
          <w:szCs w:val="28"/>
          <w:lang w:val="vi-VN"/>
        </w:rPr>
        <w:t>, tỉnh Quảng Ninh</w:t>
      </w:r>
    </w:p>
    <w:p w14:paraId="14A55CA7" w14:textId="4E11732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Tên gói </w:t>
      </w:r>
      <w:r w:rsidRPr="00EF5E60">
        <w:rPr>
          <w:sz w:val="28"/>
          <w:szCs w:val="28"/>
        </w:rPr>
        <w:t xml:space="preserve">thầu: </w:t>
      </w:r>
      <w:r w:rsidR="00EF5E60" w:rsidRPr="00EF5E60">
        <w:rPr>
          <w:sz w:val="28"/>
          <w:szCs w:val="28"/>
        </w:rPr>
        <w:t>Gói thầu số 05: Thi công xây dựng</w:t>
      </w:r>
    </w:p>
    <w:p w14:paraId="26E03E6C"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Hình thức lựa chọn nhà thầu: Đấu thầu rộng rãi trong nước (qua mạng).</w:t>
      </w:r>
    </w:p>
    <w:p w14:paraId="03C78137"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Phương thức lựa chọn nhà thầu: Một giai đoạn một túi hồ sơ.</w:t>
      </w:r>
    </w:p>
    <w:p w14:paraId="17B4D581" w14:textId="5C58B2FD"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Thời gian thực hiện gói thầu: </w:t>
      </w:r>
      <w:r w:rsidR="00E07760">
        <w:rPr>
          <w:sz w:val="28"/>
          <w:szCs w:val="28"/>
        </w:rPr>
        <w:t>180</w:t>
      </w:r>
      <w:r w:rsidRPr="00BB50C7">
        <w:rPr>
          <w:sz w:val="28"/>
          <w:szCs w:val="28"/>
          <w:lang w:val="vi-VN"/>
        </w:rPr>
        <w:t xml:space="preserve"> ngày</w:t>
      </w:r>
      <w:r w:rsidRPr="00BB50C7">
        <w:rPr>
          <w:sz w:val="28"/>
          <w:szCs w:val="28"/>
        </w:rPr>
        <w:t xml:space="preserve"> </w:t>
      </w:r>
    </w:p>
    <w:p w14:paraId="0F6F6406"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Mục tiêu, Quy mô, chỉ tiêu kỹ thuật và giải pháp thiết kế chủ yếu của công trình: </w:t>
      </w:r>
    </w:p>
    <w:p w14:paraId="09AF5095" w14:textId="77777777" w:rsidR="00BB50C7" w:rsidRDefault="00EA597B" w:rsidP="00E07760">
      <w:pPr>
        <w:widowControl w:val="0"/>
        <w:spacing w:before="120" w:after="120" w:line="264" w:lineRule="auto"/>
        <w:ind w:firstLine="567"/>
        <w:rPr>
          <w:sz w:val="28"/>
          <w:szCs w:val="28"/>
          <w:lang w:val="vi-VN"/>
        </w:rPr>
      </w:pPr>
      <w:r w:rsidRPr="00BB50C7">
        <w:rPr>
          <w:sz w:val="28"/>
          <w:szCs w:val="28"/>
          <w:lang w:val="vi-VN"/>
        </w:rPr>
        <w:t xml:space="preserve">* Mục tiêu: </w:t>
      </w:r>
      <w:bookmarkStart w:id="0" w:name="_Hlk139051887"/>
    </w:p>
    <w:bookmarkEnd w:id="0"/>
    <w:p w14:paraId="3FCA3B44"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Mục tiêu của dự án là khắc phục tình trạng ngập úng cục bộ trong khu vực dự án đảm bảo tiêu thoát nước ổn định, an toàn giao thông và cải thiện môi trường sống cho người dân khu vực. Dự án hướng tới việc cải tạo, nâng cấp hệ thống thoát nước đồng bộ nhằm tăng khả năng tiêu thoát nước mưa, giảm thiểu nguy cơ ngập cục bộ trong mùa mưa bão. Góp phần hoàn thiện hệ thống thoát nước của phường. Đồng thời giải quyết kiến ngự cử tri, mong mỏi của người dân từ nhiều năm nay.</w:t>
      </w:r>
    </w:p>
    <w:p w14:paraId="4C506A8E"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xml:space="preserve">- Bên cạnh đó, dự án còn góp phần bảo vệ kết cấu hạ tầng giao thông hiện có, hạn chế hư hỏng mặt đường do ngập nước kéo dài, đồng thời nâng cao năng lực tiêu thoát nước tổng thể của khu vực, tạo điều kiện thuận lợi cho phát triển dân cư, thương mại dịch vụ và chỉnh trang đô thị phường Mông Dương theo hướng văn minh, hiện đại. </w:t>
      </w:r>
    </w:p>
    <w:p w14:paraId="249F4B55" w14:textId="77777777" w:rsidR="00E07760" w:rsidRDefault="00EA597B" w:rsidP="00E07760">
      <w:pPr>
        <w:widowControl w:val="0"/>
        <w:spacing w:before="120" w:after="120" w:line="264" w:lineRule="auto"/>
        <w:ind w:firstLine="567"/>
        <w:rPr>
          <w:sz w:val="28"/>
          <w:szCs w:val="28"/>
          <w:lang w:val="vi-VN"/>
        </w:rPr>
      </w:pPr>
      <w:r w:rsidRPr="00BB50C7">
        <w:rPr>
          <w:sz w:val="28"/>
          <w:szCs w:val="28"/>
          <w:lang w:val="vi-VN"/>
        </w:rPr>
        <w:t xml:space="preserve">* Quy mô đầu tư: </w:t>
      </w:r>
    </w:p>
    <w:p w14:paraId="12EF5C91" w14:textId="52370A9F"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a. Xây dựng tuyến đường đảm bảo quy mô tối thiểu cấp V Miền Núi, cụ thể:</w:t>
      </w:r>
    </w:p>
    <w:p w14:paraId="03BEF548"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Từ Km0+00 – Km0+144 (Khu vực đường dẫn cống hộp) thiết kế với quy mô Bnền = 8.0m; Bmặt = 7,5m; Blề = 2x0.5=1,0m.</w:t>
      </w:r>
    </w:p>
    <w:p w14:paraId="4FD46D06"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lastRenderedPageBreak/>
        <w:t>- Từ Km0+144 – Km2+035 thiết kế quy mô Bnền = 6,5m; Bmặt = 5,5m; Blề = 2x0,5=1,0m</w:t>
      </w:r>
    </w:p>
    <w:p w14:paraId="23675CEB"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Từ Km2+035 thiết kế theo đường hiện trạng với B nền = 7,0 – 8,0m ; B mặt = 6,0 – 7,0m ; B lề = 2x0.5=1,0m</w:t>
      </w:r>
    </w:p>
    <w:p w14:paraId="4F645FC3"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xml:space="preserve">b. Kết cấu áo đường: </w:t>
      </w:r>
    </w:p>
    <w:p w14:paraId="58BAA51D"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Loại 1 (Tăng cường trên mặt đường cũ) kết cấu gồm các lớp sau: Thảm BTNC12.5 dày 7cm; Tưới dính bám bằng nhũ tương CRS-1, Móng cấp phối đá dăm loại 1 dày 18cm (Dmax=25mm) phía dưới bù vênh bằng cấp phối đá dăm loại 1.</w:t>
      </w:r>
    </w:p>
    <w:p w14:paraId="0B5D2B3F"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Loại 2 (Vị trí cạp mở rộng)  kết cấu gồm các lớp sau: Thảm BTNC12.5 dày 7cm; Móng trên cấp phối đá dăm loại 1 dày 18cm (Dmax=25mm)  móng dưới cấp phối đá dăm loại 1 dày 18cm, nền đường lu lèn K95.</w:t>
      </w:r>
    </w:p>
    <w:p w14:paraId="1050BDF9"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Loại 3 (Tại vị trí cũ tôn cao so với mặt đường cũ) kết cấu gồm các lớp sau: Thảm BTNC12.5 dày 7cm; Móng cấp phối đá dăm loại 1 dày 18cm (Dmax=25mm);  Móng cấp phối đá dăm loại 1 dày 18cm (Dmax=37.5mm), phía dưới bù vênh bằng cấp phối đá dăm loại 1.</w:t>
      </w:r>
    </w:p>
    <w:p w14:paraId="0494A1C6"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xml:space="preserve">+ Loại 4 (Trên đỉnh cống hộp và đoạn từ Km2+34 – Km2+310): Thảm BTNC12.5 dày 7cm; Lưới địa kỹ thuật sợi thủy tinh cường độ chịu kéo 100/100KN/m. </w:t>
      </w:r>
    </w:p>
    <w:p w14:paraId="550ED1C4"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c. Hệ thống thoát nước mưa: Cống hộp</w:t>
      </w:r>
    </w:p>
    <w:p w14:paraId="349225D2"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Tại vị trí tuyến cắt qua suối Diễn Vọng, Lưu vực F = 30Km2, lưu lượng Q4% = 334.5m3/s.</w:t>
      </w:r>
    </w:p>
    <w:p w14:paraId="65C1A60E"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Chọn cống hộp khẩu độ thoát nước gồm 4 cống khẩu độ 6x6m, Qcống = 411.72m3/s.</w:t>
      </w:r>
    </w:p>
    <w:p w14:paraId="510C4CD6"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d. An toàn giao thông</w:t>
      </w:r>
    </w:p>
    <w:p w14:paraId="5FECA134"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Hệ thống an toàn giao thông sử dụng trong dự án bao gồm: Vạch sơn, biển báo hiệu, tôn hộ lan, cột tiêu, gờ giảm tốc...</w:t>
      </w:r>
    </w:p>
    <w:p w14:paraId="237A6EDC" w14:textId="77777777" w:rsidR="00E07760" w:rsidRPr="00E07760" w:rsidRDefault="00E07760" w:rsidP="00E07760">
      <w:pPr>
        <w:widowControl w:val="0"/>
        <w:spacing w:before="120" w:after="120" w:line="264" w:lineRule="auto"/>
        <w:ind w:firstLine="567"/>
        <w:rPr>
          <w:sz w:val="28"/>
          <w:szCs w:val="28"/>
          <w:lang w:val="vi-VN"/>
        </w:rPr>
      </w:pPr>
      <w:r w:rsidRPr="00E07760">
        <w:rPr>
          <w:sz w:val="28"/>
          <w:szCs w:val="28"/>
          <w:lang w:val="vi-VN"/>
        </w:rPr>
        <w:t xml:space="preserve">- Toàn bộ các biển báo, bảng thông tin đều dùng vật liệu thép, tôn và sơn phản quang, Chữ trên biển báo được ghi bằng tiếng Việt. Vạch sơn an toàn giao thông được sơn bằng sơn phản quang theo quy định. Sơn phản quang đường dùng loại sơn dẻo nhiệt, thi công bằng phương pháp phun. </w:t>
      </w:r>
    </w:p>
    <w:p w14:paraId="71ECCA15" w14:textId="55DB4D64" w:rsidR="00EA597B" w:rsidRPr="00BB50C7" w:rsidRDefault="00EA597B" w:rsidP="00E07760">
      <w:pPr>
        <w:widowControl w:val="0"/>
        <w:spacing w:before="120" w:after="120" w:line="264" w:lineRule="auto"/>
        <w:ind w:firstLine="567"/>
        <w:rPr>
          <w:sz w:val="28"/>
          <w:szCs w:val="28"/>
          <w:lang w:val="vi-VN"/>
        </w:rPr>
      </w:pPr>
      <w:r w:rsidRPr="00BB50C7">
        <w:rPr>
          <w:sz w:val="28"/>
          <w:szCs w:val="28"/>
        </w:rPr>
        <w:t>*</w:t>
      </w:r>
      <w:r w:rsidRPr="00BB50C7">
        <w:rPr>
          <w:sz w:val="28"/>
          <w:szCs w:val="28"/>
          <w:lang w:val="vi-VN"/>
        </w:rPr>
        <w:t xml:space="preserve"> Thời hạn hoàn thành: </w:t>
      </w:r>
      <w:r w:rsidR="00E07760">
        <w:rPr>
          <w:sz w:val="28"/>
          <w:szCs w:val="28"/>
        </w:rPr>
        <w:t>180</w:t>
      </w:r>
      <w:r w:rsidRPr="00BB50C7">
        <w:rPr>
          <w:sz w:val="28"/>
          <w:szCs w:val="28"/>
          <w:lang w:val="vi-VN"/>
        </w:rPr>
        <w:t xml:space="preserve"> ngày.</w:t>
      </w:r>
    </w:p>
    <w:p w14:paraId="24118789" w14:textId="77777777" w:rsidR="00EA597B" w:rsidRPr="00BB50C7" w:rsidRDefault="00EA597B" w:rsidP="00EA597B">
      <w:pPr>
        <w:widowControl w:val="0"/>
        <w:spacing w:before="120" w:after="120" w:line="264" w:lineRule="auto"/>
        <w:ind w:firstLine="567"/>
        <w:rPr>
          <w:b/>
          <w:sz w:val="28"/>
          <w:szCs w:val="28"/>
          <w:lang w:val="vi-VN"/>
        </w:rPr>
      </w:pPr>
      <w:r w:rsidRPr="00BB50C7">
        <w:rPr>
          <w:b/>
          <w:sz w:val="28"/>
          <w:szCs w:val="28"/>
          <w:lang w:val="vi-VN"/>
        </w:rPr>
        <w:t>II. Yêu cầu về tiến độ thực hiện</w:t>
      </w:r>
    </w:p>
    <w:p w14:paraId="4F8948A4" w14:textId="474099CD"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Thời gian từ khi khởi công đến khi hoàn thành hợp đồng: ≤ </w:t>
      </w:r>
      <w:r w:rsidR="00E07760">
        <w:rPr>
          <w:sz w:val="28"/>
          <w:szCs w:val="28"/>
        </w:rPr>
        <w:t>180</w:t>
      </w:r>
      <w:bookmarkStart w:id="1" w:name="_GoBack"/>
      <w:bookmarkEnd w:id="1"/>
      <w:r w:rsidRPr="00BB50C7">
        <w:rPr>
          <w:sz w:val="28"/>
          <w:szCs w:val="28"/>
          <w:lang w:val="vi-VN"/>
        </w:rPr>
        <w:t xml:space="preserve"> ngày</w:t>
      </w:r>
      <w:r w:rsidR="00C47EB7">
        <w:rPr>
          <w:sz w:val="28"/>
          <w:szCs w:val="28"/>
        </w:rPr>
        <w:t>.</w:t>
      </w:r>
    </w:p>
    <w:p w14:paraId="60B4AC6B" w14:textId="77777777" w:rsidR="00EA597B" w:rsidRPr="00BB50C7" w:rsidRDefault="00EA597B" w:rsidP="00EA597B">
      <w:pPr>
        <w:widowControl w:val="0"/>
        <w:spacing w:before="120" w:after="120" w:line="264" w:lineRule="auto"/>
        <w:ind w:firstLine="567"/>
        <w:rPr>
          <w:b/>
          <w:bCs/>
          <w:sz w:val="28"/>
          <w:szCs w:val="28"/>
          <w:lang w:val="vi-VN"/>
        </w:rPr>
      </w:pPr>
      <w:r w:rsidRPr="00BB50C7">
        <w:rPr>
          <w:b/>
          <w:bCs/>
          <w:sz w:val="28"/>
          <w:szCs w:val="28"/>
          <w:lang w:val="vi-VN"/>
        </w:rPr>
        <w:t>III. Yêu cầu về kỹ thuật/chỉ dẫn kỹ thuật</w:t>
      </w:r>
    </w:p>
    <w:p w14:paraId="0E4773D8" w14:textId="77777777" w:rsidR="00EA597B" w:rsidRPr="00BB50C7" w:rsidRDefault="00EA597B" w:rsidP="00EA597B">
      <w:pPr>
        <w:widowControl w:val="0"/>
        <w:spacing w:before="60" w:after="60" w:line="259" w:lineRule="auto"/>
        <w:ind w:firstLine="567"/>
        <w:rPr>
          <w:sz w:val="28"/>
          <w:szCs w:val="28"/>
          <w:lang w:val="vi-VN"/>
        </w:rPr>
      </w:pPr>
      <w:bookmarkStart w:id="2" w:name="_Hlk163114159"/>
      <w:r w:rsidRPr="00BB50C7">
        <w:rPr>
          <w:sz w:val="28"/>
          <w:szCs w:val="28"/>
          <w:lang w:val="vi-VN"/>
        </w:rPr>
        <w:lastRenderedPageBreak/>
        <w:t xml:space="preserve">Toàn bộ các yêu cầu về mặt kỹ thuật/chỉ dẫn kỹ thuật phải được </w:t>
      </w:r>
      <w:r w:rsidRPr="00BB50C7" w:rsidDel="00D20538">
        <w:rPr>
          <w:sz w:val="28"/>
          <w:szCs w:val="28"/>
          <w:lang w:val="vi-VN"/>
        </w:rPr>
        <w:t>so</w:t>
      </w:r>
      <w:r w:rsidRPr="00BB50C7">
        <w:rPr>
          <w:sz w:val="28"/>
          <w:szCs w:val="28"/>
          <w:lang w:val="vi-VN"/>
        </w:rPr>
        <w:t>ạ</w:t>
      </w:r>
      <w:r w:rsidRPr="00BB50C7" w:rsidDel="00D20538">
        <w:rPr>
          <w:sz w:val="28"/>
          <w:szCs w:val="28"/>
          <w:lang w:val="vi-VN"/>
        </w:rPr>
        <w:t>n th</w:t>
      </w:r>
      <w:r w:rsidRPr="00BB50C7">
        <w:rPr>
          <w:sz w:val="28"/>
          <w:szCs w:val="28"/>
          <w:lang w:val="vi-VN"/>
        </w:rPr>
        <w:t>ả</w:t>
      </w:r>
      <w:r w:rsidRPr="00BB50C7" w:rsidDel="00D20538">
        <w:rPr>
          <w:sz w:val="28"/>
          <w:szCs w:val="28"/>
          <w:lang w:val="vi-VN"/>
        </w:rPr>
        <w:t>o</w:t>
      </w:r>
      <w:r w:rsidRPr="00BB50C7">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6633D951" w14:textId="77777777" w:rsidR="00EA597B" w:rsidRPr="00BB50C7" w:rsidRDefault="00EA597B" w:rsidP="00EA597B">
      <w:pPr>
        <w:widowControl w:val="0"/>
        <w:tabs>
          <w:tab w:val="left" w:pos="700"/>
        </w:tabs>
        <w:spacing w:before="60" w:after="60" w:line="259" w:lineRule="auto"/>
        <w:ind w:firstLine="567"/>
        <w:rPr>
          <w:bCs/>
          <w:sz w:val="28"/>
          <w:szCs w:val="28"/>
          <w:lang w:val="vi-VN"/>
        </w:rPr>
      </w:pPr>
      <w:r w:rsidRPr="00BB50C7">
        <w:rPr>
          <w:bCs/>
          <w:sz w:val="28"/>
          <w:szCs w:val="28"/>
          <w:lang w:val="vi-VN"/>
        </w:rPr>
        <w:t>Yêu cầu về mặt kỹ thuật/chỉ dẫn kỹ thuật bao gồm các nội dung chủ yếu sau:</w:t>
      </w:r>
    </w:p>
    <w:p w14:paraId="6E24ECF0"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1. Quy trình, quy phạm áp dụng cho việc thi công, nghiệm thu công trình</w:t>
      </w:r>
    </w:p>
    <w:p w14:paraId="19A29E56"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EA1197E" w14:textId="6979BD8B"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yêu cầu kỹ thuật thiết bị vật tư nêu tại </w:t>
      </w:r>
      <w:r w:rsidR="00766E00">
        <w:rPr>
          <w:bCs/>
          <w:sz w:val="28"/>
          <w:szCs w:val="28"/>
        </w:rPr>
        <w:t>E-</w:t>
      </w:r>
      <w:r w:rsidRPr="00BB50C7">
        <w:rPr>
          <w:bCs/>
          <w:sz w:val="28"/>
          <w:szCs w:val="28"/>
          <w:lang w:val="vi-VN"/>
        </w:rPr>
        <w:t xml:space="preserve">HSMT là yêu cầu cơ bản, khi dự thầu nhà thầu phải đáp ứng thông số đáp ứng yêu cầu của </w:t>
      </w:r>
      <w:r w:rsidR="00766E00">
        <w:rPr>
          <w:bCs/>
          <w:sz w:val="28"/>
          <w:szCs w:val="28"/>
        </w:rPr>
        <w:t>E-</w:t>
      </w:r>
      <w:r w:rsidRPr="00BB50C7">
        <w:rPr>
          <w:bCs/>
          <w:sz w:val="28"/>
          <w:szCs w:val="28"/>
          <w:lang w:val="vi-VN"/>
        </w:rPr>
        <w:t>HSMT trường hợp nhà thầu chào thiết bị tương đương thì phải chứng minh tính tương đương hoặc tốt hơn của thiết bị, vật tư chào thầu.</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(Cầu đường, ATLĐ, kinh tế xây dựng; cấp thoát nước; điện; vật liệu xây dựng,…)</w:t>
      </w:r>
      <w:r w:rsidRPr="00BB50C7">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w:t>
      </w:r>
      <w:r w:rsidRPr="00BB50C7">
        <w:rPr>
          <w:bCs/>
          <w:sz w:val="28"/>
          <w:szCs w:val="28"/>
          <w:lang w:val="vi-VN"/>
        </w:rPr>
        <w:lastRenderedPageBreak/>
        <w:t xml:space="preserve">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Tổ chức thực hiện thi công công trình đạt yêu cầu kỹ thuật và theo đúng 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Sau khi thi công hoàn thiện công trình và trước khi nghiệm thu công trình, Nhà thầu phải thu dọn, san trả hiện trường và làm cho khu vực công trường được </w:t>
      </w:r>
      <w:r w:rsidRPr="00BB50C7">
        <w:rPr>
          <w:bCs/>
          <w:sz w:val="28"/>
          <w:szCs w:val="28"/>
          <w:lang w:val="vi-VN"/>
        </w:rPr>
        <w:lastRenderedPageBreak/>
        <w:t>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cung cấp nguyên vật liệu, trang thiết bị, nhiên liệu, dụng 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Khối lượng công việc: Khối lượng công việc được nêu chi tiết ở tại bảng 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Đường vào công trình: Nhà thầu phải chỉ ra được đường vào ra công trình </w:t>
      </w:r>
      <w:r w:rsidRPr="00BB50C7">
        <w:rPr>
          <w:rFonts w:eastAsia="Aptos"/>
          <w:bCs/>
          <w:kern w:val="2"/>
          <w:sz w:val="28"/>
          <w:szCs w:val="28"/>
          <w:lang w:val="vi-VN"/>
          <w14:ligatures w14:val="standardContextual"/>
        </w:rPr>
        <w:lastRenderedPageBreak/>
        <w:t>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không được di chuyển máy móc thi công khỏi công trường trừ khi có văn bản phê duyệt của TVGS. TVGS có thể yêu cầu các nhà thầu để lại một số </w:t>
      </w:r>
      <w:r w:rsidRPr="00BB50C7">
        <w:rPr>
          <w:bCs/>
          <w:sz w:val="28"/>
          <w:szCs w:val="28"/>
          <w:lang w:val="vi-VN"/>
        </w:rPr>
        <w:lastRenderedPageBreak/>
        <w:t>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phần trăm của hạng mục công việc chính đã hoàn thành so với biểu đồ tiến độ tính đến cuối giai đoạn báo cáo, giải trình sự khác biệt giữa tiến độ thực 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tổng số các loại vật liệu xây dựng chủ yếu đã dùng trong thời 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Một danh sách các yêu cầu của Nhà thầu: số lượng yêu cầu và thời gian yêu 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phải có trách nhiệm sửa chữa và bảo dưỡng các biển báo cho đến </w:t>
      </w:r>
      <w:r w:rsidRPr="00BB50C7">
        <w:rPr>
          <w:bCs/>
          <w:sz w:val="28"/>
          <w:szCs w:val="28"/>
          <w:lang w:val="vi-VN"/>
        </w:rPr>
        <w:lastRenderedPageBreak/>
        <w:t>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w:t>
      </w:r>
      <w:r w:rsidRPr="00BB50C7">
        <w:rPr>
          <w:bCs/>
          <w:sz w:val="28"/>
          <w:szCs w:val="28"/>
          <w:lang w:val="vi-VN"/>
        </w:rPr>
        <w:lastRenderedPageBreak/>
        <w:t xml:space="preserve">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Có biện pháp hạn chế khí thải, khói của thiết bị và các hoạt động khác tại 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w:t>
      </w:r>
      <w:r w:rsidRPr="00BB50C7">
        <w:rPr>
          <w:rFonts w:eastAsia="Aptos"/>
          <w:bCs/>
          <w:kern w:val="2"/>
          <w:sz w:val="28"/>
          <w:szCs w:val="28"/>
          <w:lang w:val="vi-VN"/>
          <w14:ligatures w14:val="standardContextual"/>
        </w:rPr>
        <w:lastRenderedPageBreak/>
        <w:t>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7777777"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t>2.</w:t>
      </w:r>
      <w:r w:rsidRPr="00BB50C7">
        <w:rPr>
          <w:b/>
          <w:bCs/>
          <w:i/>
          <w:sz w:val="28"/>
          <w:szCs w:val="28"/>
          <w:lang w:val="vi-VN"/>
        </w:rPr>
        <w:t>4</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3" w:name="_Hlk151121562"/>
      <w:r w:rsidRPr="00BB50C7">
        <w:rPr>
          <w:b/>
          <w:bCs/>
          <w:sz w:val="28"/>
          <w:szCs w:val="28"/>
        </w:rPr>
        <w:t>Yêu cầu về chủng loại vật tư, chất lượng vật tư, thiết bị</w:t>
      </w:r>
      <w:bookmarkEnd w:id="3"/>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w:t>
      </w:r>
      <w:r w:rsidRPr="00937F62">
        <w:rPr>
          <w:bCs/>
          <w:sz w:val="28"/>
          <w:szCs w:val="28"/>
        </w:rPr>
        <w:lastRenderedPageBreak/>
        <w:t xml:space="preserve">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w:t>
      </w:r>
      <w:r w:rsidRPr="00374B25">
        <w:rPr>
          <w:bCs/>
          <w:i/>
          <w:sz w:val="28"/>
          <w:szCs w:val="28"/>
        </w:rPr>
        <w:lastRenderedPageBreak/>
        <w:t xml:space="preserve">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693"/>
        <w:gridCol w:w="5663"/>
      </w:tblGrid>
      <w:tr w:rsidR="00374B25" w14:paraId="540BF13D" w14:textId="77777777" w:rsidTr="003951D5">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t>STT</w:t>
            </w:r>
          </w:p>
        </w:tc>
        <w:tc>
          <w:tcPr>
            <w:tcW w:w="2693"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663"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3951D5">
        <w:tc>
          <w:tcPr>
            <w:tcW w:w="704" w:type="dxa"/>
            <w:vAlign w:val="center"/>
          </w:tcPr>
          <w:p w14:paraId="691CC26B" w14:textId="40E847F6" w:rsidR="00374B25" w:rsidRPr="003951D5" w:rsidRDefault="00374B25" w:rsidP="00F51DFC">
            <w:pPr>
              <w:spacing w:before="60" w:after="60" w:line="259" w:lineRule="auto"/>
              <w:jc w:val="center"/>
              <w:rPr>
                <w:sz w:val="26"/>
                <w:szCs w:val="26"/>
              </w:rPr>
            </w:pPr>
          </w:p>
        </w:tc>
        <w:tc>
          <w:tcPr>
            <w:tcW w:w="2693" w:type="dxa"/>
            <w:vAlign w:val="center"/>
          </w:tcPr>
          <w:p w14:paraId="0F5B65DB" w14:textId="2A9C1542" w:rsidR="00374B25" w:rsidRPr="003951D5" w:rsidRDefault="00374B25" w:rsidP="00EA597B">
            <w:pPr>
              <w:spacing w:before="60" w:after="60" w:line="259" w:lineRule="auto"/>
              <w:rPr>
                <w:sz w:val="26"/>
                <w:szCs w:val="26"/>
              </w:rPr>
            </w:pPr>
          </w:p>
        </w:tc>
        <w:tc>
          <w:tcPr>
            <w:tcW w:w="5663" w:type="dxa"/>
            <w:vAlign w:val="center"/>
          </w:tcPr>
          <w:p w14:paraId="405F3403" w14:textId="084DC570" w:rsidR="00374B25" w:rsidRPr="003951D5" w:rsidRDefault="00374B25" w:rsidP="007A4334">
            <w:pPr>
              <w:spacing w:before="60" w:after="60" w:line="259" w:lineRule="auto"/>
              <w:rPr>
                <w:sz w:val="26"/>
                <w:szCs w:val="26"/>
              </w:rPr>
            </w:pPr>
          </w:p>
        </w:tc>
      </w:tr>
      <w:tr w:rsidR="00374B25" w14:paraId="4FBCDA1E" w14:textId="77777777" w:rsidTr="003951D5">
        <w:tc>
          <w:tcPr>
            <w:tcW w:w="704" w:type="dxa"/>
            <w:vAlign w:val="center"/>
          </w:tcPr>
          <w:p w14:paraId="10EDA486" w14:textId="2921CFD7" w:rsidR="00374B25" w:rsidRPr="003951D5" w:rsidRDefault="00374B25" w:rsidP="00F51DFC">
            <w:pPr>
              <w:spacing w:before="60" w:after="60" w:line="259" w:lineRule="auto"/>
              <w:jc w:val="center"/>
              <w:rPr>
                <w:sz w:val="26"/>
                <w:szCs w:val="26"/>
              </w:rPr>
            </w:pPr>
          </w:p>
        </w:tc>
        <w:tc>
          <w:tcPr>
            <w:tcW w:w="2693" w:type="dxa"/>
            <w:vAlign w:val="center"/>
          </w:tcPr>
          <w:p w14:paraId="07CD6CB8" w14:textId="4B522352" w:rsidR="00374B25" w:rsidRPr="003951D5" w:rsidRDefault="00374B25" w:rsidP="00EA597B">
            <w:pPr>
              <w:spacing w:before="60" w:after="60" w:line="259" w:lineRule="auto"/>
              <w:rPr>
                <w:sz w:val="26"/>
                <w:szCs w:val="26"/>
              </w:rPr>
            </w:pPr>
          </w:p>
        </w:tc>
        <w:tc>
          <w:tcPr>
            <w:tcW w:w="5663" w:type="dxa"/>
            <w:vAlign w:val="center"/>
          </w:tcPr>
          <w:p w14:paraId="6ED07F9F" w14:textId="2A1D910B" w:rsidR="00374B25" w:rsidRPr="003951D5" w:rsidRDefault="00374B25" w:rsidP="007A4334">
            <w:pPr>
              <w:spacing w:before="60" w:after="60" w:line="259" w:lineRule="auto"/>
              <w:rPr>
                <w:sz w:val="26"/>
                <w:szCs w:val="26"/>
              </w:rPr>
            </w:pPr>
          </w:p>
        </w:tc>
      </w:tr>
      <w:tr w:rsidR="00374B25" w14:paraId="52BD1995" w14:textId="77777777" w:rsidTr="003951D5">
        <w:tc>
          <w:tcPr>
            <w:tcW w:w="704" w:type="dxa"/>
            <w:vAlign w:val="center"/>
          </w:tcPr>
          <w:p w14:paraId="520C0AB1" w14:textId="7A6A2B8B" w:rsidR="00374B25" w:rsidRPr="003951D5" w:rsidRDefault="00374B25" w:rsidP="00F51DFC">
            <w:pPr>
              <w:spacing w:before="60" w:after="60" w:line="259" w:lineRule="auto"/>
              <w:jc w:val="center"/>
              <w:rPr>
                <w:sz w:val="26"/>
                <w:szCs w:val="26"/>
              </w:rPr>
            </w:pPr>
          </w:p>
        </w:tc>
        <w:tc>
          <w:tcPr>
            <w:tcW w:w="2693" w:type="dxa"/>
            <w:vAlign w:val="center"/>
          </w:tcPr>
          <w:p w14:paraId="33030B6F" w14:textId="5B558207" w:rsidR="00374B25" w:rsidRPr="003951D5" w:rsidRDefault="00374B25" w:rsidP="00EA597B">
            <w:pPr>
              <w:spacing w:before="60" w:after="60" w:line="259" w:lineRule="auto"/>
              <w:rPr>
                <w:sz w:val="26"/>
                <w:szCs w:val="26"/>
              </w:rPr>
            </w:pPr>
          </w:p>
        </w:tc>
        <w:tc>
          <w:tcPr>
            <w:tcW w:w="5663" w:type="dxa"/>
            <w:vAlign w:val="center"/>
          </w:tcPr>
          <w:p w14:paraId="16DA60B7" w14:textId="112F36C9" w:rsidR="00374B25" w:rsidRPr="003951D5" w:rsidRDefault="00374B25" w:rsidP="007A4334">
            <w:pPr>
              <w:spacing w:before="60" w:after="60" w:line="259" w:lineRule="auto"/>
              <w:rPr>
                <w:sz w:val="26"/>
                <w:szCs w:val="26"/>
              </w:rPr>
            </w:pP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t>thầu, những phần chưa rõ hoặc thiếu sót sẽ do bên mời thầu quy định và nhà thầu</w:t>
      </w:r>
      <w:r>
        <w:rPr>
          <w:bCs/>
          <w:sz w:val="28"/>
          <w:szCs w:val="28"/>
        </w:rPr>
        <w:t xml:space="preserve"> </w:t>
      </w:r>
      <w:r w:rsidRPr="00AA4938">
        <w:rPr>
          <w:bCs/>
          <w:sz w:val="28"/>
          <w:szCs w:val="28"/>
        </w:rPr>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Nhà thầu phải lập danh mục các vật tư, vật liệu, thiết bị đưa 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lastRenderedPageBreak/>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lastRenderedPageBreak/>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w:t>
      </w:r>
      <w:r w:rsidRPr="00BB50C7">
        <w:rPr>
          <w:bCs/>
          <w:sz w:val="28"/>
          <w:szCs w:val="28"/>
          <w:lang w:val="vi-VN"/>
        </w:rPr>
        <w:lastRenderedPageBreak/>
        <w:t xml:space="preserve">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11.2. Biện pháp, quy trình quản lý tài liệu: Hồ sơ, bản vẽ hoàn công, nghiệm thu, thanh quyết  toán. Nhà thầu phải có biện pháp quản lý hồ sơ, tài liệu đảm bảo </w:t>
      </w:r>
      <w:r w:rsidRPr="00BB50C7">
        <w:rPr>
          <w:bCs/>
          <w:sz w:val="28"/>
          <w:szCs w:val="28"/>
          <w:lang w:val="vi-VN"/>
        </w:rPr>
        <w:lastRenderedPageBreak/>
        <w:t>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11.7. Biện pháp thi công chung của gói thầu: Nhà thầu phải đề xuất biện pháp thi công phù hợp với tiêu chuẩn kỹ thuật hiện hành phù hợp hiện trạng công trình xây dựng, phòng chống lụt bão.</w:t>
      </w:r>
    </w:p>
    <w:bookmarkEnd w:id="2"/>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547"/>
    <w:multiLevelType w:val="hybridMultilevel"/>
    <w:tmpl w:val="F84AE234"/>
    <w:lvl w:ilvl="0" w:tplc="DA22CB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B"/>
    <w:rsid w:val="00012154"/>
    <w:rsid w:val="0001349B"/>
    <w:rsid w:val="000C6C0F"/>
    <w:rsid w:val="00237A13"/>
    <w:rsid w:val="00266C8C"/>
    <w:rsid w:val="00346CEE"/>
    <w:rsid w:val="00374B25"/>
    <w:rsid w:val="003951D5"/>
    <w:rsid w:val="003B41A8"/>
    <w:rsid w:val="00415983"/>
    <w:rsid w:val="00472703"/>
    <w:rsid w:val="004D65E8"/>
    <w:rsid w:val="00766E00"/>
    <w:rsid w:val="007A4334"/>
    <w:rsid w:val="0081043A"/>
    <w:rsid w:val="00825442"/>
    <w:rsid w:val="00835E9D"/>
    <w:rsid w:val="008A1575"/>
    <w:rsid w:val="00937F62"/>
    <w:rsid w:val="009B0DB9"/>
    <w:rsid w:val="00A311F2"/>
    <w:rsid w:val="00AA4938"/>
    <w:rsid w:val="00B81C94"/>
    <w:rsid w:val="00BB50C7"/>
    <w:rsid w:val="00BD0AD4"/>
    <w:rsid w:val="00C47EB7"/>
    <w:rsid w:val="00CF7882"/>
    <w:rsid w:val="00E07760"/>
    <w:rsid w:val="00E41652"/>
    <w:rsid w:val="00EA597B"/>
    <w:rsid w:val="00EB16B8"/>
    <w:rsid w:val="00EF5E60"/>
    <w:rsid w:val="00F5064F"/>
    <w:rsid w:val="00F51DFC"/>
    <w:rsid w:val="00F56B76"/>
    <w:rsid w:val="00F7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21</Pages>
  <Words>7476</Words>
  <Characters>42615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Admin</cp:lastModifiedBy>
  <cp:revision>30</cp:revision>
  <dcterms:created xsi:type="dcterms:W3CDTF">2025-11-04T15:41:00Z</dcterms:created>
  <dcterms:modified xsi:type="dcterms:W3CDTF">2025-12-05T15:29:00Z</dcterms:modified>
</cp:coreProperties>
</file>