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28E4CD44" w14:textId="02BE139D"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Tên dự án</w:t>
      </w:r>
      <w:r w:rsidRPr="00EF5E60">
        <w:rPr>
          <w:sz w:val="28"/>
          <w:szCs w:val="28"/>
        </w:rPr>
        <w:t xml:space="preserve">: </w:t>
      </w:r>
      <w:r w:rsidR="00CB0D09" w:rsidRPr="00CB0D09">
        <w:rPr>
          <w:sz w:val="28"/>
          <w:szCs w:val="28"/>
        </w:rPr>
        <w:t>Xây dựng và nạo vét hệ thống thoát nước tổ 4 khu 12 phường Mông Dương</w:t>
      </w:r>
      <w:r w:rsidRPr="00EF5E60">
        <w:rPr>
          <w:sz w:val="28"/>
          <w:szCs w:val="28"/>
        </w:rPr>
        <w:t>.</w:t>
      </w:r>
    </w:p>
    <w:p w14:paraId="6CA37A79" w14:textId="0F27A83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Chủ đầu tư: </w:t>
      </w:r>
      <w:r w:rsidR="00BB50C7">
        <w:rPr>
          <w:sz w:val="28"/>
          <w:szCs w:val="28"/>
        </w:rPr>
        <w:t xml:space="preserve">Trung tâm cung ứng dịch vụ phường </w:t>
      </w:r>
      <w:r w:rsidR="00EF5E60">
        <w:rPr>
          <w:sz w:val="28"/>
          <w:szCs w:val="28"/>
        </w:rPr>
        <w:t>Mông Dương</w:t>
      </w:r>
      <w:r w:rsidRPr="00BB50C7">
        <w:rPr>
          <w:sz w:val="28"/>
          <w:szCs w:val="28"/>
          <w:lang w:val="vi-VN"/>
        </w:rPr>
        <w:t>.</w:t>
      </w:r>
    </w:p>
    <w:p w14:paraId="569E6CD1" w14:textId="03D4617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Nguồn vốn đầu tư: </w:t>
      </w:r>
      <w:r w:rsidR="00EF5E60" w:rsidRPr="00EF5E60">
        <w:rPr>
          <w:sz w:val="28"/>
          <w:szCs w:val="28"/>
        </w:rPr>
        <w:t>Ngân sách phường năm và Ngân sách tỉnh bổ sung có mục tiêu.</w:t>
      </w:r>
    </w:p>
    <w:p w14:paraId="16C16751" w14:textId="24C3E05C"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Địa điểm xây dựng: Phường </w:t>
      </w:r>
      <w:r w:rsidR="00EF5E60">
        <w:rPr>
          <w:sz w:val="28"/>
          <w:szCs w:val="28"/>
        </w:rPr>
        <w:t>Mông Dương</w:t>
      </w:r>
      <w:r w:rsidRPr="00BB50C7">
        <w:rPr>
          <w:sz w:val="28"/>
          <w:szCs w:val="28"/>
          <w:lang w:val="vi-VN"/>
        </w:rPr>
        <w:t>, tỉnh Quảng Ninh</w:t>
      </w:r>
    </w:p>
    <w:p w14:paraId="14A55CA7" w14:textId="4E11732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Tên gói </w:t>
      </w:r>
      <w:r w:rsidRPr="00EF5E60">
        <w:rPr>
          <w:sz w:val="28"/>
          <w:szCs w:val="28"/>
        </w:rPr>
        <w:t xml:space="preserve">thầu: </w:t>
      </w:r>
      <w:r w:rsidR="00EF5E60" w:rsidRPr="00EF5E60">
        <w:rPr>
          <w:sz w:val="28"/>
          <w:szCs w:val="28"/>
        </w:rPr>
        <w:t>Gói thầu số 05: Thi công xây dựng</w:t>
      </w:r>
    </w:p>
    <w:p w14:paraId="26E03E6C"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Hình thức lựa chọn nhà thầu: Đấu thầu rộng rãi trong nước (qua mạng).</w:t>
      </w:r>
    </w:p>
    <w:p w14:paraId="03C78137"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Phương thức lựa chọn nhà thầu: Một giai đoạn một túi hồ sơ.</w:t>
      </w:r>
    </w:p>
    <w:p w14:paraId="17B4D581" w14:textId="5F5F8FC4"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Thời gian thực hiện gói thầu: </w:t>
      </w:r>
      <w:r w:rsidR="00CB0D09">
        <w:rPr>
          <w:sz w:val="28"/>
          <w:szCs w:val="28"/>
        </w:rPr>
        <w:t>180</w:t>
      </w:r>
      <w:r w:rsidRPr="00BB50C7">
        <w:rPr>
          <w:sz w:val="28"/>
          <w:szCs w:val="28"/>
          <w:lang w:val="vi-VN"/>
        </w:rPr>
        <w:t xml:space="preserve"> ngày</w:t>
      </w:r>
      <w:r w:rsidRPr="00BB50C7">
        <w:rPr>
          <w:sz w:val="28"/>
          <w:szCs w:val="28"/>
        </w:rPr>
        <w:t xml:space="preserve"> </w:t>
      </w:r>
    </w:p>
    <w:p w14:paraId="0F6F6406"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Mục tiêu, Quy mô, chỉ tiêu kỹ thuật và giải pháp thiết kế chủ yếu của công trình: </w:t>
      </w:r>
    </w:p>
    <w:p w14:paraId="09AF5095" w14:textId="77777777" w:rsidR="00BB50C7" w:rsidRDefault="00EA597B" w:rsidP="00B81C94">
      <w:pPr>
        <w:widowControl w:val="0"/>
        <w:spacing w:after="120"/>
        <w:ind w:firstLine="567"/>
        <w:rPr>
          <w:sz w:val="28"/>
          <w:szCs w:val="28"/>
          <w:lang w:val="vi-VN"/>
        </w:rPr>
      </w:pPr>
      <w:r w:rsidRPr="00BB50C7">
        <w:rPr>
          <w:sz w:val="28"/>
          <w:szCs w:val="28"/>
          <w:lang w:val="vi-VN"/>
        </w:rPr>
        <w:t xml:space="preserve">* Mục tiêu: </w:t>
      </w:r>
      <w:bookmarkStart w:id="0" w:name="_Hlk139051887"/>
    </w:p>
    <w:bookmarkEnd w:id="0"/>
    <w:p w14:paraId="08207547" w14:textId="77777777" w:rsidR="00D97317" w:rsidRPr="00D97317" w:rsidRDefault="00D97317" w:rsidP="00D97317">
      <w:pPr>
        <w:widowControl w:val="0"/>
        <w:spacing w:before="60" w:after="60" w:line="259" w:lineRule="auto"/>
        <w:ind w:firstLine="567"/>
        <w:rPr>
          <w:sz w:val="28"/>
          <w:szCs w:val="28"/>
          <w:lang w:val="vi-VN"/>
        </w:rPr>
      </w:pPr>
      <w:r w:rsidRPr="00D97317">
        <w:rPr>
          <w:sz w:val="28"/>
          <w:szCs w:val="28"/>
          <w:lang w:val="vi-VN"/>
        </w:rPr>
        <w:t>Nhằm cải thiện hệ thống thoát nước tại khu vực tổ 4 khu 12, đảm bảo thoát nước mưa và nước sinh hoạt được thông suốt, hạn chế tối đa tình trạng ngập úng cục bộ vào mùa mưa. Việc đầu tư xây dựng, nạo vét, kiên cố hoá tuyến cống thoát nước và cải tạo hồ nước đầu tuyến mương giúp khôi phục dòng chảy, tăng khả năng tiêu thoát, đồng thời bảo vệ các công trình hạ tầng và nhà ở của người dân xung quanh khu vực. Giải quyết kiến nghị cử tri, mong mỏi của người dân từ nhiều năm nay.</w:t>
      </w:r>
    </w:p>
    <w:p w14:paraId="603FE275" w14:textId="77777777" w:rsidR="00D97317" w:rsidRPr="00D97317" w:rsidRDefault="00D97317" w:rsidP="00D97317">
      <w:pPr>
        <w:widowControl w:val="0"/>
        <w:spacing w:before="60" w:after="60" w:line="259" w:lineRule="auto"/>
        <w:ind w:firstLine="567"/>
        <w:rPr>
          <w:sz w:val="28"/>
          <w:szCs w:val="28"/>
          <w:lang w:val="vi-VN"/>
        </w:rPr>
      </w:pPr>
      <w:r w:rsidRPr="00D97317">
        <w:rPr>
          <w:sz w:val="28"/>
          <w:szCs w:val="28"/>
          <w:lang w:val="vi-VN"/>
        </w:rPr>
        <w:t xml:space="preserve">Bên cạnh đó, dự án còn hướng đến mực tiêu cải thiện điều kiện vệ sinh môi trường, nâng cao chất lượng cuộc sống và đảm bảo an toàn trong khu vực dân cư. Việc hoàn thiện hệ thống thoát nước cũng góp phần chỉnh trang đô thị, tạo cảnh quan sạch đẹp, thúc đẩy phát triển kinh tế - xã hội và đáp ứng yêu cầu phát triển hạ tầng kỹ thuật đồng bộ của phường Mông Dương trong giai đoạn hiện nay. </w:t>
      </w:r>
    </w:p>
    <w:p w14:paraId="6A751EF1" w14:textId="68FB3090" w:rsidR="00EA597B" w:rsidRPr="00BB50C7" w:rsidRDefault="00EA597B" w:rsidP="00EA597B">
      <w:pPr>
        <w:widowControl w:val="0"/>
        <w:spacing w:before="120" w:after="120" w:line="264" w:lineRule="auto"/>
        <w:ind w:firstLine="567"/>
        <w:rPr>
          <w:sz w:val="28"/>
          <w:szCs w:val="28"/>
        </w:rPr>
      </w:pPr>
      <w:r w:rsidRPr="00BB50C7">
        <w:rPr>
          <w:sz w:val="28"/>
          <w:szCs w:val="28"/>
          <w:lang w:val="vi-VN"/>
        </w:rPr>
        <w:t xml:space="preserve">* Quy mô đầu tư: </w:t>
      </w:r>
    </w:p>
    <w:p w14:paraId="0708BDF3" w14:textId="77777777" w:rsidR="00CB0D09" w:rsidRPr="00CB0D09" w:rsidRDefault="00CB0D09" w:rsidP="00CB0D09">
      <w:pPr>
        <w:widowControl w:val="0"/>
        <w:spacing w:before="120" w:after="120" w:line="264" w:lineRule="auto"/>
        <w:ind w:firstLine="567"/>
        <w:rPr>
          <w:sz w:val="28"/>
          <w:szCs w:val="28"/>
          <w:lang w:val="vi-VN"/>
        </w:rPr>
      </w:pPr>
      <w:bookmarkStart w:id="1" w:name="_Hlk213771682"/>
      <w:r w:rsidRPr="00CB0D09">
        <w:rPr>
          <w:sz w:val="28"/>
          <w:szCs w:val="28"/>
          <w:lang w:val="vi-VN"/>
        </w:rPr>
        <w:t>Nạo vét, kè mái gia cố, xây dựng tuyến mương; công thoát nước. Cải tạo, nâng cấp đường giao thông; công trình trên tuyến</w:t>
      </w:r>
      <w:bookmarkEnd w:id="1"/>
      <w:r w:rsidRPr="00CB0D09">
        <w:rPr>
          <w:sz w:val="28"/>
          <w:szCs w:val="28"/>
          <w:lang w:val="vi-VN"/>
        </w:rPr>
        <w:t>. Cụ thể :</w:t>
      </w:r>
    </w:p>
    <w:p w14:paraId="756BBF42" w14:textId="77777777" w:rsidR="00CB0D09" w:rsidRPr="00CB0D09" w:rsidRDefault="00CB0D09" w:rsidP="00CB0D09">
      <w:pPr>
        <w:widowControl w:val="0"/>
        <w:spacing w:before="120" w:after="120" w:line="264" w:lineRule="auto"/>
        <w:ind w:firstLine="567"/>
        <w:rPr>
          <w:sz w:val="28"/>
          <w:szCs w:val="28"/>
          <w:lang w:val="vi-VN"/>
        </w:rPr>
      </w:pPr>
      <w:bookmarkStart w:id="2" w:name="_Hlk211151689"/>
      <w:r w:rsidRPr="00CB0D09">
        <w:rPr>
          <w:sz w:val="28"/>
          <w:szCs w:val="28"/>
          <w:lang w:val="vi-VN"/>
        </w:rPr>
        <w:t>1. Tuyến mương thoát nước:</w:t>
      </w:r>
    </w:p>
    <w:p w14:paraId="419538B8"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ml:space="preserve">Tổng chiều dài tuyến mương L= 389.13m, quy mô nâng cấp cải tạo cụ thể </w:t>
      </w:r>
      <w:r w:rsidRPr="00CB0D09">
        <w:rPr>
          <w:sz w:val="28"/>
          <w:szCs w:val="28"/>
          <w:lang w:val="vi-VN"/>
        </w:rPr>
        <w:lastRenderedPageBreak/>
        <w:t>như sau:</w:t>
      </w:r>
    </w:p>
    <w:p w14:paraId="14ADBA7F"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Đoạn 1 từ cọc K1- K3C+10,19m dài L= 84,54m và đoạn 2 từ cọc K16 - K21 dài L= 140,91m: nạo vét bùn đất bồi lắng trong lòng mương đồng thời gia cố lòng mương bằng bê tông M250 dày 20cm, dưới lót bạt dứa và đệm đá dăm 4x6 dày 15cm.</w:t>
      </w:r>
    </w:p>
    <w:p w14:paraId="67D850D5"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ml:space="preserve">- Xây mới đoạn mương từ cọc K3C+10,19m - K9 dài 63,07m, kết cấu mương bằng bê tông cốt thép M250 khẩu độ BxH= (2,0x1,7)m, móng dày 30cm, thành dày 20cm, phân đoạn 10m/ 1 khoang, trên đỉnh thành mương bố trí thanh giằng bằng bê tông cốt thép kích thước BxH= (0,2x0,2)m, bố trí 04 thanh giằng / 1 khoang 10m. </w:t>
      </w:r>
    </w:p>
    <w:p w14:paraId="70A1EC25"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Bố trí 01 hố ga thu nước bằng bê tông cốt thép M250, kích thước hố ga BxHxL= (m3,4x1,7x3,4), móng dày 40cm, tường dày 30cm, đỉnh hố ga bố trí nắp đậy bằng tấm đan BTCT M250 dày 20cm.</w:t>
      </w:r>
    </w:p>
    <w:p w14:paraId="0EED2F72"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Xây mới đoạn mương từ cọc K9- K10+0,3m dài 10m, kết cấu mương bằng bê tông cốt thép M250 khẩu độ mương chuyển tiếp từ BxH= (2,0x1,7)m đến BxH= (3,5x1x7)m, móng dày 35cm, thành dày 30cm, trên đỉnh thành mương bố trí thanh giằng bằng bê tông cốt thép kích thước BxH= (0,2x0,2)m, bố trí 04 thanh giằng / 1 khoang 10m.</w:t>
      </w:r>
    </w:p>
    <w:p w14:paraId="3C41E063"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Bố trí cống qua đường bằng bê tông cốt thép M250, hình thức cống dạng cống hộp khẩu độ BxHxL= (3,5x1,5x11,8)m, móng dày 45cm, tường dày 40cm, trần cống dày 35cm.</w:t>
      </w:r>
    </w:p>
    <w:p w14:paraId="464A03BE"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ml:space="preserve">- Xây mới đoạn mương từ cọc K12+2,02m - K13+13,3m dài 25,91m, kết cấu mương bằng bê tông cốt thép M250 khẩu độ BxH= (3,5x1,7)m, móng dày 35cm, thành dày 30cm, phân đoạn 10m/ 1 khoang, trên đỉnh thành mương bố trí thanh giằng bằng bê tông cốt thép kích thước BxH= (0,2x0,2)m, bố trí 04 thanh giằng / 1 khoang 10m. </w:t>
      </w:r>
    </w:p>
    <w:p w14:paraId="207E5855"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Xây kè chắn bên phải tuyến mương đoạn từ cọc K13+13,3m - K16 dài L=44m, kết cấu kè bằng bê tông M250, móng dày 1,0m, chiều cao tường không kể móng H= 3,0m. Lưng tường kè bố trí lỗ thoát nước bằng ống nhựa PVC D75mm kết hợp tầng lọc ngược, gia cố chống xói móng kè bằng BT M150. Gia cố lòng mương đoạn xây tường chắn bằng bê tông M250 dày 20cm, dưới lót bạt dứa kết hợp đệm đá dăm dày 15cm.</w:t>
      </w:r>
    </w:p>
    <w:p w14:paraId="2A0F7339"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Đoạn mương từ cọc K21 - K26 dài L= 52,9m giữ nguyên theo hiện trạng.</w:t>
      </w:r>
    </w:p>
    <w:p w14:paraId="2DC409FB"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2. Cải tạo hồ nước:</w:t>
      </w:r>
    </w:p>
    <w:p w14:paraId="54BFA578"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ml:space="preserve">- Nạo vét lòng hồ hiện trạng đến công trình +0,5m, tổng diện tích nạo vét lòng hồ F= 2959,28m, chiều dài cống L= 8,0m. Bố trí cống thoát nước từ hồ ra kênh tiêu, hình thức cống bằng đá xây VXM M100 tại cọc 10, khẩu độ cống BxH= </w:t>
      </w:r>
      <w:r w:rsidRPr="00CB0D09">
        <w:rPr>
          <w:sz w:val="28"/>
          <w:szCs w:val="28"/>
          <w:lang w:val="vi-VN"/>
        </w:rPr>
        <w:lastRenderedPageBreak/>
        <w:t>(1,0x1,0)m, móng và tường dày 40cm, giằng đỉnh tường bằng BTCT M250, mặt cống đậy tấm đan BTCT M250 dày 20cm.</w:t>
      </w:r>
    </w:p>
    <w:p w14:paraId="573BCAC7"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Gia cố mái hồ bằng hệ thống kè đứng kết hợp mái nghiêng, kết cấu cụ thể như sau:</w:t>
      </w:r>
    </w:p>
    <w:p w14:paraId="2BDF1A7F"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Kè đứng bằng bê tông trọng lực M250 dài L= 215m, chiều cao tường kè không kể móng H= 2,0m, đỉnh tường rộng 0,5m, chân tường rộng 1,1m, lưng tường kè bố trí lỗ thoát nước bằng ống nhựa PVC D75mm kết hợp tầng lọc ngược; móng tường kè bằng bê tông M250 dày 80cm, dưới lót bạt dứa, đệm đá dăm 2x4 dày 15cm kết hợp đá hộc xếp khan gia cố móng dày 50cm, chống xói chân kè bằng đá hộc xếp khan.</w:t>
      </w:r>
    </w:p>
    <w:p w14:paraId="29084AB0"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Kè mái nghiêng: Hình thước kè mái bằng bê tông M250 dày 15cm, dưới lót bạt dứa trong khung dầm bê tông cốt thép M250. Chiều dài 1 đơn nguyên dầm L= 10,0m. Dầm khóa đỉnh kè kích thước BxH= (0,5x0,5)m, dài L= 244m; dầm dọc và dầm chân kè mái nghiêng kích thước BxH= (0,25x0,4)m, tồng chiều dài dầm chân L= 217m, tổng chiều dài dầm dọc L= 287,58m.</w:t>
      </w:r>
    </w:p>
    <w:p w14:paraId="3E25FF87"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Đỉnh kè mái nghiêng bố trí hệ thống lan can bằng thép ống mạ kẽm.</w:t>
      </w:r>
    </w:p>
    <w:p w14:paraId="52C8C3B8"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Giữa mép đỉnh kè mái nghiêng và mép đường dân sinh đổ bù bằng bê tông M250 dày 20cm, dưới lót bạt dứa.</w:t>
      </w:r>
    </w:p>
    <w:p w14:paraId="7420E320" w14:textId="77777777" w:rsidR="00CB0D09" w:rsidRPr="00CB0D09" w:rsidRDefault="00CB0D09" w:rsidP="00CB0D09">
      <w:pPr>
        <w:widowControl w:val="0"/>
        <w:spacing w:before="120" w:after="120" w:line="264" w:lineRule="auto"/>
        <w:ind w:firstLine="567"/>
        <w:rPr>
          <w:sz w:val="28"/>
          <w:szCs w:val="28"/>
          <w:lang w:val="vi-VN"/>
        </w:rPr>
      </w:pPr>
      <w:bookmarkStart w:id="3" w:name="_GoBack"/>
      <w:bookmarkEnd w:id="3"/>
      <w:r w:rsidRPr="00CB0D09">
        <w:rPr>
          <w:sz w:val="28"/>
          <w:szCs w:val="28"/>
          <w:lang w:val="vi-VN"/>
        </w:rPr>
        <w:t>2. Tuyến đường từ trục đường chính khu vực vào hồ và tuyến đường dân sinh ven hồ:</w:t>
      </w:r>
    </w:p>
    <w:p w14:paraId="2CB62861"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Tổng chiều dài các tuyến đường L= 581,67m, trong đó:</w:t>
      </w:r>
    </w:p>
    <w:p w14:paraId="6337DE7D"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Nâng cấp cải tạo tuyến chính dài L= 208,87m.</w:t>
      </w:r>
    </w:p>
    <w:p w14:paraId="715F45A9"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Nâng cấp cải tạo tuyến nhánh 1 dài L= 285,0m.</w:t>
      </w:r>
    </w:p>
    <w:p w14:paraId="6F0065F1"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Nâng cấp cải tạo tuyến nhánh 2 dài L= 87,80m.</w:t>
      </w:r>
    </w:p>
    <w:p w14:paraId="7D53D0FF"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Mặt đường nâng cấp cải tạo các tuyến đường có bề rộng Bmđ= 3,5m. Kết cấu áo đường các lớp từ trên xuống dưới như sau:</w:t>
      </w:r>
    </w:p>
    <w:p w14:paraId="1385CFFC"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Kết cấu mặt đường cải tạo mở rộng: Bê tông nhựa chặt C12,5 dày 5cm, tưới nhựa dính bám mặt đường TC 0,5kg/m2, bê tông xi măng M250 dày 20cm, lót bạt dứa, móng cấp phối đá dăm loại 2 dày 20cm, nền đường hiện trạng.</w:t>
      </w:r>
    </w:p>
    <w:p w14:paraId="0F88A814"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Kết cấu mặt đường tăng cường trên mặt đường cũ: Bê tông nhựa chặt C12,5 dày 5cm, bù vênh bằng bê tông nhựa C12,5 với Hbv&lt;4cm, bù vênh bằng bê tông M250 với Hbv ≥4cm, tưới nhựa dính bám mặt đường TC 0,5kg/m2, nền đường bê tông xi măng hiện trạng.</w:t>
      </w:r>
    </w:p>
    <w:p w14:paraId="08A4BD38"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Rãnh dọc :</w:t>
      </w:r>
    </w:p>
    <w:p w14:paraId="32FBB86E"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ml:space="preserve">Vị trí xây dựng rãnh dọc nằm ở mép đường đấu nối vào rãnh thoát nước hiện trạng: </w:t>
      </w:r>
    </w:p>
    <w:p w14:paraId="7DDF1871"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lastRenderedPageBreak/>
        <w:t>Khẩu độ rãnh chịu lực B= 0.5m.</w:t>
      </w:r>
    </w:p>
    <w:p w14:paraId="72B9A800"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Kết cấu rãnh dọc theo tuyến chính: Móng rãnh bê tông M150 đá 1x2 dày 20cm, phía dưới đệm cát sạn dày 5cm, tường rãnh xây gạch vữa XM-M75 dày 33cm, mũ mố BTCT-M250 đá 1x2, tấm đan BTCT-M250 đá 1x2 dày 20cm. Phần lộ trát vữa XM-M75 dày 1.5cm.</w:t>
      </w:r>
    </w:p>
    <w:p w14:paraId="576EF911"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Kết cấu rãnh dọc theo tuyến đường nhánh: Móng rãnh bê tông M150 đá 1x2 dày 15cm, phía dưới đệm cát sạn dày 5cm, tường rãnh xây gạch vữa XM-M75 dày 22cm, mũ mố BTCT-M250 đá 1x2, tấm đan BTCT-M250 đá 1x2 dày 20cm. Phần lộ trát vữa XM-M75 dày 1.5cm.</w:t>
      </w:r>
    </w:p>
    <w:p w14:paraId="5755DEC3"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Hố ga kiểm tra ( bố trí trung bình 25m /1 hố ga ), kết cấu hố ga:</w:t>
      </w:r>
    </w:p>
    <w:p w14:paraId="144FB3A9"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Kích thước 1.66x1.66 m.</w:t>
      </w:r>
    </w:p>
    <w:p w14:paraId="50AC258C"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xml:space="preserve">+ Kết cấu: Móng rãnh bê tông M150 đá 1x2 dày 20 cm, đệm cát sạn, Tường xây gạch vữa XM-M75 dày 33cm, phần lộ trát vữa XM-M75 dày 2cm, mũ mố BTCT-M250 đá 1x2, </w:t>
      </w:r>
    </w:p>
    <w:p w14:paraId="77294CD0" w14:textId="77777777" w:rsidR="00CB0D09" w:rsidRPr="00CB0D09" w:rsidRDefault="00CB0D09" w:rsidP="00CB0D09">
      <w:pPr>
        <w:widowControl w:val="0"/>
        <w:spacing w:before="120" w:after="120" w:line="264" w:lineRule="auto"/>
        <w:ind w:firstLine="567"/>
        <w:rPr>
          <w:sz w:val="28"/>
          <w:szCs w:val="28"/>
          <w:lang w:val="vi-VN"/>
        </w:rPr>
      </w:pPr>
      <w:r w:rsidRPr="00CB0D09">
        <w:rPr>
          <w:sz w:val="28"/>
          <w:szCs w:val="28"/>
          <w:lang w:val="vi-VN"/>
        </w:rPr>
        <w:t>+ Tấm gang chịu lực 25 tấn có lỗ thu nước kích thước 1.33x1.33m.</w:t>
      </w:r>
    </w:p>
    <w:bookmarkEnd w:id="2"/>
    <w:p w14:paraId="71ECCA15" w14:textId="64D24CA3" w:rsidR="00EA597B" w:rsidRPr="00BB50C7" w:rsidRDefault="00EA597B" w:rsidP="00EA597B">
      <w:pPr>
        <w:widowControl w:val="0"/>
        <w:spacing w:before="120" w:after="120" w:line="264" w:lineRule="auto"/>
        <w:ind w:firstLine="567"/>
        <w:rPr>
          <w:sz w:val="28"/>
          <w:szCs w:val="28"/>
          <w:lang w:val="vi-VN"/>
        </w:rPr>
      </w:pPr>
      <w:r w:rsidRPr="00BB50C7">
        <w:rPr>
          <w:sz w:val="28"/>
          <w:szCs w:val="28"/>
        </w:rPr>
        <w:t>*</w:t>
      </w:r>
      <w:r w:rsidRPr="00BB50C7">
        <w:rPr>
          <w:sz w:val="28"/>
          <w:szCs w:val="28"/>
          <w:lang w:val="vi-VN"/>
        </w:rPr>
        <w:t xml:space="preserve"> Thời hạn hoàn thành: </w:t>
      </w:r>
      <w:r w:rsidR="00CB0D09">
        <w:rPr>
          <w:sz w:val="28"/>
          <w:szCs w:val="28"/>
        </w:rPr>
        <w:t>180</w:t>
      </w:r>
      <w:r w:rsidRPr="00BB50C7">
        <w:rPr>
          <w:sz w:val="28"/>
          <w:szCs w:val="28"/>
          <w:lang w:val="vi-VN"/>
        </w:rPr>
        <w:t xml:space="preserve"> ngày.</w:t>
      </w:r>
    </w:p>
    <w:p w14:paraId="24118789" w14:textId="77777777" w:rsidR="00EA597B" w:rsidRPr="00BB50C7" w:rsidRDefault="00EA597B" w:rsidP="00EA597B">
      <w:pPr>
        <w:widowControl w:val="0"/>
        <w:spacing w:before="120" w:after="120" w:line="264" w:lineRule="auto"/>
        <w:ind w:firstLine="567"/>
        <w:rPr>
          <w:b/>
          <w:sz w:val="28"/>
          <w:szCs w:val="28"/>
          <w:lang w:val="vi-VN"/>
        </w:rPr>
      </w:pPr>
      <w:r w:rsidRPr="00BB50C7">
        <w:rPr>
          <w:b/>
          <w:sz w:val="28"/>
          <w:szCs w:val="28"/>
          <w:lang w:val="vi-VN"/>
        </w:rPr>
        <w:t>II. Yêu cầu về tiến độ thực hiện</w:t>
      </w:r>
    </w:p>
    <w:p w14:paraId="4F8948A4" w14:textId="415E2AAE"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Thời gian từ khi khởi công đến khi hoàn thành hợp đồng: ≤ </w:t>
      </w:r>
      <w:r w:rsidR="004D65E8">
        <w:rPr>
          <w:sz w:val="28"/>
          <w:szCs w:val="28"/>
        </w:rPr>
        <w:t>90</w:t>
      </w:r>
      <w:r w:rsidRPr="00BB50C7">
        <w:rPr>
          <w:sz w:val="28"/>
          <w:szCs w:val="28"/>
          <w:lang w:val="vi-VN"/>
        </w:rPr>
        <w:t xml:space="preserve"> ngày</w:t>
      </w:r>
      <w:r w:rsidR="00C47EB7">
        <w:rPr>
          <w:sz w:val="28"/>
          <w:szCs w:val="28"/>
        </w:rPr>
        <w:t>.</w:t>
      </w:r>
    </w:p>
    <w:p w14:paraId="60B4AC6B" w14:textId="77777777" w:rsidR="00EA597B" w:rsidRPr="00BB50C7" w:rsidRDefault="00EA597B" w:rsidP="00EA597B">
      <w:pPr>
        <w:widowControl w:val="0"/>
        <w:spacing w:before="120" w:after="120" w:line="264" w:lineRule="auto"/>
        <w:ind w:firstLine="567"/>
        <w:rPr>
          <w:b/>
          <w:bCs/>
          <w:sz w:val="28"/>
          <w:szCs w:val="28"/>
          <w:lang w:val="vi-VN"/>
        </w:rPr>
      </w:pPr>
      <w:r w:rsidRPr="00BB50C7">
        <w:rPr>
          <w:b/>
          <w:bCs/>
          <w:sz w:val="28"/>
          <w:szCs w:val="28"/>
          <w:lang w:val="vi-VN"/>
        </w:rPr>
        <w:t>III. Yêu cầu về kỹ thuật/chỉ dẫn kỹ thuật</w:t>
      </w:r>
    </w:p>
    <w:p w14:paraId="0E4773D8" w14:textId="77777777" w:rsidR="00EA597B" w:rsidRPr="00BB50C7" w:rsidRDefault="00EA597B" w:rsidP="00EA597B">
      <w:pPr>
        <w:widowControl w:val="0"/>
        <w:spacing w:before="60" w:after="60" w:line="259" w:lineRule="auto"/>
        <w:ind w:firstLine="567"/>
        <w:rPr>
          <w:sz w:val="28"/>
          <w:szCs w:val="28"/>
          <w:lang w:val="vi-VN"/>
        </w:rPr>
      </w:pPr>
      <w:bookmarkStart w:id="4" w:name="_Hlk163114159"/>
      <w:r w:rsidRPr="00BB50C7">
        <w:rPr>
          <w:sz w:val="28"/>
          <w:szCs w:val="28"/>
          <w:lang w:val="vi-VN"/>
        </w:rPr>
        <w:t xml:space="preserve">Toàn bộ các yêu cầu về mặt kỹ thuật/chỉ dẫn kỹ thuật phải được </w:t>
      </w:r>
      <w:r w:rsidRPr="00BB50C7" w:rsidDel="00D20538">
        <w:rPr>
          <w:sz w:val="28"/>
          <w:szCs w:val="28"/>
          <w:lang w:val="vi-VN"/>
        </w:rPr>
        <w:t>so</w:t>
      </w:r>
      <w:r w:rsidRPr="00BB50C7">
        <w:rPr>
          <w:sz w:val="28"/>
          <w:szCs w:val="28"/>
          <w:lang w:val="vi-VN"/>
        </w:rPr>
        <w:t>ạ</w:t>
      </w:r>
      <w:r w:rsidRPr="00BB50C7" w:rsidDel="00D20538">
        <w:rPr>
          <w:sz w:val="28"/>
          <w:szCs w:val="28"/>
          <w:lang w:val="vi-VN"/>
        </w:rPr>
        <w:t>n th</w:t>
      </w:r>
      <w:r w:rsidRPr="00BB50C7">
        <w:rPr>
          <w:sz w:val="28"/>
          <w:szCs w:val="28"/>
          <w:lang w:val="vi-VN"/>
        </w:rPr>
        <w:t>ả</w:t>
      </w:r>
      <w:r w:rsidRPr="00BB50C7" w:rsidDel="00D20538">
        <w:rPr>
          <w:sz w:val="28"/>
          <w:szCs w:val="28"/>
          <w:lang w:val="vi-VN"/>
        </w:rPr>
        <w:t>o</w:t>
      </w:r>
      <w:r w:rsidRPr="00BB50C7">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6633D951" w14:textId="77777777" w:rsidR="00EA597B" w:rsidRPr="00BB50C7" w:rsidRDefault="00EA597B" w:rsidP="00EA597B">
      <w:pPr>
        <w:widowControl w:val="0"/>
        <w:tabs>
          <w:tab w:val="left" w:pos="700"/>
        </w:tabs>
        <w:spacing w:before="60" w:after="60" w:line="259" w:lineRule="auto"/>
        <w:ind w:firstLine="567"/>
        <w:rPr>
          <w:bCs/>
          <w:sz w:val="28"/>
          <w:szCs w:val="28"/>
          <w:lang w:val="vi-VN"/>
        </w:rPr>
      </w:pPr>
      <w:r w:rsidRPr="00BB50C7">
        <w:rPr>
          <w:bCs/>
          <w:sz w:val="28"/>
          <w:szCs w:val="28"/>
          <w:lang w:val="vi-VN"/>
        </w:rPr>
        <w:t>Yêu cầu về mặt kỹ thuật/chỉ dẫn kỹ thuật bao gồm các nội dung chủ yếu sau:</w:t>
      </w:r>
    </w:p>
    <w:p w14:paraId="6E24ECF0"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1. Quy trình, quy phạm áp dụng cho việc thi công, nghiệm thu công trình</w:t>
      </w:r>
    </w:p>
    <w:p w14:paraId="19A29E56"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EA1197E" w14:textId="6979BD8B"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yêu cầu kỹ thuật thiết bị vật tư nêu tại </w:t>
      </w:r>
      <w:r w:rsidR="00766E00">
        <w:rPr>
          <w:bCs/>
          <w:sz w:val="28"/>
          <w:szCs w:val="28"/>
        </w:rPr>
        <w:t>E-</w:t>
      </w:r>
      <w:r w:rsidRPr="00BB50C7">
        <w:rPr>
          <w:bCs/>
          <w:sz w:val="28"/>
          <w:szCs w:val="28"/>
          <w:lang w:val="vi-VN"/>
        </w:rPr>
        <w:t xml:space="preserve">HSMT là yêu cầu cơ bản, khi dự thầu nhà thầu phải đáp ứng thông số đáp ứng yêu cầu của </w:t>
      </w:r>
      <w:r w:rsidR="00766E00">
        <w:rPr>
          <w:bCs/>
          <w:sz w:val="28"/>
          <w:szCs w:val="28"/>
        </w:rPr>
        <w:t>E-</w:t>
      </w:r>
      <w:r w:rsidRPr="00BB50C7">
        <w:rPr>
          <w:bCs/>
          <w:sz w:val="28"/>
          <w:szCs w:val="28"/>
          <w:lang w:val="vi-VN"/>
        </w:rPr>
        <w:t>HSMT trường hợp nhà thầu chào thiết bị tương đương thì phải chứng minh tính tương đương hoặc tốt hơn của thiết bị, vật tư chào thầu.</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lastRenderedPageBreak/>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(Cầu đường, ATLĐ, kinh tế xây dựng; cấp thoát nước; điện; vật liệu xây dựng,…)</w:t>
      </w:r>
      <w:r w:rsidRPr="00BB50C7">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lastRenderedPageBreak/>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Tổ chức thực hiện thi công công trình đạt yêu cầu kỹ thuật và theo đúng 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tự cung cấp nguyên vật liệu, trang thiết bị, nhiên liệu, dụng </w:t>
      </w:r>
      <w:r w:rsidRPr="00BB50C7">
        <w:rPr>
          <w:bCs/>
          <w:sz w:val="28"/>
          <w:szCs w:val="28"/>
          <w:lang w:val="vi-VN"/>
        </w:rPr>
        <w:lastRenderedPageBreak/>
        <w:t>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Khối lượng công việc: Khối lượng công việc được nêu chi tiết ở tại bảng 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sẽ phải lập chương trình làm việc chi tiết dưới dạng biểu đồ. TVGS có thể yêu cầu Nhà thầu sửa đổi chương trình này trong quá trình tiến hành hợp </w:t>
      </w:r>
      <w:r w:rsidRPr="00BB50C7">
        <w:rPr>
          <w:bCs/>
          <w:sz w:val="28"/>
          <w:szCs w:val="28"/>
          <w:lang w:val="vi-VN"/>
        </w:rPr>
        <w:lastRenderedPageBreak/>
        <w:t>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di chuyển máy móc thi công khỏi công trường trừ khi có văn bản phê duyệt của TVGS. TVGS có thể yêu cầu các nhà thầu để lại một số 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phần trăm của hạng mục công việc chính đã hoàn thành so với biểu đồ tiến độ tính đến cuối giai đoạn báo cáo, giải trình sự khác biệt giữa tiến độ thực 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tổng số các loại vật liệu xây dựng chủ yếu đã dùng trong thời 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Một danh sách các yêu cầu của Nhà thầu: số lượng yêu cầu và thời gian yêu 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xml:space="preserve">+ Kiểm tra thiết bị và nguyên vật liệu: Nguyên vật liệu, máy móc và thiết bị </w:t>
      </w:r>
      <w:r w:rsidRPr="00F56B76">
        <w:rPr>
          <w:rFonts w:eastAsia="Aptos"/>
          <w:bCs/>
          <w:spacing w:val="-2"/>
          <w:kern w:val="2"/>
          <w:sz w:val="28"/>
          <w:szCs w:val="28"/>
          <w:lang w:val="vi-VN"/>
          <w14:ligatures w14:val="standardContextual"/>
        </w:rPr>
        <w:lastRenderedPageBreak/>
        <w:t>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sửa chữa và bảo dưỡng các biển báo cho đến 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tự khai thác nguồn điện, nguồn nước phục vụ cho việc thi </w:t>
      </w:r>
      <w:r w:rsidRPr="00BB50C7">
        <w:rPr>
          <w:bCs/>
          <w:sz w:val="28"/>
          <w:szCs w:val="28"/>
          <w:lang w:val="vi-VN"/>
        </w:rPr>
        <w:lastRenderedPageBreak/>
        <w:t>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Có biện pháp hạn chế khí thải, khói của thiết bị và các hoạt động khác tại </w:t>
      </w:r>
      <w:r w:rsidRPr="00BB50C7">
        <w:rPr>
          <w:bCs/>
          <w:sz w:val="28"/>
          <w:szCs w:val="28"/>
          <w:lang w:val="vi-VN"/>
        </w:rPr>
        <w:lastRenderedPageBreak/>
        <w:t>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7777777"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t>2.</w:t>
      </w:r>
      <w:r w:rsidRPr="00BB50C7">
        <w:rPr>
          <w:b/>
          <w:bCs/>
          <w:i/>
          <w:sz w:val="28"/>
          <w:szCs w:val="28"/>
          <w:lang w:val="vi-VN"/>
        </w:rPr>
        <w:t>4</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5" w:name="_Hlk151121562"/>
      <w:r w:rsidRPr="00BB50C7">
        <w:rPr>
          <w:b/>
          <w:bCs/>
          <w:sz w:val="28"/>
          <w:szCs w:val="28"/>
        </w:rPr>
        <w:t>Yêu cầu về chủng loại vật tư, chất lượng vật tư, thiết bị</w:t>
      </w:r>
      <w:bookmarkEnd w:id="5"/>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lastRenderedPageBreak/>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w:t>
      </w:r>
      <w:r w:rsidRPr="00374B25">
        <w:rPr>
          <w:bCs/>
          <w:i/>
          <w:sz w:val="28"/>
          <w:szCs w:val="28"/>
        </w:rPr>
        <w:lastRenderedPageBreak/>
        <w:t xml:space="preserve">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693"/>
        <w:gridCol w:w="5663"/>
      </w:tblGrid>
      <w:tr w:rsidR="00374B25" w14:paraId="540BF13D" w14:textId="77777777" w:rsidTr="003951D5">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t>STT</w:t>
            </w:r>
          </w:p>
        </w:tc>
        <w:tc>
          <w:tcPr>
            <w:tcW w:w="2693"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663"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3951D5">
        <w:tc>
          <w:tcPr>
            <w:tcW w:w="704" w:type="dxa"/>
            <w:vAlign w:val="center"/>
          </w:tcPr>
          <w:p w14:paraId="691CC26B" w14:textId="40E847F6" w:rsidR="00374B25" w:rsidRPr="003951D5" w:rsidRDefault="00374B25" w:rsidP="00F51DFC">
            <w:pPr>
              <w:spacing w:before="60" w:after="60" w:line="259" w:lineRule="auto"/>
              <w:jc w:val="center"/>
              <w:rPr>
                <w:sz w:val="26"/>
                <w:szCs w:val="26"/>
              </w:rPr>
            </w:pPr>
          </w:p>
        </w:tc>
        <w:tc>
          <w:tcPr>
            <w:tcW w:w="2693" w:type="dxa"/>
            <w:vAlign w:val="center"/>
          </w:tcPr>
          <w:p w14:paraId="0F5B65DB" w14:textId="2A9C1542" w:rsidR="00374B25" w:rsidRPr="003951D5" w:rsidRDefault="00374B25" w:rsidP="00EA597B">
            <w:pPr>
              <w:spacing w:before="60" w:after="60" w:line="259" w:lineRule="auto"/>
              <w:rPr>
                <w:sz w:val="26"/>
                <w:szCs w:val="26"/>
              </w:rPr>
            </w:pPr>
          </w:p>
        </w:tc>
        <w:tc>
          <w:tcPr>
            <w:tcW w:w="5663" w:type="dxa"/>
            <w:vAlign w:val="center"/>
          </w:tcPr>
          <w:p w14:paraId="405F3403" w14:textId="084DC570" w:rsidR="00374B25" w:rsidRPr="003951D5" w:rsidRDefault="00374B25" w:rsidP="007A4334">
            <w:pPr>
              <w:spacing w:before="60" w:after="60" w:line="259" w:lineRule="auto"/>
              <w:rPr>
                <w:sz w:val="26"/>
                <w:szCs w:val="26"/>
              </w:rPr>
            </w:pPr>
          </w:p>
        </w:tc>
      </w:tr>
      <w:tr w:rsidR="00374B25" w14:paraId="4FBCDA1E" w14:textId="77777777" w:rsidTr="003951D5">
        <w:tc>
          <w:tcPr>
            <w:tcW w:w="704" w:type="dxa"/>
            <w:vAlign w:val="center"/>
          </w:tcPr>
          <w:p w14:paraId="10EDA486" w14:textId="2921CFD7" w:rsidR="00374B25" w:rsidRPr="003951D5" w:rsidRDefault="00374B25" w:rsidP="00F51DFC">
            <w:pPr>
              <w:spacing w:before="60" w:after="60" w:line="259" w:lineRule="auto"/>
              <w:jc w:val="center"/>
              <w:rPr>
                <w:sz w:val="26"/>
                <w:szCs w:val="26"/>
              </w:rPr>
            </w:pPr>
          </w:p>
        </w:tc>
        <w:tc>
          <w:tcPr>
            <w:tcW w:w="2693" w:type="dxa"/>
            <w:vAlign w:val="center"/>
          </w:tcPr>
          <w:p w14:paraId="07CD6CB8" w14:textId="4B522352" w:rsidR="00374B25" w:rsidRPr="003951D5" w:rsidRDefault="00374B25" w:rsidP="00EA597B">
            <w:pPr>
              <w:spacing w:before="60" w:after="60" w:line="259" w:lineRule="auto"/>
              <w:rPr>
                <w:sz w:val="26"/>
                <w:szCs w:val="26"/>
              </w:rPr>
            </w:pPr>
          </w:p>
        </w:tc>
        <w:tc>
          <w:tcPr>
            <w:tcW w:w="5663" w:type="dxa"/>
            <w:vAlign w:val="center"/>
          </w:tcPr>
          <w:p w14:paraId="6ED07F9F" w14:textId="2A1D910B" w:rsidR="00374B25" w:rsidRPr="003951D5" w:rsidRDefault="00374B25" w:rsidP="007A4334">
            <w:pPr>
              <w:spacing w:before="60" w:after="60" w:line="259" w:lineRule="auto"/>
              <w:rPr>
                <w:sz w:val="26"/>
                <w:szCs w:val="26"/>
              </w:rPr>
            </w:pPr>
          </w:p>
        </w:tc>
      </w:tr>
      <w:tr w:rsidR="00374B25" w14:paraId="52BD1995" w14:textId="77777777" w:rsidTr="003951D5">
        <w:tc>
          <w:tcPr>
            <w:tcW w:w="704" w:type="dxa"/>
            <w:vAlign w:val="center"/>
          </w:tcPr>
          <w:p w14:paraId="520C0AB1" w14:textId="7A6A2B8B" w:rsidR="00374B25" w:rsidRPr="003951D5" w:rsidRDefault="00374B25" w:rsidP="00F51DFC">
            <w:pPr>
              <w:spacing w:before="60" w:after="60" w:line="259" w:lineRule="auto"/>
              <w:jc w:val="center"/>
              <w:rPr>
                <w:sz w:val="26"/>
                <w:szCs w:val="26"/>
              </w:rPr>
            </w:pPr>
          </w:p>
        </w:tc>
        <w:tc>
          <w:tcPr>
            <w:tcW w:w="2693" w:type="dxa"/>
            <w:vAlign w:val="center"/>
          </w:tcPr>
          <w:p w14:paraId="33030B6F" w14:textId="5B558207" w:rsidR="00374B25" w:rsidRPr="003951D5" w:rsidRDefault="00374B25" w:rsidP="00EA597B">
            <w:pPr>
              <w:spacing w:before="60" w:after="60" w:line="259" w:lineRule="auto"/>
              <w:rPr>
                <w:sz w:val="26"/>
                <w:szCs w:val="26"/>
              </w:rPr>
            </w:pPr>
          </w:p>
        </w:tc>
        <w:tc>
          <w:tcPr>
            <w:tcW w:w="5663" w:type="dxa"/>
            <w:vAlign w:val="center"/>
          </w:tcPr>
          <w:p w14:paraId="16DA60B7" w14:textId="112F36C9" w:rsidR="00374B25" w:rsidRPr="003951D5" w:rsidRDefault="00374B25" w:rsidP="007A4334">
            <w:pPr>
              <w:spacing w:before="60" w:after="60" w:line="259" w:lineRule="auto"/>
              <w:rPr>
                <w:sz w:val="26"/>
                <w:szCs w:val="26"/>
              </w:rPr>
            </w:pP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t>thầu, những phần chưa rõ hoặc thiếu sót sẽ do bên mời thầu quy định và nhà thầu</w:t>
      </w:r>
      <w:r>
        <w:rPr>
          <w:bCs/>
          <w:sz w:val="28"/>
          <w:szCs w:val="28"/>
        </w:rPr>
        <w:t xml:space="preserve"> </w:t>
      </w:r>
      <w:r w:rsidRPr="00AA4938">
        <w:rPr>
          <w:bCs/>
          <w:sz w:val="28"/>
          <w:szCs w:val="28"/>
        </w:rPr>
        <w:lastRenderedPageBreak/>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Nhà thầu phải lập danh mục các vật tư, vật liệu, thiết bị đưa 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lastRenderedPageBreak/>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lastRenderedPageBreak/>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w:t>
      </w:r>
      <w:r w:rsidRPr="00BB50C7">
        <w:rPr>
          <w:bCs/>
          <w:sz w:val="28"/>
          <w:szCs w:val="28"/>
          <w:lang w:val="vi-VN"/>
        </w:rPr>
        <w:lastRenderedPageBreak/>
        <w:t>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lastRenderedPageBreak/>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11.7. Biện pháp thi công chung của gói thầu: Nhà thầu phải đề xuất biện pháp thi công phù hợp với tiêu chuẩn kỹ thuật hiện hành phù hợp hiện trạng công trình xây dựng, phòng chống lụt bão.</w:t>
      </w:r>
    </w:p>
    <w:bookmarkEnd w:id="4"/>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lastRenderedPageBreak/>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547"/>
    <w:multiLevelType w:val="hybridMultilevel"/>
    <w:tmpl w:val="F84AE234"/>
    <w:lvl w:ilvl="0" w:tplc="DA22CB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824A6"/>
    <w:multiLevelType w:val="hybridMultilevel"/>
    <w:tmpl w:val="06BA52C4"/>
    <w:lvl w:ilvl="0" w:tplc="A608058E">
      <w:numFmt w:val="bullet"/>
      <w:pStyle w:val="thdoanvan"/>
      <w:lvlText w:val="-"/>
      <w:lvlJc w:val="left"/>
      <w:pPr>
        <w:ind w:left="4188"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B"/>
    <w:rsid w:val="000C6C0F"/>
    <w:rsid w:val="00237A13"/>
    <w:rsid w:val="00266C8C"/>
    <w:rsid w:val="00346CEE"/>
    <w:rsid w:val="00374B25"/>
    <w:rsid w:val="003951D5"/>
    <w:rsid w:val="003B41A8"/>
    <w:rsid w:val="00415983"/>
    <w:rsid w:val="004D65E8"/>
    <w:rsid w:val="00766E00"/>
    <w:rsid w:val="007A4334"/>
    <w:rsid w:val="0081043A"/>
    <w:rsid w:val="00825442"/>
    <w:rsid w:val="00835E9D"/>
    <w:rsid w:val="008A1575"/>
    <w:rsid w:val="00937F62"/>
    <w:rsid w:val="00A311F2"/>
    <w:rsid w:val="00AA4938"/>
    <w:rsid w:val="00B81C94"/>
    <w:rsid w:val="00BB50C7"/>
    <w:rsid w:val="00C47EB7"/>
    <w:rsid w:val="00CB0D09"/>
    <w:rsid w:val="00CF7882"/>
    <w:rsid w:val="00D92DD2"/>
    <w:rsid w:val="00D97317"/>
    <w:rsid w:val="00EA597B"/>
    <w:rsid w:val="00EB16B8"/>
    <w:rsid w:val="00EF5E60"/>
    <w:rsid w:val="00F5064F"/>
    <w:rsid w:val="00F51DFC"/>
    <w:rsid w:val="00F56B76"/>
    <w:rsid w:val="00F7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 w:type="paragraph" w:customStyle="1" w:styleId="thdoanvan">
    <w:name w:val="th. doan van"/>
    <w:basedOn w:val="Normal"/>
    <w:qFormat/>
    <w:rsid w:val="00CB0D09"/>
    <w:pPr>
      <w:numPr>
        <w:numId w:val="2"/>
      </w:numPr>
      <w:tabs>
        <w:tab w:val="left" w:pos="284"/>
      </w:tabs>
      <w:spacing w:beforeLines="10" w:before="10" w:afterLines="10" w:after="10" w:line="400" w:lineRule="exact"/>
      <w:ind w:left="0" w:firstLine="567"/>
    </w:pPr>
    <w:rPr>
      <w:bCs/>
      <w:color w:val="000000"/>
      <w:sz w:val="26"/>
      <w:szCs w:val="2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23</Pages>
  <Words>8001</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KE TOAN</cp:lastModifiedBy>
  <cp:revision>23</cp:revision>
  <dcterms:created xsi:type="dcterms:W3CDTF">2025-11-04T15:41:00Z</dcterms:created>
  <dcterms:modified xsi:type="dcterms:W3CDTF">2025-12-06T07:47:00Z</dcterms:modified>
</cp:coreProperties>
</file>