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23FE" w14:textId="77777777" w:rsidR="000944A8" w:rsidRPr="000944A8" w:rsidRDefault="000944A8" w:rsidP="000944A8">
      <w:pPr>
        <w:jc w:val="center"/>
        <w:outlineLvl w:val="0"/>
        <w:rPr>
          <w:b/>
          <w:szCs w:val="24"/>
        </w:rPr>
      </w:pPr>
      <w:r w:rsidRPr="000944A8">
        <w:rPr>
          <w:b/>
          <w:szCs w:val="24"/>
        </w:rPr>
        <w:t>Phần 2. YÊU CẦU VỀ KỸ THUẬT</w:t>
      </w:r>
    </w:p>
    <w:p w14:paraId="286A96A0" w14:textId="77777777" w:rsidR="000944A8" w:rsidRPr="000944A8" w:rsidRDefault="000944A8" w:rsidP="000944A8">
      <w:pPr>
        <w:widowControl w:val="0"/>
        <w:spacing w:before="120" w:after="120"/>
        <w:jc w:val="center"/>
        <w:outlineLvl w:val="1"/>
        <w:rPr>
          <w:szCs w:val="24"/>
        </w:rPr>
      </w:pPr>
      <w:r w:rsidRPr="000944A8">
        <w:rPr>
          <w:b/>
          <w:szCs w:val="24"/>
        </w:rPr>
        <w:t>Chương V. YÊU CẦU VỀ KỸ THUẬT</w:t>
      </w:r>
    </w:p>
    <w:p w14:paraId="1C213951" w14:textId="77777777" w:rsidR="000944A8" w:rsidRPr="000944A8" w:rsidRDefault="000944A8" w:rsidP="000944A8">
      <w:pPr>
        <w:pStyle w:val="Subtitle"/>
        <w:rPr>
          <w:sz w:val="24"/>
          <w:szCs w:val="24"/>
        </w:rPr>
      </w:pPr>
    </w:p>
    <w:p w14:paraId="41A08CF3" w14:textId="77777777" w:rsidR="000944A8" w:rsidRPr="000944A8" w:rsidRDefault="000944A8" w:rsidP="000944A8">
      <w:pPr>
        <w:pStyle w:val="SectionVIHeader"/>
        <w:widowControl w:val="0"/>
        <w:spacing w:after="120"/>
        <w:ind w:firstLine="709"/>
        <w:jc w:val="both"/>
        <w:rPr>
          <w:sz w:val="24"/>
          <w:szCs w:val="24"/>
        </w:rPr>
      </w:pPr>
      <w:r w:rsidRPr="000944A8">
        <w:rPr>
          <w:sz w:val="24"/>
          <w:szCs w:val="24"/>
        </w:rPr>
        <w:t>Mục 1. Yêu cầu về kỹ thuật</w:t>
      </w:r>
    </w:p>
    <w:p w14:paraId="474C2CC7" w14:textId="77777777" w:rsidR="000944A8" w:rsidRPr="000944A8" w:rsidRDefault="000944A8" w:rsidP="000944A8">
      <w:pPr>
        <w:widowControl w:val="0"/>
        <w:spacing w:before="120" w:after="120"/>
        <w:ind w:firstLine="709"/>
        <w:rPr>
          <w:i/>
          <w:szCs w:val="24"/>
        </w:rPr>
      </w:pPr>
      <w:r w:rsidRPr="000944A8">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05EBAB7" w14:textId="77777777" w:rsidR="000944A8" w:rsidRPr="000944A8" w:rsidRDefault="000944A8" w:rsidP="000944A8">
      <w:pPr>
        <w:widowControl w:val="0"/>
        <w:spacing w:before="120" w:after="120"/>
        <w:ind w:firstLine="709"/>
        <w:rPr>
          <w:i/>
          <w:szCs w:val="24"/>
        </w:rPr>
      </w:pPr>
      <w:r w:rsidRPr="000944A8">
        <w:rPr>
          <w:i/>
          <w:szCs w:val="24"/>
        </w:rPr>
        <w:t>Trong yêu cầu về kỹ thuật không được đưa ra các điều kiện</w:t>
      </w:r>
      <w:r w:rsidRPr="000944A8">
        <w:rPr>
          <w:iCs/>
          <w:szCs w:val="24"/>
        </w:rPr>
        <w:t xml:space="preserve"> </w:t>
      </w:r>
      <w:r w:rsidRPr="000944A8">
        <w:rPr>
          <w:i/>
          <w:iCs/>
          <w:szCs w:val="24"/>
        </w:rPr>
        <w:t>nhằm hạn chế sự tham gia của nhà thầu hoặc nhằm tạo lợi thế cho một hoặc một số nhà thầu gây ra sự cạnh tranh không bình đẳng,</w:t>
      </w:r>
      <w:r w:rsidRPr="000944A8">
        <w:rPr>
          <w:i/>
          <w:spacing w:val="-4"/>
          <w:szCs w:val="24"/>
        </w:rPr>
        <w:t xml:space="preserve"> đồng thời cũng không đưa ra các yêu cầu quá cao dẫn đến làm tăng giá dự thầu hoặc làm hạn chế sự tham gia của các nhà thầu,</w:t>
      </w:r>
      <w:r w:rsidRPr="000944A8">
        <w:rPr>
          <w:i/>
          <w:szCs w:val="24"/>
        </w:rPr>
        <w:t xml:space="preserve"> không được nêu yêu cầu về tên, ký mã hiệu, nhãn hiệu cụ thể của hàng hóa.</w:t>
      </w:r>
    </w:p>
    <w:p w14:paraId="5D2DD1F3" w14:textId="77777777" w:rsidR="000944A8" w:rsidRPr="000944A8" w:rsidRDefault="000944A8" w:rsidP="000944A8">
      <w:pPr>
        <w:widowControl w:val="0"/>
        <w:spacing w:before="120" w:after="120"/>
        <w:ind w:firstLine="709"/>
        <w:rPr>
          <w:i/>
          <w:szCs w:val="24"/>
        </w:rPr>
      </w:pPr>
      <w:r w:rsidRPr="000944A8">
        <w:rPr>
          <w:i/>
          <w:szCs w:val="24"/>
          <w:lang w:val="vi-VN"/>
        </w:rPr>
        <w:t xml:space="preserve">Trường hợp </w:t>
      </w:r>
      <w:r w:rsidRPr="000944A8">
        <w:rPr>
          <w:i/>
          <w:szCs w:val="24"/>
        </w:rPr>
        <w:t>không thể mô tả chi tiết hàng hóa theo đặc tính kỹ thuật, tính năng sử dụng, thiết kế công nghệ, tiêu chuẩn công nghệ thì được</w:t>
      </w:r>
      <w:r w:rsidRPr="000944A8">
        <w:rPr>
          <w:i/>
          <w:szCs w:val="24"/>
          <w:lang w:val="vi-VN"/>
        </w:rPr>
        <w:t xml:space="preserve"> nêu nhãn hiệu, cat</w:t>
      </w:r>
      <w:r w:rsidRPr="000944A8">
        <w:rPr>
          <w:i/>
          <w:szCs w:val="24"/>
        </w:rPr>
        <w:t>alô</w:t>
      </w:r>
      <w:r w:rsidRPr="000944A8">
        <w:rPr>
          <w:i/>
          <w:szCs w:val="24"/>
          <w:lang w:val="vi-VN"/>
        </w:rPr>
        <w:t xml:space="preserve"> của một </w:t>
      </w:r>
      <w:r w:rsidRPr="000944A8">
        <w:rPr>
          <w:i/>
          <w:szCs w:val="24"/>
        </w:rPr>
        <w:t>sản phẩm cụ thể</w:t>
      </w:r>
      <w:r w:rsidRPr="000944A8">
        <w:rPr>
          <w:i/>
          <w:szCs w:val="24"/>
          <w:lang w:val="vi-VN"/>
        </w:rPr>
        <w:t xml:space="preserve"> để tham khảo, minh họa cho yêu cầu về kỹ thuật của hàng hóa </w:t>
      </w:r>
      <w:r w:rsidRPr="000944A8">
        <w:rPr>
          <w:i/>
          <w:szCs w:val="24"/>
        </w:rPr>
        <w:t xml:space="preserve">nhưng </w:t>
      </w:r>
      <w:r w:rsidRPr="000944A8">
        <w:rPr>
          <w:i/>
          <w:szCs w:val="24"/>
          <w:lang w:val="vi-VN"/>
        </w:rPr>
        <w:t>phải ghi kèm theo cụm từ “hoặc tương đương” sau nhãn hiệu, cat</w:t>
      </w:r>
      <w:r w:rsidRPr="000944A8">
        <w:rPr>
          <w:i/>
          <w:szCs w:val="24"/>
        </w:rPr>
        <w:t xml:space="preserve">alô </w:t>
      </w:r>
      <w:r w:rsidRPr="000944A8">
        <w:rPr>
          <w:i/>
          <w:szCs w:val="24"/>
          <w:lang w:val="vi-VN"/>
        </w:rPr>
        <w:t xml:space="preserve">đồng thời phải quy định rõ </w:t>
      </w:r>
      <w:r w:rsidRPr="000944A8">
        <w:rPr>
          <w:i/>
          <w:szCs w:val="24"/>
        </w:rPr>
        <w:t xml:space="preserve">nội hàm </w:t>
      </w:r>
      <w:r w:rsidRPr="000944A8">
        <w:rPr>
          <w:i/>
          <w:szCs w:val="24"/>
          <w:lang w:val="vi-VN"/>
        </w:rPr>
        <w:t xml:space="preserve">tương đương </w:t>
      </w:r>
      <w:r w:rsidRPr="000944A8">
        <w:rPr>
          <w:i/>
          <w:szCs w:val="24"/>
        </w:rPr>
        <w:t xml:space="preserve">với hàng hóa đó về </w:t>
      </w:r>
      <w:r w:rsidRPr="000944A8">
        <w:rPr>
          <w:i/>
          <w:szCs w:val="24"/>
          <w:lang w:val="vi-VN"/>
        </w:rPr>
        <w:t>đặc tính kỹ thuật, tính năng sử dụng</w:t>
      </w:r>
      <w:r w:rsidRPr="000944A8">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41DC3E74" w14:textId="77777777" w:rsidR="000944A8" w:rsidRPr="000944A8" w:rsidRDefault="000944A8" w:rsidP="000944A8">
      <w:pPr>
        <w:widowControl w:val="0"/>
        <w:spacing w:before="120" w:after="120"/>
        <w:ind w:firstLine="709"/>
        <w:rPr>
          <w:i/>
          <w:szCs w:val="24"/>
        </w:rPr>
      </w:pPr>
      <w:r w:rsidRPr="000944A8">
        <w:rPr>
          <w:i/>
          <w:szCs w:val="24"/>
        </w:rPr>
        <w:t xml:space="preserve">Yêu cầu về kỹ thuật bao gồm các nội dung cơ bản như sau: </w:t>
      </w:r>
    </w:p>
    <w:p w14:paraId="3954C68D" w14:textId="77777777" w:rsidR="000944A8" w:rsidRPr="000944A8" w:rsidRDefault="000944A8" w:rsidP="000944A8">
      <w:pPr>
        <w:widowControl w:val="0"/>
        <w:spacing w:before="120" w:after="120"/>
        <w:ind w:firstLine="709"/>
        <w:rPr>
          <w:b/>
          <w:i/>
          <w:szCs w:val="24"/>
        </w:rPr>
      </w:pPr>
      <w:r w:rsidRPr="000944A8">
        <w:rPr>
          <w:b/>
          <w:i/>
          <w:szCs w:val="24"/>
        </w:rPr>
        <w:t>1.1. Giới thiệu chung về dự án/dự toán mua sắm, gói thầu</w:t>
      </w:r>
    </w:p>
    <w:p w14:paraId="0451E3F8" w14:textId="77777777" w:rsidR="000944A8" w:rsidRPr="000944A8" w:rsidRDefault="000944A8" w:rsidP="000944A8">
      <w:pPr>
        <w:widowControl w:val="0"/>
        <w:ind w:firstLine="709"/>
        <w:rPr>
          <w:spacing w:val="2"/>
          <w:szCs w:val="24"/>
        </w:rPr>
      </w:pPr>
      <w:bookmarkStart w:id="0" w:name="_Hlk154743134"/>
      <w:r w:rsidRPr="000944A8">
        <w:rPr>
          <w:spacing w:val="2"/>
          <w:szCs w:val="24"/>
        </w:rPr>
        <w:t>- Tên gói thầu: Mua sắm bia tặng đoàn viên nhân dịp Tết Nguyên đán 2026</w:t>
      </w:r>
    </w:p>
    <w:p w14:paraId="54A36547" w14:textId="77777777" w:rsidR="000944A8" w:rsidRPr="000944A8" w:rsidRDefault="000944A8" w:rsidP="000944A8">
      <w:pPr>
        <w:widowControl w:val="0"/>
        <w:ind w:firstLine="709"/>
        <w:rPr>
          <w:spacing w:val="2"/>
          <w:szCs w:val="24"/>
        </w:rPr>
      </w:pPr>
      <w:r w:rsidRPr="000944A8">
        <w:rPr>
          <w:spacing w:val="2"/>
          <w:szCs w:val="24"/>
        </w:rPr>
        <w:t xml:space="preserve">- Tên dự toán: Mua sắm bia tặng đoàn viên nhân dịp Tết Nguyên đán 2026. </w:t>
      </w:r>
    </w:p>
    <w:p w14:paraId="1B7139E0" w14:textId="77777777" w:rsidR="000944A8" w:rsidRPr="000944A8" w:rsidRDefault="000944A8" w:rsidP="000944A8">
      <w:pPr>
        <w:widowControl w:val="0"/>
        <w:ind w:firstLine="709"/>
        <w:rPr>
          <w:spacing w:val="2"/>
          <w:szCs w:val="24"/>
        </w:rPr>
      </w:pPr>
      <w:r w:rsidRPr="000944A8">
        <w:rPr>
          <w:spacing w:val="2"/>
          <w:szCs w:val="24"/>
        </w:rPr>
        <w:t>- Tên chủ đầu tư: CÔNG ĐOÀN CÔNG TY CỔ PHẦN GIAO HÀNG TIẾT KIỆM</w:t>
      </w:r>
    </w:p>
    <w:p w14:paraId="61C5FB1F" w14:textId="77777777" w:rsidR="000944A8" w:rsidRPr="000944A8" w:rsidRDefault="000944A8" w:rsidP="000944A8">
      <w:pPr>
        <w:widowControl w:val="0"/>
        <w:ind w:firstLine="709"/>
        <w:rPr>
          <w:spacing w:val="2"/>
          <w:szCs w:val="24"/>
        </w:rPr>
      </w:pPr>
      <w:r w:rsidRPr="000944A8">
        <w:rPr>
          <w:spacing w:val="2"/>
          <w:szCs w:val="24"/>
        </w:rPr>
        <w:t xml:space="preserve">- Nguồn vốn: Quỹ Công đoàn </w:t>
      </w:r>
    </w:p>
    <w:p w14:paraId="033FCFAC" w14:textId="77777777" w:rsidR="000944A8" w:rsidRPr="000944A8" w:rsidRDefault="000944A8" w:rsidP="000944A8">
      <w:pPr>
        <w:widowControl w:val="0"/>
        <w:ind w:firstLine="709"/>
        <w:rPr>
          <w:spacing w:val="2"/>
          <w:szCs w:val="24"/>
        </w:rPr>
      </w:pPr>
      <w:r w:rsidRPr="000944A8">
        <w:rPr>
          <w:spacing w:val="2"/>
          <w:szCs w:val="24"/>
        </w:rPr>
        <w:t>- Địa điểm thực hiện: 13 địa điểm:</w:t>
      </w:r>
    </w:p>
    <w:p w14:paraId="420EB32E" w14:textId="77777777" w:rsidR="000944A8" w:rsidRPr="000944A8" w:rsidRDefault="000944A8" w:rsidP="000944A8">
      <w:pPr>
        <w:rPr>
          <w:szCs w:val="24"/>
        </w:rPr>
      </w:pPr>
      <w:r w:rsidRPr="000944A8">
        <w:rPr>
          <w:b/>
          <w:bCs/>
          <w:szCs w:val="24"/>
        </w:rPr>
        <w:t>1. GHTK Building</w:t>
      </w:r>
      <w:r w:rsidRPr="000944A8">
        <w:rPr>
          <w:szCs w:val="24"/>
        </w:rPr>
        <w:t xml:space="preserve"> (Số 8 Phạm Hùng, Phường Từ Liêm, Hà Nội)</w:t>
      </w:r>
    </w:p>
    <w:p w14:paraId="48FCC04F" w14:textId="77777777" w:rsidR="000944A8" w:rsidRPr="000944A8" w:rsidRDefault="000944A8" w:rsidP="000944A8">
      <w:pPr>
        <w:rPr>
          <w:szCs w:val="24"/>
        </w:rPr>
      </w:pPr>
      <w:r w:rsidRPr="000944A8">
        <w:rPr>
          <w:b/>
          <w:bCs/>
          <w:szCs w:val="24"/>
        </w:rPr>
        <w:t>2. LV - Bình Xuyên</w:t>
      </w:r>
      <w:r w:rsidRPr="000944A8">
        <w:rPr>
          <w:szCs w:val="24"/>
        </w:rPr>
        <w:t xml:space="preserve"> (Lô N, KCN Bình Xuyên 1, Xã Bình Nguyên, Tỉnh Vĩnh Phúc)</w:t>
      </w:r>
    </w:p>
    <w:p w14:paraId="236A63F4" w14:textId="77777777" w:rsidR="000944A8" w:rsidRPr="000944A8" w:rsidRDefault="000944A8" w:rsidP="000944A8">
      <w:pPr>
        <w:rPr>
          <w:szCs w:val="24"/>
        </w:rPr>
      </w:pPr>
      <w:r w:rsidRPr="000944A8">
        <w:rPr>
          <w:b/>
          <w:bCs/>
          <w:szCs w:val="24"/>
        </w:rPr>
        <w:t>3. LV - Buôn Ma Thuột</w:t>
      </w:r>
      <w:r w:rsidRPr="000944A8">
        <w:rPr>
          <w:szCs w:val="24"/>
        </w:rPr>
        <w:t xml:space="preserve"> (198 A Nguyễn Văn Linh, xã Eatu, tỉnh Đắk Lắk)</w:t>
      </w:r>
    </w:p>
    <w:p w14:paraId="43894588" w14:textId="77777777" w:rsidR="000944A8" w:rsidRPr="000944A8" w:rsidRDefault="000944A8" w:rsidP="000944A8">
      <w:pPr>
        <w:rPr>
          <w:szCs w:val="24"/>
        </w:rPr>
      </w:pPr>
      <w:r w:rsidRPr="000944A8">
        <w:rPr>
          <w:b/>
          <w:bCs/>
          <w:szCs w:val="24"/>
        </w:rPr>
        <w:t>4. LV – Plekiu</w:t>
      </w:r>
      <w:r w:rsidRPr="000944A8">
        <w:rPr>
          <w:szCs w:val="24"/>
        </w:rPr>
        <w:t xml:space="preserve"> (1119 Võ Nguyên Giáp, Phường Hội Phú, tỉnh Gia Lai)</w:t>
      </w:r>
    </w:p>
    <w:p w14:paraId="043D4D99" w14:textId="77777777" w:rsidR="000944A8" w:rsidRPr="000944A8" w:rsidRDefault="000944A8" w:rsidP="000944A8">
      <w:pPr>
        <w:rPr>
          <w:szCs w:val="24"/>
        </w:rPr>
      </w:pPr>
      <w:r w:rsidRPr="000944A8">
        <w:rPr>
          <w:b/>
          <w:bCs/>
          <w:szCs w:val="24"/>
        </w:rPr>
        <w:t>5. LV - Cần Thơ</w:t>
      </w:r>
      <w:r w:rsidRPr="000944A8">
        <w:rPr>
          <w:szCs w:val="24"/>
        </w:rPr>
        <w:t xml:space="preserve"> (QL1A, ấp Long An B, Xã Đông Phước, Thành phố Cần Thơ)</w:t>
      </w:r>
    </w:p>
    <w:p w14:paraId="3ED69C3B" w14:textId="77777777" w:rsidR="000944A8" w:rsidRPr="000944A8" w:rsidRDefault="000944A8" w:rsidP="000944A8">
      <w:pPr>
        <w:rPr>
          <w:szCs w:val="24"/>
        </w:rPr>
      </w:pPr>
      <w:r w:rsidRPr="000944A8">
        <w:rPr>
          <w:b/>
          <w:bCs/>
          <w:szCs w:val="24"/>
        </w:rPr>
        <w:t>6. LV - Đà Nẵng</w:t>
      </w:r>
      <w:r w:rsidRPr="000944A8">
        <w:rPr>
          <w:szCs w:val="24"/>
        </w:rPr>
        <w:t xml:space="preserve"> (Khu Công nghiệp Khu công nghiệp Hòa Cầm, đường số 8, Phường Cẩm Lệ, TP Đà Nẵng)</w:t>
      </w:r>
    </w:p>
    <w:p w14:paraId="4A345F5F" w14:textId="77777777" w:rsidR="000944A8" w:rsidRPr="000944A8" w:rsidRDefault="000944A8" w:rsidP="000944A8">
      <w:pPr>
        <w:rPr>
          <w:szCs w:val="24"/>
        </w:rPr>
      </w:pPr>
      <w:r w:rsidRPr="000944A8">
        <w:rPr>
          <w:b/>
          <w:bCs/>
          <w:szCs w:val="24"/>
        </w:rPr>
        <w:t>7. LV - Hạ Long</w:t>
      </w:r>
      <w:r w:rsidRPr="000944A8">
        <w:rPr>
          <w:szCs w:val="24"/>
        </w:rPr>
        <w:t xml:space="preserve"> (Khu công nghiệp Hà Khánh, Phường Cao Xanh, Quảng Ninh)</w:t>
      </w:r>
    </w:p>
    <w:p w14:paraId="563B947B" w14:textId="77777777" w:rsidR="000944A8" w:rsidRPr="000944A8" w:rsidRDefault="000944A8" w:rsidP="000944A8">
      <w:pPr>
        <w:rPr>
          <w:szCs w:val="24"/>
        </w:rPr>
      </w:pPr>
      <w:r w:rsidRPr="000944A8">
        <w:rPr>
          <w:b/>
          <w:bCs/>
          <w:szCs w:val="24"/>
        </w:rPr>
        <w:t>8. LV - Nam Định</w:t>
      </w:r>
      <w:r w:rsidRPr="000944A8">
        <w:rPr>
          <w:szCs w:val="24"/>
        </w:rPr>
        <w:t xml:space="preserve"> (Khu vực Đồng Quan, xóm 4, Thôn Mỹ Trọng, Phường Thành Nam, Ninh Bình)</w:t>
      </w:r>
    </w:p>
    <w:p w14:paraId="46BC0BC6" w14:textId="77777777" w:rsidR="000944A8" w:rsidRPr="000944A8" w:rsidRDefault="000944A8" w:rsidP="000944A8">
      <w:pPr>
        <w:rPr>
          <w:szCs w:val="24"/>
        </w:rPr>
      </w:pPr>
      <w:r w:rsidRPr="000944A8">
        <w:rPr>
          <w:b/>
          <w:bCs/>
          <w:szCs w:val="24"/>
        </w:rPr>
        <w:t>9. LV - Cam Ranh</w:t>
      </w:r>
      <w:r w:rsidRPr="000944A8">
        <w:rPr>
          <w:szCs w:val="24"/>
        </w:rPr>
        <w:t xml:space="preserve"> (Quốc lộ 1A, thôn Văn Tứ Tây, Xã Cam Lâm, Khánh Hòa)</w:t>
      </w:r>
    </w:p>
    <w:p w14:paraId="371C83A5" w14:textId="77777777" w:rsidR="000944A8" w:rsidRPr="000944A8" w:rsidRDefault="000944A8" w:rsidP="000944A8">
      <w:pPr>
        <w:rPr>
          <w:szCs w:val="24"/>
        </w:rPr>
      </w:pPr>
      <w:r w:rsidRPr="000944A8">
        <w:rPr>
          <w:b/>
          <w:bCs/>
          <w:szCs w:val="24"/>
        </w:rPr>
        <w:t>10. LV - Thanh Hóa</w:t>
      </w:r>
      <w:r w:rsidRPr="000944A8">
        <w:rPr>
          <w:szCs w:val="24"/>
        </w:rPr>
        <w:t xml:space="preserve"> (Lô 8, Khu Công Nghiệp Đình Hương - Tây Bắc Ga, Phường Hàm Rồng, Tỉnh Thanh Hóa)</w:t>
      </w:r>
    </w:p>
    <w:p w14:paraId="5BF32D2D" w14:textId="77777777" w:rsidR="000944A8" w:rsidRPr="000944A8" w:rsidRDefault="000944A8" w:rsidP="000944A8">
      <w:pPr>
        <w:rPr>
          <w:szCs w:val="24"/>
        </w:rPr>
      </w:pPr>
      <w:r w:rsidRPr="000944A8">
        <w:rPr>
          <w:b/>
          <w:bCs/>
          <w:szCs w:val="24"/>
        </w:rPr>
        <w:t>11. LV – Vinh</w:t>
      </w:r>
      <w:r w:rsidRPr="000944A8">
        <w:rPr>
          <w:szCs w:val="24"/>
        </w:rPr>
        <w:t xml:space="preserve"> (xóm 7, Xã Lam Thành, Nghệ An)</w:t>
      </w:r>
    </w:p>
    <w:p w14:paraId="1B190831" w14:textId="77777777" w:rsidR="000944A8" w:rsidRPr="000944A8" w:rsidRDefault="000944A8" w:rsidP="000944A8">
      <w:pPr>
        <w:rPr>
          <w:szCs w:val="24"/>
        </w:rPr>
      </w:pPr>
      <w:r w:rsidRPr="000944A8">
        <w:rPr>
          <w:b/>
          <w:bCs/>
          <w:szCs w:val="24"/>
        </w:rPr>
        <w:t>12. Pico</w:t>
      </w:r>
      <w:r w:rsidRPr="000944A8">
        <w:rPr>
          <w:szCs w:val="24"/>
        </w:rPr>
        <w:t xml:space="preserve"> (20 Cộng Hòa, Phường Bảy Hiền, Hồ Chí Minh)</w:t>
      </w:r>
    </w:p>
    <w:p w14:paraId="2A5C0868" w14:textId="77777777" w:rsidR="000944A8" w:rsidRPr="000944A8" w:rsidRDefault="000944A8" w:rsidP="000944A8">
      <w:pPr>
        <w:rPr>
          <w:szCs w:val="24"/>
        </w:rPr>
      </w:pPr>
      <w:r w:rsidRPr="000944A8">
        <w:rPr>
          <w:b/>
          <w:bCs/>
          <w:szCs w:val="24"/>
        </w:rPr>
        <w:t>13. Tân Phú Trung</w:t>
      </w:r>
      <w:r w:rsidRPr="000944A8">
        <w:rPr>
          <w:szCs w:val="24"/>
        </w:rPr>
        <w:t xml:space="preserve"> (Lô KB4-1, KCN Tân Phú Trung, ấp Trạm Bơm, xã Củ Chi, thành phố Hồ Chí Minh)</w:t>
      </w:r>
    </w:p>
    <w:p w14:paraId="27BB57FF" w14:textId="77777777" w:rsidR="000944A8" w:rsidRPr="000944A8" w:rsidRDefault="000944A8" w:rsidP="000944A8">
      <w:pPr>
        <w:widowControl w:val="0"/>
        <w:ind w:firstLine="709"/>
        <w:rPr>
          <w:spacing w:val="2"/>
          <w:szCs w:val="24"/>
        </w:rPr>
      </w:pPr>
      <w:r w:rsidRPr="000944A8">
        <w:rPr>
          <w:spacing w:val="2"/>
          <w:szCs w:val="24"/>
        </w:rPr>
        <w:t>- Loại hợp đồng: Trọn gói</w:t>
      </w:r>
    </w:p>
    <w:p w14:paraId="592B9FC9" w14:textId="77777777" w:rsidR="000944A8" w:rsidRPr="000944A8" w:rsidRDefault="000944A8" w:rsidP="000944A8">
      <w:pPr>
        <w:widowControl w:val="0"/>
        <w:ind w:firstLine="709"/>
        <w:rPr>
          <w:spacing w:val="2"/>
          <w:szCs w:val="24"/>
        </w:rPr>
      </w:pPr>
      <w:r w:rsidRPr="000944A8">
        <w:rPr>
          <w:spacing w:val="2"/>
          <w:szCs w:val="24"/>
        </w:rPr>
        <w:t>- Thời gian thực hiện: 10 ngày</w:t>
      </w:r>
    </w:p>
    <w:p w14:paraId="799DCD2A" w14:textId="77777777" w:rsidR="000944A8" w:rsidRPr="000944A8" w:rsidRDefault="000944A8" w:rsidP="000944A8">
      <w:pPr>
        <w:widowControl w:val="0"/>
        <w:ind w:firstLine="709"/>
        <w:rPr>
          <w:spacing w:val="2"/>
          <w:szCs w:val="24"/>
        </w:rPr>
      </w:pPr>
      <w:r w:rsidRPr="000944A8">
        <w:rPr>
          <w:spacing w:val="2"/>
          <w:szCs w:val="24"/>
        </w:rPr>
        <w:t>- Hình thức lựa chọn nhà thầu: Chào hàng cạnh tranh, trong nước không sơ tuyển, qua mạng.</w:t>
      </w:r>
    </w:p>
    <w:p w14:paraId="35D4BAB8" w14:textId="77777777" w:rsidR="000944A8" w:rsidRPr="000944A8" w:rsidRDefault="000944A8" w:rsidP="000944A8">
      <w:pPr>
        <w:widowControl w:val="0"/>
        <w:ind w:firstLine="709"/>
        <w:rPr>
          <w:b/>
          <w:i/>
          <w:szCs w:val="24"/>
        </w:rPr>
      </w:pPr>
      <w:r w:rsidRPr="000944A8">
        <w:rPr>
          <w:spacing w:val="2"/>
          <w:szCs w:val="24"/>
        </w:rPr>
        <w:t>- Phương thức đấu thầu: Một giai đoạn, một túi hồ sơ</w:t>
      </w:r>
      <w:bookmarkEnd w:id="0"/>
      <w:r w:rsidRPr="000944A8">
        <w:rPr>
          <w:b/>
          <w:i/>
          <w:szCs w:val="24"/>
        </w:rPr>
        <w:br w:type="page"/>
      </w:r>
    </w:p>
    <w:p w14:paraId="3D0C056D" w14:textId="77777777" w:rsidR="000944A8" w:rsidRPr="000944A8" w:rsidRDefault="000944A8" w:rsidP="000944A8">
      <w:pPr>
        <w:jc w:val="center"/>
        <w:rPr>
          <w:b/>
          <w:bCs/>
          <w:szCs w:val="24"/>
        </w:rPr>
        <w:sectPr w:rsidR="000944A8" w:rsidRPr="000944A8" w:rsidSect="000944A8">
          <w:footnotePr>
            <w:numRestart w:val="eachSect"/>
          </w:footnotePr>
          <w:pgSz w:w="11906" w:h="16838" w:code="9"/>
          <w:pgMar w:top="1138" w:right="1138" w:bottom="1138" w:left="1411" w:header="720" w:footer="720" w:gutter="0"/>
          <w:cols w:space="720"/>
          <w:docGrid w:linePitch="381"/>
        </w:sect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376"/>
        <w:gridCol w:w="5354"/>
        <w:gridCol w:w="4152"/>
        <w:gridCol w:w="1075"/>
        <w:gridCol w:w="1076"/>
        <w:gridCol w:w="895"/>
      </w:tblGrid>
      <w:tr w:rsidR="000944A8" w:rsidRPr="000944A8" w14:paraId="666D01C3" w14:textId="77777777" w:rsidTr="0012575E">
        <w:trPr>
          <w:trHeight w:val="1123"/>
          <w:jc w:val="center"/>
        </w:trPr>
        <w:tc>
          <w:tcPr>
            <w:tcW w:w="624" w:type="dxa"/>
            <w:shd w:val="clear" w:color="000000" w:fill="FFFFFF"/>
            <w:vAlign w:val="center"/>
            <w:hideMark/>
          </w:tcPr>
          <w:p w14:paraId="1139059C" w14:textId="77777777" w:rsidR="000944A8" w:rsidRPr="000944A8" w:rsidRDefault="000944A8" w:rsidP="0012575E">
            <w:pPr>
              <w:jc w:val="center"/>
              <w:rPr>
                <w:b/>
                <w:bCs/>
                <w:szCs w:val="24"/>
              </w:rPr>
            </w:pPr>
            <w:r w:rsidRPr="000944A8">
              <w:rPr>
                <w:b/>
                <w:bCs/>
                <w:szCs w:val="24"/>
              </w:rPr>
              <w:lastRenderedPageBreak/>
              <w:t>TT</w:t>
            </w:r>
          </w:p>
        </w:tc>
        <w:tc>
          <w:tcPr>
            <w:tcW w:w="1376" w:type="dxa"/>
            <w:shd w:val="clear" w:color="000000" w:fill="FFFFFF"/>
          </w:tcPr>
          <w:p w14:paraId="5398F16F" w14:textId="77777777" w:rsidR="000944A8" w:rsidRPr="000944A8" w:rsidRDefault="000944A8" w:rsidP="0012575E">
            <w:pPr>
              <w:jc w:val="center"/>
              <w:rPr>
                <w:b/>
                <w:bCs/>
                <w:szCs w:val="24"/>
              </w:rPr>
            </w:pPr>
          </w:p>
          <w:p w14:paraId="2D731F45" w14:textId="77777777" w:rsidR="000944A8" w:rsidRPr="000944A8" w:rsidRDefault="000944A8" w:rsidP="0012575E">
            <w:pPr>
              <w:jc w:val="center"/>
              <w:rPr>
                <w:b/>
                <w:bCs/>
                <w:szCs w:val="24"/>
              </w:rPr>
            </w:pPr>
            <w:r w:rsidRPr="000944A8">
              <w:rPr>
                <w:b/>
                <w:bCs/>
                <w:szCs w:val="24"/>
              </w:rPr>
              <w:t>Tên danh mục hàng hóa</w:t>
            </w:r>
          </w:p>
        </w:tc>
        <w:tc>
          <w:tcPr>
            <w:tcW w:w="5354" w:type="dxa"/>
            <w:shd w:val="clear" w:color="000000" w:fill="FFFFFF"/>
            <w:vAlign w:val="center"/>
            <w:hideMark/>
          </w:tcPr>
          <w:p w14:paraId="34835BC8" w14:textId="77777777" w:rsidR="000944A8" w:rsidRPr="000944A8" w:rsidRDefault="000944A8" w:rsidP="0012575E">
            <w:pPr>
              <w:jc w:val="center"/>
              <w:rPr>
                <w:b/>
                <w:bCs/>
                <w:szCs w:val="24"/>
              </w:rPr>
            </w:pPr>
            <w:r w:rsidRPr="000944A8">
              <w:rPr>
                <w:b/>
                <w:bCs/>
                <w:szCs w:val="24"/>
              </w:rPr>
              <w:t>Thông số kỹ thuật</w:t>
            </w:r>
          </w:p>
        </w:tc>
        <w:tc>
          <w:tcPr>
            <w:tcW w:w="4152" w:type="dxa"/>
            <w:shd w:val="clear" w:color="000000" w:fill="FFFFFF"/>
          </w:tcPr>
          <w:p w14:paraId="2E64C699" w14:textId="77777777" w:rsidR="000944A8" w:rsidRPr="000944A8" w:rsidRDefault="000944A8" w:rsidP="0012575E">
            <w:pPr>
              <w:jc w:val="center"/>
              <w:rPr>
                <w:b/>
                <w:bCs/>
                <w:szCs w:val="24"/>
              </w:rPr>
            </w:pPr>
          </w:p>
          <w:p w14:paraId="6B23A53C" w14:textId="77777777" w:rsidR="000944A8" w:rsidRPr="000944A8" w:rsidRDefault="000944A8" w:rsidP="0012575E">
            <w:pPr>
              <w:jc w:val="center"/>
              <w:rPr>
                <w:b/>
                <w:bCs/>
                <w:szCs w:val="24"/>
              </w:rPr>
            </w:pPr>
          </w:p>
          <w:p w14:paraId="5186DDD7" w14:textId="77777777" w:rsidR="000944A8" w:rsidRPr="000944A8" w:rsidRDefault="000944A8" w:rsidP="0012575E">
            <w:pPr>
              <w:jc w:val="center"/>
              <w:rPr>
                <w:b/>
                <w:bCs/>
                <w:szCs w:val="24"/>
              </w:rPr>
            </w:pPr>
            <w:r w:rsidRPr="000944A8">
              <w:rPr>
                <w:b/>
                <w:bCs/>
                <w:szCs w:val="24"/>
              </w:rPr>
              <w:t>Địa điểm giao hàng</w:t>
            </w:r>
          </w:p>
        </w:tc>
        <w:tc>
          <w:tcPr>
            <w:tcW w:w="1075" w:type="dxa"/>
            <w:shd w:val="clear" w:color="000000" w:fill="FFFFFF"/>
            <w:vAlign w:val="center"/>
            <w:hideMark/>
          </w:tcPr>
          <w:p w14:paraId="3DF96270" w14:textId="77777777" w:rsidR="000944A8" w:rsidRPr="000944A8" w:rsidRDefault="000944A8" w:rsidP="0012575E">
            <w:pPr>
              <w:jc w:val="center"/>
              <w:rPr>
                <w:b/>
                <w:bCs/>
                <w:szCs w:val="24"/>
              </w:rPr>
            </w:pPr>
            <w:r w:rsidRPr="000944A8">
              <w:rPr>
                <w:b/>
                <w:bCs/>
                <w:szCs w:val="24"/>
              </w:rPr>
              <w:t>Số lượng giao hàng đến từng địa điểm</w:t>
            </w:r>
          </w:p>
        </w:tc>
        <w:tc>
          <w:tcPr>
            <w:tcW w:w="1076" w:type="dxa"/>
            <w:shd w:val="clear" w:color="000000" w:fill="FFFFFF"/>
            <w:vAlign w:val="center"/>
            <w:hideMark/>
          </w:tcPr>
          <w:p w14:paraId="23423AA8" w14:textId="77777777" w:rsidR="000944A8" w:rsidRPr="000944A8" w:rsidRDefault="000944A8" w:rsidP="0012575E">
            <w:pPr>
              <w:jc w:val="center"/>
              <w:rPr>
                <w:b/>
                <w:bCs/>
                <w:szCs w:val="24"/>
              </w:rPr>
            </w:pPr>
            <w:r w:rsidRPr="000944A8">
              <w:rPr>
                <w:b/>
                <w:bCs/>
                <w:szCs w:val="24"/>
              </w:rPr>
              <w:t>Tổng số lượng</w:t>
            </w:r>
          </w:p>
        </w:tc>
        <w:tc>
          <w:tcPr>
            <w:tcW w:w="895" w:type="dxa"/>
            <w:shd w:val="clear" w:color="000000" w:fill="FFFFFF"/>
          </w:tcPr>
          <w:p w14:paraId="3ED0FBF3" w14:textId="77777777" w:rsidR="000944A8" w:rsidRPr="000944A8" w:rsidRDefault="000944A8" w:rsidP="0012575E">
            <w:pPr>
              <w:jc w:val="center"/>
              <w:rPr>
                <w:b/>
                <w:bCs/>
                <w:szCs w:val="24"/>
              </w:rPr>
            </w:pPr>
          </w:p>
          <w:p w14:paraId="725E669A" w14:textId="77777777" w:rsidR="000944A8" w:rsidRPr="000944A8" w:rsidRDefault="000944A8" w:rsidP="0012575E">
            <w:pPr>
              <w:jc w:val="center"/>
              <w:rPr>
                <w:b/>
                <w:bCs/>
                <w:szCs w:val="24"/>
              </w:rPr>
            </w:pPr>
          </w:p>
          <w:p w14:paraId="2A930D2B" w14:textId="77777777" w:rsidR="000944A8" w:rsidRPr="000944A8" w:rsidRDefault="000944A8" w:rsidP="0012575E">
            <w:pPr>
              <w:jc w:val="center"/>
              <w:rPr>
                <w:b/>
                <w:bCs/>
                <w:szCs w:val="24"/>
              </w:rPr>
            </w:pPr>
            <w:r w:rsidRPr="000944A8">
              <w:rPr>
                <w:b/>
                <w:bCs/>
                <w:szCs w:val="24"/>
              </w:rPr>
              <w:t>Đơn vị tính</w:t>
            </w:r>
          </w:p>
        </w:tc>
      </w:tr>
      <w:tr w:rsidR="000944A8" w:rsidRPr="000944A8" w14:paraId="4909A92E" w14:textId="77777777" w:rsidTr="0012575E">
        <w:trPr>
          <w:trHeight w:val="559"/>
          <w:jc w:val="center"/>
        </w:trPr>
        <w:tc>
          <w:tcPr>
            <w:tcW w:w="624" w:type="dxa"/>
            <w:vMerge w:val="restart"/>
            <w:shd w:val="clear" w:color="000000" w:fill="FFFFFF"/>
            <w:vAlign w:val="center"/>
          </w:tcPr>
          <w:p w14:paraId="7EE97931" w14:textId="77777777" w:rsidR="000944A8" w:rsidRPr="000944A8" w:rsidRDefault="000944A8" w:rsidP="0012575E">
            <w:pPr>
              <w:jc w:val="center"/>
              <w:rPr>
                <w:szCs w:val="24"/>
              </w:rPr>
            </w:pPr>
            <w:r w:rsidRPr="000944A8">
              <w:rPr>
                <w:szCs w:val="24"/>
              </w:rPr>
              <w:t>1</w:t>
            </w:r>
          </w:p>
          <w:p w14:paraId="5DDB4775" w14:textId="77777777" w:rsidR="000944A8" w:rsidRPr="000944A8" w:rsidRDefault="000944A8" w:rsidP="0012575E">
            <w:pPr>
              <w:jc w:val="center"/>
              <w:rPr>
                <w:szCs w:val="24"/>
              </w:rPr>
            </w:pPr>
          </w:p>
          <w:p w14:paraId="40513AAE" w14:textId="77777777" w:rsidR="000944A8" w:rsidRPr="000944A8" w:rsidRDefault="000944A8" w:rsidP="0012575E">
            <w:pPr>
              <w:jc w:val="center"/>
              <w:rPr>
                <w:szCs w:val="24"/>
              </w:rPr>
            </w:pPr>
          </w:p>
        </w:tc>
        <w:tc>
          <w:tcPr>
            <w:tcW w:w="1376" w:type="dxa"/>
            <w:vMerge w:val="restart"/>
            <w:shd w:val="clear" w:color="000000" w:fill="FFFFFF"/>
            <w:vAlign w:val="center"/>
          </w:tcPr>
          <w:p w14:paraId="074503A0" w14:textId="77777777" w:rsidR="000944A8" w:rsidRPr="000944A8" w:rsidRDefault="000944A8" w:rsidP="0012575E">
            <w:pPr>
              <w:rPr>
                <w:szCs w:val="24"/>
              </w:rPr>
            </w:pPr>
            <w:r w:rsidRPr="000944A8">
              <w:rPr>
                <w:spacing w:val="-12"/>
                <w:szCs w:val="24"/>
              </w:rPr>
              <w:t>Mua sắm bia tặng đoàn viên nhân dịp Tết Nguyên đán 2026</w:t>
            </w:r>
          </w:p>
        </w:tc>
        <w:tc>
          <w:tcPr>
            <w:tcW w:w="5354" w:type="dxa"/>
            <w:vMerge w:val="restart"/>
            <w:shd w:val="clear" w:color="000000" w:fill="FFFFFF"/>
          </w:tcPr>
          <w:p w14:paraId="7DA8BF81" w14:textId="77777777" w:rsidR="000944A8" w:rsidRPr="000944A8" w:rsidRDefault="000944A8" w:rsidP="0012575E">
            <w:pPr>
              <w:rPr>
                <w:b/>
                <w:szCs w:val="24"/>
              </w:rPr>
            </w:pPr>
            <w:r w:rsidRPr="000944A8">
              <w:rPr>
                <w:b/>
                <w:szCs w:val="24"/>
              </w:rPr>
              <w:t>THÙNG BIA:</w:t>
            </w:r>
          </w:p>
          <w:p w14:paraId="4DC7A269" w14:textId="77777777" w:rsidR="000944A8" w:rsidRPr="000944A8" w:rsidRDefault="000944A8" w:rsidP="0012575E">
            <w:pPr>
              <w:rPr>
                <w:b/>
                <w:szCs w:val="24"/>
                <w:lang w:val="vi-VN"/>
              </w:rPr>
            </w:pPr>
            <w:r w:rsidRPr="000944A8">
              <w:rPr>
                <w:b/>
                <w:szCs w:val="24"/>
              </w:rPr>
              <w:t xml:space="preserve">1. </w:t>
            </w:r>
            <w:r w:rsidRPr="000944A8">
              <w:rPr>
                <w:b/>
                <w:szCs w:val="24"/>
                <w:lang w:val="vi-VN"/>
              </w:rPr>
              <w:t>Đặc tính sản phẩm</w:t>
            </w:r>
          </w:p>
          <w:p w14:paraId="7EAE7B5F" w14:textId="77777777" w:rsidR="000944A8" w:rsidRPr="000944A8" w:rsidRDefault="000944A8" w:rsidP="0012575E">
            <w:pPr>
              <w:rPr>
                <w:szCs w:val="24"/>
                <w:lang w:val="vi-VN"/>
              </w:rPr>
            </w:pPr>
            <w:r w:rsidRPr="000944A8">
              <w:rPr>
                <w:szCs w:val="24"/>
                <w:lang w:val="vi-VN"/>
              </w:rPr>
              <w:t>Đặc tính nổi bật: Hương vị cân bằng, đậm đà, thiết kế lon thon gọn hiện đại (sleek can).</w:t>
            </w:r>
          </w:p>
          <w:p w14:paraId="06BFD491" w14:textId="77777777" w:rsidR="000944A8" w:rsidRPr="000944A8" w:rsidRDefault="000944A8" w:rsidP="0012575E">
            <w:pPr>
              <w:rPr>
                <w:b/>
                <w:szCs w:val="24"/>
                <w:lang w:val="vi-VN"/>
              </w:rPr>
            </w:pPr>
            <w:r w:rsidRPr="000944A8">
              <w:rPr>
                <w:b/>
                <w:szCs w:val="24"/>
                <w:lang w:val="vi-VN"/>
              </w:rPr>
              <w:t>2. Nồng độ cồn (ABV):</w:t>
            </w:r>
          </w:p>
          <w:p w14:paraId="084A6545" w14:textId="77777777" w:rsidR="000944A8" w:rsidRPr="000944A8" w:rsidRDefault="000944A8" w:rsidP="0012575E">
            <w:pPr>
              <w:rPr>
                <w:szCs w:val="24"/>
                <w:lang w:val="vi-VN"/>
              </w:rPr>
            </w:pPr>
            <w:r w:rsidRPr="000944A8">
              <w:rPr>
                <w:szCs w:val="24"/>
                <w:lang w:val="vi-VN"/>
              </w:rPr>
              <w:t>4,9% ± 0,4%.</w:t>
            </w:r>
          </w:p>
          <w:p w14:paraId="291BAA16" w14:textId="77777777" w:rsidR="000944A8" w:rsidRPr="000944A8" w:rsidRDefault="000944A8" w:rsidP="0012575E">
            <w:pPr>
              <w:rPr>
                <w:b/>
                <w:szCs w:val="24"/>
                <w:lang w:val="vi-VN"/>
              </w:rPr>
            </w:pPr>
            <w:r w:rsidRPr="000944A8">
              <w:rPr>
                <w:b/>
                <w:szCs w:val="24"/>
                <w:lang w:val="vi-VN"/>
              </w:rPr>
              <w:t xml:space="preserve">3. Thành phần chính </w:t>
            </w:r>
          </w:p>
          <w:p w14:paraId="2558D34E" w14:textId="77777777" w:rsidR="000944A8" w:rsidRPr="000944A8" w:rsidRDefault="000944A8" w:rsidP="0012575E">
            <w:pPr>
              <w:rPr>
                <w:szCs w:val="24"/>
                <w:lang w:val="vi-VN"/>
              </w:rPr>
            </w:pPr>
            <w:r w:rsidRPr="000944A8">
              <w:rPr>
                <w:szCs w:val="24"/>
                <w:lang w:val="vi-VN"/>
              </w:rPr>
              <w:t>Nước: Hàm lượng 90% (± 0,2%)</w:t>
            </w:r>
          </w:p>
          <w:p w14:paraId="5BAF0B7C" w14:textId="77777777" w:rsidR="000944A8" w:rsidRPr="000944A8" w:rsidRDefault="000944A8" w:rsidP="0012575E">
            <w:pPr>
              <w:rPr>
                <w:szCs w:val="24"/>
                <w:lang w:val="vi-VN"/>
              </w:rPr>
            </w:pPr>
            <w:r w:rsidRPr="000944A8">
              <w:rPr>
                <w:szCs w:val="24"/>
                <w:lang w:val="vi-VN"/>
              </w:rPr>
              <w:t>Mạch nha (Malt đại mạch): Hàm lượng: 7-8% (± 0,2%)</w:t>
            </w:r>
          </w:p>
          <w:p w14:paraId="65587E12" w14:textId="77777777" w:rsidR="000944A8" w:rsidRPr="000944A8" w:rsidRDefault="000944A8" w:rsidP="0012575E">
            <w:pPr>
              <w:rPr>
                <w:szCs w:val="24"/>
                <w:lang w:val="vi-VN"/>
              </w:rPr>
            </w:pPr>
            <w:r w:rsidRPr="000944A8">
              <w:rPr>
                <w:szCs w:val="24"/>
                <w:lang w:val="vi-VN"/>
              </w:rPr>
              <w:t>Công dụng: Tạo vị ngọt tự nhiên, độ sánh, màu sắc và hương thơm đặc trưng cho bia.</w:t>
            </w:r>
          </w:p>
          <w:p w14:paraId="0EE95335" w14:textId="77777777" w:rsidR="000944A8" w:rsidRPr="000944A8" w:rsidRDefault="000944A8" w:rsidP="0012575E">
            <w:pPr>
              <w:rPr>
                <w:szCs w:val="24"/>
                <w:lang w:val="vi-VN"/>
              </w:rPr>
            </w:pPr>
            <w:r w:rsidRPr="000944A8">
              <w:rPr>
                <w:szCs w:val="24"/>
                <w:lang w:val="vi-VN"/>
              </w:rPr>
              <w:t>Gạo: hàm lượng 3% (± 0,2%)</w:t>
            </w:r>
          </w:p>
          <w:p w14:paraId="2829C37D" w14:textId="77777777" w:rsidR="000944A8" w:rsidRPr="000944A8" w:rsidRDefault="000944A8" w:rsidP="0012575E">
            <w:pPr>
              <w:rPr>
                <w:szCs w:val="24"/>
                <w:lang w:val="vi-VN"/>
              </w:rPr>
            </w:pPr>
            <w:r w:rsidRPr="000944A8">
              <w:rPr>
                <w:szCs w:val="24"/>
                <w:lang w:val="vi-VN"/>
              </w:rPr>
              <w:t>Công dụng: Làm nhẹ vị bia, tăng độ trong suốt, phù hợp với khẩu vị người Việt.</w:t>
            </w:r>
          </w:p>
          <w:p w14:paraId="653D64D4" w14:textId="77777777" w:rsidR="000944A8" w:rsidRPr="000944A8" w:rsidRDefault="000944A8" w:rsidP="0012575E">
            <w:pPr>
              <w:rPr>
                <w:szCs w:val="24"/>
                <w:lang w:val="vi-VN"/>
              </w:rPr>
            </w:pPr>
            <w:r w:rsidRPr="000944A8">
              <w:rPr>
                <w:szCs w:val="24"/>
                <w:lang w:val="vi-VN"/>
              </w:rPr>
              <w:t>Hoa bia: 0,05% (± 0,2%)</w:t>
            </w:r>
          </w:p>
          <w:p w14:paraId="7F5211B9" w14:textId="77777777" w:rsidR="000944A8" w:rsidRPr="000944A8" w:rsidRDefault="000944A8" w:rsidP="0012575E">
            <w:pPr>
              <w:rPr>
                <w:szCs w:val="24"/>
                <w:lang w:val="vi-VN"/>
              </w:rPr>
            </w:pPr>
            <w:r w:rsidRPr="000944A8">
              <w:rPr>
                <w:szCs w:val="24"/>
                <w:lang w:val="vi-VN"/>
              </w:rPr>
              <w:t>Công dụng: Tạo vị đắng nhẹ nhàng, mùi thơm thanh mát, là thành phần cốt lõi trong bia.</w:t>
            </w:r>
          </w:p>
          <w:p w14:paraId="0A7ED7F4" w14:textId="77777777" w:rsidR="000944A8" w:rsidRPr="000944A8" w:rsidRDefault="000944A8" w:rsidP="0012575E">
            <w:pPr>
              <w:rPr>
                <w:szCs w:val="24"/>
              </w:rPr>
            </w:pPr>
            <w:r w:rsidRPr="000944A8">
              <w:rPr>
                <w:szCs w:val="24"/>
              </w:rPr>
              <w:t>Đường: Tỷ lệ: 0%</w:t>
            </w:r>
          </w:p>
          <w:p w14:paraId="3F2F54ED" w14:textId="77777777" w:rsidR="000944A8" w:rsidRPr="000944A8" w:rsidRDefault="000944A8" w:rsidP="0012575E">
            <w:pPr>
              <w:rPr>
                <w:szCs w:val="24"/>
              </w:rPr>
            </w:pPr>
            <w:r w:rsidRPr="000944A8">
              <w:rPr>
                <w:szCs w:val="24"/>
              </w:rPr>
              <w:t>Men bia: 0.10% (± 0,2%)</w:t>
            </w:r>
          </w:p>
          <w:p w14:paraId="15D9E529" w14:textId="77777777" w:rsidR="000944A8" w:rsidRPr="000944A8" w:rsidRDefault="000944A8" w:rsidP="0012575E">
            <w:pPr>
              <w:rPr>
                <w:b/>
                <w:szCs w:val="24"/>
              </w:rPr>
            </w:pPr>
            <w:r w:rsidRPr="000944A8">
              <w:rPr>
                <w:b/>
                <w:szCs w:val="24"/>
              </w:rPr>
              <w:t>4. Thiết kế và đóng gói:</w:t>
            </w:r>
          </w:p>
          <w:p w14:paraId="6339204C" w14:textId="77777777" w:rsidR="000944A8" w:rsidRPr="000944A8" w:rsidRDefault="000944A8" w:rsidP="0012575E">
            <w:pPr>
              <w:rPr>
                <w:szCs w:val="24"/>
              </w:rPr>
            </w:pPr>
            <w:r w:rsidRPr="000944A8">
              <w:rPr>
                <w:szCs w:val="24"/>
              </w:rPr>
              <w:t>Lon bia:  Thiết kế kiểu dáng Sleek (thon gọn), vỏ nhôm.</w:t>
            </w:r>
          </w:p>
          <w:p w14:paraId="2198EB9D" w14:textId="77777777" w:rsidR="000944A8" w:rsidRPr="000944A8" w:rsidRDefault="000944A8" w:rsidP="0012575E">
            <w:pPr>
              <w:rPr>
                <w:szCs w:val="24"/>
              </w:rPr>
            </w:pPr>
            <w:r w:rsidRPr="000944A8">
              <w:rPr>
                <w:szCs w:val="24"/>
              </w:rPr>
              <w:t>Dung tích: 330ml.</w:t>
            </w:r>
          </w:p>
          <w:p w14:paraId="02939E03" w14:textId="77777777" w:rsidR="000944A8" w:rsidRPr="000944A8" w:rsidRDefault="000944A8" w:rsidP="0012575E">
            <w:pPr>
              <w:rPr>
                <w:szCs w:val="24"/>
              </w:rPr>
            </w:pPr>
            <w:r w:rsidRPr="000944A8">
              <w:rPr>
                <w:szCs w:val="24"/>
              </w:rPr>
              <w:t>Vật liệu: Nhôm nhẹ, chống oxy hoá.</w:t>
            </w:r>
          </w:p>
          <w:p w14:paraId="74218080" w14:textId="77777777" w:rsidR="000944A8" w:rsidRPr="000944A8" w:rsidRDefault="000944A8" w:rsidP="0012575E">
            <w:pPr>
              <w:rPr>
                <w:szCs w:val="24"/>
              </w:rPr>
            </w:pPr>
            <w:r w:rsidRPr="000944A8">
              <w:rPr>
                <w:szCs w:val="24"/>
              </w:rPr>
              <w:lastRenderedPageBreak/>
              <w:t>Thiết kế: Lon kiểu dáng thon gọn (sleek can) với tông màu trắng, đỏ và vàng ánh kim, tạo sự sang trọng.</w:t>
            </w:r>
          </w:p>
          <w:p w14:paraId="444B9D2C" w14:textId="77777777" w:rsidR="000944A8" w:rsidRPr="000944A8" w:rsidRDefault="000944A8" w:rsidP="0012575E">
            <w:pPr>
              <w:rPr>
                <w:b/>
                <w:szCs w:val="24"/>
              </w:rPr>
            </w:pPr>
            <w:r w:rsidRPr="000944A8">
              <w:rPr>
                <w:b/>
                <w:szCs w:val="24"/>
              </w:rPr>
              <w:t>HỘP QUÀ TẾT:</w:t>
            </w:r>
          </w:p>
          <w:p w14:paraId="23D97654" w14:textId="77777777" w:rsidR="000944A8" w:rsidRPr="000944A8" w:rsidRDefault="000944A8" w:rsidP="0012575E">
            <w:pPr>
              <w:rPr>
                <w:szCs w:val="24"/>
              </w:rPr>
            </w:pPr>
            <w:r w:rsidRPr="000944A8">
              <w:rPr>
                <w:szCs w:val="24"/>
                <w:lang w:val="vi-VN"/>
              </w:rPr>
              <w:t>Thùng c</w:t>
            </w:r>
            <w:r w:rsidRPr="000944A8">
              <w:rPr>
                <w:szCs w:val="24"/>
              </w:rPr>
              <w:t>hứa 24 lon.</w:t>
            </w:r>
          </w:p>
          <w:p w14:paraId="689D4A15" w14:textId="77777777" w:rsidR="000944A8" w:rsidRPr="000944A8" w:rsidRDefault="000944A8" w:rsidP="0012575E">
            <w:pPr>
              <w:rPr>
                <w:szCs w:val="24"/>
              </w:rPr>
            </w:pPr>
            <w:r w:rsidRPr="000944A8">
              <w:rPr>
                <w:szCs w:val="24"/>
              </w:rPr>
              <w:t>Thiết kế bao bì bắt mắt với họa tiết pháo hoa, phù hợp với dịp lễ Tết 2026.</w:t>
            </w:r>
          </w:p>
          <w:p w14:paraId="752FF219" w14:textId="77777777" w:rsidR="000944A8" w:rsidRPr="000944A8" w:rsidRDefault="000944A8" w:rsidP="0012575E">
            <w:pPr>
              <w:rPr>
                <w:szCs w:val="24"/>
              </w:rPr>
            </w:pPr>
            <w:r w:rsidRPr="000944A8">
              <w:rPr>
                <w:szCs w:val="24"/>
              </w:rPr>
              <w:t xml:space="preserve">Bao bì in chữ </w:t>
            </w:r>
            <w:r w:rsidRPr="000944A8">
              <w:rPr>
                <w:b/>
                <w:bCs/>
                <w:i/>
                <w:iCs/>
                <w:szCs w:val="24"/>
              </w:rPr>
              <w:t>“Kế thừa tinh hoa- Tân Niên Khởi Sắc”</w:t>
            </w:r>
          </w:p>
          <w:p w14:paraId="4B67AD8E" w14:textId="77777777" w:rsidR="000944A8" w:rsidRPr="000944A8" w:rsidRDefault="000944A8" w:rsidP="0012575E">
            <w:pPr>
              <w:rPr>
                <w:b/>
                <w:szCs w:val="24"/>
              </w:rPr>
            </w:pPr>
            <w:r w:rsidRPr="000944A8">
              <w:rPr>
                <w:b/>
                <w:szCs w:val="24"/>
              </w:rPr>
              <w:t>Yêu cầu về an toàn thực phẩm:</w:t>
            </w:r>
          </w:p>
          <w:p w14:paraId="6379FFD1" w14:textId="77777777" w:rsidR="000944A8" w:rsidRPr="000944A8" w:rsidRDefault="000944A8" w:rsidP="0012575E">
            <w:pPr>
              <w:rPr>
                <w:szCs w:val="24"/>
              </w:rPr>
            </w:pPr>
            <w:r w:rsidRPr="000944A8">
              <w:rPr>
                <w:szCs w:val="24"/>
              </w:rPr>
              <w:t>Cam kết được sản xuất phù hợp với quy chuẩn kỹ thuật QCVN 6-3:2010/BYT – Quy chuẩn quốc gia đối với các sản phẩm đồ uống có cồn hoặc tương đương.</w:t>
            </w:r>
          </w:p>
        </w:tc>
        <w:tc>
          <w:tcPr>
            <w:tcW w:w="4152" w:type="dxa"/>
            <w:shd w:val="clear" w:color="000000" w:fill="FFFFFF"/>
          </w:tcPr>
          <w:p w14:paraId="5A57EFF5" w14:textId="77777777" w:rsidR="000944A8" w:rsidRPr="000944A8" w:rsidRDefault="000944A8" w:rsidP="0012575E">
            <w:pPr>
              <w:jc w:val="center"/>
              <w:rPr>
                <w:szCs w:val="24"/>
              </w:rPr>
            </w:pPr>
            <w:r w:rsidRPr="000944A8">
              <w:rPr>
                <w:b/>
                <w:bCs/>
                <w:szCs w:val="24"/>
              </w:rPr>
              <w:lastRenderedPageBreak/>
              <w:t>1. GHTK Building</w:t>
            </w:r>
            <w:r w:rsidRPr="000944A8">
              <w:rPr>
                <w:szCs w:val="24"/>
              </w:rPr>
              <w:t xml:space="preserve"> (Số 8 Phạm Hùng, Phường Từ Liêm, Hà Nội)</w:t>
            </w:r>
          </w:p>
        </w:tc>
        <w:tc>
          <w:tcPr>
            <w:tcW w:w="1075" w:type="dxa"/>
            <w:shd w:val="clear" w:color="000000" w:fill="FFFFFF"/>
            <w:vAlign w:val="center"/>
          </w:tcPr>
          <w:p w14:paraId="7A9D6D95" w14:textId="77777777" w:rsidR="000944A8" w:rsidRPr="000944A8" w:rsidRDefault="000944A8" w:rsidP="0012575E">
            <w:pPr>
              <w:jc w:val="center"/>
              <w:rPr>
                <w:szCs w:val="24"/>
              </w:rPr>
            </w:pPr>
            <w:r w:rsidRPr="000944A8">
              <w:rPr>
                <w:szCs w:val="24"/>
              </w:rPr>
              <w:t>419</w:t>
            </w:r>
          </w:p>
        </w:tc>
        <w:tc>
          <w:tcPr>
            <w:tcW w:w="1076" w:type="dxa"/>
            <w:vMerge w:val="restart"/>
            <w:vAlign w:val="center"/>
          </w:tcPr>
          <w:p w14:paraId="0481D655" w14:textId="77777777" w:rsidR="000944A8" w:rsidRPr="000944A8" w:rsidRDefault="000944A8" w:rsidP="0012575E">
            <w:pPr>
              <w:jc w:val="center"/>
              <w:rPr>
                <w:szCs w:val="24"/>
              </w:rPr>
            </w:pPr>
            <w:r w:rsidRPr="000944A8">
              <w:rPr>
                <w:szCs w:val="24"/>
              </w:rPr>
              <w:t xml:space="preserve">   10.490</w:t>
            </w:r>
          </w:p>
        </w:tc>
        <w:tc>
          <w:tcPr>
            <w:tcW w:w="895" w:type="dxa"/>
            <w:vMerge w:val="restart"/>
            <w:vAlign w:val="center"/>
          </w:tcPr>
          <w:p w14:paraId="04082F42" w14:textId="77777777" w:rsidR="000944A8" w:rsidRPr="000944A8" w:rsidRDefault="000944A8" w:rsidP="0012575E">
            <w:pPr>
              <w:jc w:val="center"/>
              <w:rPr>
                <w:szCs w:val="24"/>
              </w:rPr>
            </w:pPr>
            <w:r w:rsidRPr="000944A8">
              <w:rPr>
                <w:szCs w:val="24"/>
              </w:rPr>
              <w:t>Thùng</w:t>
            </w:r>
          </w:p>
        </w:tc>
      </w:tr>
      <w:tr w:rsidR="000944A8" w:rsidRPr="000944A8" w14:paraId="3BBA6C2F" w14:textId="77777777" w:rsidTr="0012575E">
        <w:trPr>
          <w:trHeight w:val="739"/>
          <w:jc w:val="center"/>
        </w:trPr>
        <w:tc>
          <w:tcPr>
            <w:tcW w:w="624" w:type="dxa"/>
            <w:vMerge/>
            <w:shd w:val="clear" w:color="000000" w:fill="FFFFFF"/>
            <w:vAlign w:val="center"/>
          </w:tcPr>
          <w:p w14:paraId="12AC1804" w14:textId="77777777" w:rsidR="000944A8" w:rsidRPr="000944A8" w:rsidRDefault="000944A8" w:rsidP="0012575E">
            <w:pPr>
              <w:jc w:val="center"/>
              <w:rPr>
                <w:szCs w:val="24"/>
              </w:rPr>
            </w:pPr>
          </w:p>
        </w:tc>
        <w:tc>
          <w:tcPr>
            <w:tcW w:w="1376" w:type="dxa"/>
            <w:vMerge/>
            <w:shd w:val="clear" w:color="000000" w:fill="FFFFFF"/>
            <w:vAlign w:val="center"/>
          </w:tcPr>
          <w:p w14:paraId="6F21FDCF" w14:textId="77777777" w:rsidR="000944A8" w:rsidRPr="000944A8" w:rsidRDefault="000944A8" w:rsidP="0012575E">
            <w:pPr>
              <w:rPr>
                <w:spacing w:val="-12"/>
                <w:szCs w:val="24"/>
              </w:rPr>
            </w:pPr>
          </w:p>
        </w:tc>
        <w:tc>
          <w:tcPr>
            <w:tcW w:w="5354" w:type="dxa"/>
            <w:vMerge/>
            <w:shd w:val="clear" w:color="000000" w:fill="FFFFFF"/>
          </w:tcPr>
          <w:p w14:paraId="0612DC6C" w14:textId="77777777" w:rsidR="000944A8" w:rsidRPr="000944A8" w:rsidRDefault="000944A8" w:rsidP="0012575E">
            <w:pPr>
              <w:rPr>
                <w:b/>
                <w:szCs w:val="24"/>
              </w:rPr>
            </w:pPr>
          </w:p>
        </w:tc>
        <w:tc>
          <w:tcPr>
            <w:tcW w:w="4152" w:type="dxa"/>
            <w:shd w:val="clear" w:color="000000" w:fill="FFFFFF"/>
          </w:tcPr>
          <w:p w14:paraId="1C9ED635" w14:textId="77777777" w:rsidR="000944A8" w:rsidRPr="000944A8" w:rsidRDefault="000944A8" w:rsidP="0012575E">
            <w:pPr>
              <w:jc w:val="center"/>
              <w:rPr>
                <w:szCs w:val="24"/>
              </w:rPr>
            </w:pPr>
            <w:r w:rsidRPr="000944A8">
              <w:rPr>
                <w:b/>
                <w:bCs/>
                <w:szCs w:val="24"/>
              </w:rPr>
              <w:t>2. LV - Bình Xuyên</w:t>
            </w:r>
            <w:r w:rsidRPr="000944A8">
              <w:rPr>
                <w:szCs w:val="24"/>
              </w:rPr>
              <w:t xml:space="preserve"> (Lô N, KCN Bình Xuyên 1, Xã Bình Nguyên, Tỉnh Vĩnh Phúc)</w:t>
            </w:r>
          </w:p>
        </w:tc>
        <w:tc>
          <w:tcPr>
            <w:tcW w:w="1075" w:type="dxa"/>
            <w:shd w:val="clear" w:color="000000" w:fill="FFFFFF"/>
            <w:vAlign w:val="center"/>
          </w:tcPr>
          <w:p w14:paraId="148C60DC" w14:textId="77777777" w:rsidR="000944A8" w:rsidRPr="000944A8" w:rsidRDefault="000944A8" w:rsidP="0012575E">
            <w:pPr>
              <w:jc w:val="center"/>
              <w:rPr>
                <w:szCs w:val="24"/>
              </w:rPr>
            </w:pPr>
            <w:r w:rsidRPr="000944A8">
              <w:rPr>
                <w:szCs w:val="24"/>
              </w:rPr>
              <w:t>2932</w:t>
            </w:r>
          </w:p>
        </w:tc>
        <w:tc>
          <w:tcPr>
            <w:tcW w:w="1076" w:type="dxa"/>
            <w:vMerge/>
            <w:vAlign w:val="center"/>
          </w:tcPr>
          <w:p w14:paraId="686C94D6" w14:textId="77777777" w:rsidR="000944A8" w:rsidRPr="000944A8" w:rsidRDefault="000944A8" w:rsidP="0012575E">
            <w:pPr>
              <w:jc w:val="center"/>
              <w:rPr>
                <w:szCs w:val="24"/>
              </w:rPr>
            </w:pPr>
          </w:p>
        </w:tc>
        <w:tc>
          <w:tcPr>
            <w:tcW w:w="895" w:type="dxa"/>
            <w:vMerge/>
          </w:tcPr>
          <w:p w14:paraId="2896C96F" w14:textId="77777777" w:rsidR="000944A8" w:rsidRPr="000944A8" w:rsidRDefault="000944A8" w:rsidP="0012575E">
            <w:pPr>
              <w:jc w:val="center"/>
              <w:rPr>
                <w:szCs w:val="24"/>
              </w:rPr>
            </w:pPr>
          </w:p>
        </w:tc>
      </w:tr>
      <w:tr w:rsidR="000944A8" w:rsidRPr="000944A8" w14:paraId="025732E0" w14:textId="77777777" w:rsidTr="0012575E">
        <w:trPr>
          <w:trHeight w:val="883"/>
          <w:jc w:val="center"/>
        </w:trPr>
        <w:tc>
          <w:tcPr>
            <w:tcW w:w="624" w:type="dxa"/>
            <w:vMerge/>
            <w:shd w:val="clear" w:color="000000" w:fill="FFFFFF"/>
            <w:vAlign w:val="center"/>
          </w:tcPr>
          <w:p w14:paraId="79D51E23" w14:textId="77777777" w:rsidR="000944A8" w:rsidRPr="000944A8" w:rsidRDefault="000944A8" w:rsidP="0012575E">
            <w:pPr>
              <w:jc w:val="center"/>
              <w:rPr>
                <w:szCs w:val="24"/>
              </w:rPr>
            </w:pPr>
          </w:p>
        </w:tc>
        <w:tc>
          <w:tcPr>
            <w:tcW w:w="1376" w:type="dxa"/>
            <w:vMerge/>
            <w:shd w:val="clear" w:color="000000" w:fill="FFFFFF"/>
            <w:vAlign w:val="center"/>
          </w:tcPr>
          <w:p w14:paraId="7FF22776" w14:textId="77777777" w:rsidR="000944A8" w:rsidRPr="000944A8" w:rsidRDefault="000944A8" w:rsidP="0012575E">
            <w:pPr>
              <w:rPr>
                <w:spacing w:val="-12"/>
                <w:szCs w:val="24"/>
              </w:rPr>
            </w:pPr>
          </w:p>
        </w:tc>
        <w:tc>
          <w:tcPr>
            <w:tcW w:w="5354" w:type="dxa"/>
            <w:vMerge/>
            <w:shd w:val="clear" w:color="000000" w:fill="FFFFFF"/>
          </w:tcPr>
          <w:p w14:paraId="07E0D8B9" w14:textId="77777777" w:rsidR="000944A8" w:rsidRPr="000944A8" w:rsidRDefault="000944A8" w:rsidP="0012575E">
            <w:pPr>
              <w:rPr>
                <w:b/>
                <w:szCs w:val="24"/>
              </w:rPr>
            </w:pPr>
          </w:p>
        </w:tc>
        <w:tc>
          <w:tcPr>
            <w:tcW w:w="4152" w:type="dxa"/>
            <w:shd w:val="clear" w:color="000000" w:fill="FFFFFF"/>
          </w:tcPr>
          <w:p w14:paraId="57E6F89D" w14:textId="77777777" w:rsidR="000944A8" w:rsidRPr="000944A8" w:rsidRDefault="000944A8" w:rsidP="0012575E">
            <w:pPr>
              <w:jc w:val="center"/>
              <w:rPr>
                <w:szCs w:val="24"/>
              </w:rPr>
            </w:pPr>
            <w:r w:rsidRPr="000944A8">
              <w:rPr>
                <w:b/>
                <w:bCs/>
                <w:szCs w:val="24"/>
              </w:rPr>
              <w:t>3. LV - Buôn Ma Thuột</w:t>
            </w:r>
            <w:r w:rsidRPr="000944A8">
              <w:rPr>
                <w:szCs w:val="24"/>
              </w:rPr>
              <w:t xml:space="preserve"> (198 A Nguyễn Văn Linh, xã Eatu, tỉnh Đắk Lắk)</w:t>
            </w:r>
          </w:p>
        </w:tc>
        <w:tc>
          <w:tcPr>
            <w:tcW w:w="1075" w:type="dxa"/>
            <w:shd w:val="clear" w:color="000000" w:fill="FFFFFF"/>
            <w:vAlign w:val="center"/>
          </w:tcPr>
          <w:p w14:paraId="52DC7CD8" w14:textId="77777777" w:rsidR="000944A8" w:rsidRPr="000944A8" w:rsidRDefault="000944A8" w:rsidP="0012575E">
            <w:pPr>
              <w:jc w:val="center"/>
              <w:rPr>
                <w:szCs w:val="24"/>
              </w:rPr>
            </w:pPr>
            <w:r w:rsidRPr="000944A8">
              <w:rPr>
                <w:szCs w:val="24"/>
              </w:rPr>
              <w:t>194</w:t>
            </w:r>
          </w:p>
        </w:tc>
        <w:tc>
          <w:tcPr>
            <w:tcW w:w="1076" w:type="dxa"/>
            <w:vMerge/>
            <w:vAlign w:val="center"/>
          </w:tcPr>
          <w:p w14:paraId="6FAE5431" w14:textId="77777777" w:rsidR="000944A8" w:rsidRPr="000944A8" w:rsidRDefault="000944A8" w:rsidP="0012575E">
            <w:pPr>
              <w:jc w:val="center"/>
              <w:rPr>
                <w:szCs w:val="24"/>
              </w:rPr>
            </w:pPr>
          </w:p>
        </w:tc>
        <w:tc>
          <w:tcPr>
            <w:tcW w:w="895" w:type="dxa"/>
            <w:vMerge/>
          </w:tcPr>
          <w:p w14:paraId="0DE0C0F5" w14:textId="77777777" w:rsidR="000944A8" w:rsidRPr="000944A8" w:rsidRDefault="000944A8" w:rsidP="0012575E">
            <w:pPr>
              <w:jc w:val="center"/>
              <w:rPr>
                <w:szCs w:val="24"/>
              </w:rPr>
            </w:pPr>
          </w:p>
        </w:tc>
      </w:tr>
      <w:tr w:rsidR="000944A8" w:rsidRPr="000944A8" w14:paraId="17BE096B" w14:textId="77777777" w:rsidTr="0012575E">
        <w:trPr>
          <w:trHeight w:val="739"/>
          <w:jc w:val="center"/>
        </w:trPr>
        <w:tc>
          <w:tcPr>
            <w:tcW w:w="624" w:type="dxa"/>
            <w:vMerge/>
            <w:shd w:val="clear" w:color="000000" w:fill="FFFFFF"/>
            <w:vAlign w:val="center"/>
          </w:tcPr>
          <w:p w14:paraId="664773DE" w14:textId="77777777" w:rsidR="000944A8" w:rsidRPr="000944A8" w:rsidRDefault="000944A8" w:rsidP="0012575E">
            <w:pPr>
              <w:jc w:val="center"/>
              <w:rPr>
                <w:szCs w:val="24"/>
              </w:rPr>
            </w:pPr>
          </w:p>
        </w:tc>
        <w:tc>
          <w:tcPr>
            <w:tcW w:w="1376" w:type="dxa"/>
            <w:vMerge/>
            <w:shd w:val="clear" w:color="000000" w:fill="FFFFFF"/>
            <w:vAlign w:val="center"/>
          </w:tcPr>
          <w:p w14:paraId="5E350A34" w14:textId="77777777" w:rsidR="000944A8" w:rsidRPr="000944A8" w:rsidRDefault="000944A8" w:rsidP="0012575E">
            <w:pPr>
              <w:rPr>
                <w:spacing w:val="-12"/>
                <w:szCs w:val="24"/>
              </w:rPr>
            </w:pPr>
          </w:p>
        </w:tc>
        <w:tc>
          <w:tcPr>
            <w:tcW w:w="5354" w:type="dxa"/>
            <w:vMerge/>
            <w:shd w:val="clear" w:color="000000" w:fill="FFFFFF"/>
          </w:tcPr>
          <w:p w14:paraId="33D555B7" w14:textId="77777777" w:rsidR="000944A8" w:rsidRPr="000944A8" w:rsidRDefault="000944A8" w:rsidP="0012575E">
            <w:pPr>
              <w:rPr>
                <w:b/>
                <w:szCs w:val="24"/>
              </w:rPr>
            </w:pPr>
          </w:p>
        </w:tc>
        <w:tc>
          <w:tcPr>
            <w:tcW w:w="4152" w:type="dxa"/>
            <w:shd w:val="clear" w:color="000000" w:fill="FFFFFF"/>
          </w:tcPr>
          <w:p w14:paraId="1A462BBE" w14:textId="77777777" w:rsidR="000944A8" w:rsidRPr="000944A8" w:rsidRDefault="000944A8" w:rsidP="0012575E">
            <w:pPr>
              <w:jc w:val="center"/>
              <w:rPr>
                <w:szCs w:val="24"/>
              </w:rPr>
            </w:pPr>
            <w:r w:rsidRPr="000944A8">
              <w:rPr>
                <w:b/>
                <w:bCs/>
                <w:szCs w:val="24"/>
              </w:rPr>
              <w:t>4. LV – Plekiu</w:t>
            </w:r>
            <w:r w:rsidRPr="000944A8">
              <w:rPr>
                <w:szCs w:val="24"/>
              </w:rPr>
              <w:t xml:space="preserve"> (1119 Võ Nguyên Giáp, Phường Hội Phú, tỉnh Gia Lai)</w:t>
            </w:r>
          </w:p>
        </w:tc>
        <w:tc>
          <w:tcPr>
            <w:tcW w:w="1075" w:type="dxa"/>
            <w:shd w:val="clear" w:color="000000" w:fill="FFFFFF"/>
            <w:vAlign w:val="center"/>
          </w:tcPr>
          <w:p w14:paraId="1108DED5" w14:textId="77777777" w:rsidR="000944A8" w:rsidRPr="000944A8" w:rsidRDefault="000944A8" w:rsidP="0012575E">
            <w:pPr>
              <w:jc w:val="center"/>
              <w:rPr>
                <w:szCs w:val="24"/>
              </w:rPr>
            </w:pPr>
            <w:r w:rsidRPr="000944A8">
              <w:rPr>
                <w:szCs w:val="24"/>
              </w:rPr>
              <w:t>307</w:t>
            </w:r>
          </w:p>
        </w:tc>
        <w:tc>
          <w:tcPr>
            <w:tcW w:w="1076" w:type="dxa"/>
            <w:vMerge/>
            <w:vAlign w:val="center"/>
          </w:tcPr>
          <w:p w14:paraId="1C595DCF" w14:textId="77777777" w:rsidR="000944A8" w:rsidRPr="000944A8" w:rsidRDefault="000944A8" w:rsidP="0012575E">
            <w:pPr>
              <w:jc w:val="center"/>
              <w:rPr>
                <w:szCs w:val="24"/>
              </w:rPr>
            </w:pPr>
          </w:p>
        </w:tc>
        <w:tc>
          <w:tcPr>
            <w:tcW w:w="895" w:type="dxa"/>
            <w:vMerge/>
          </w:tcPr>
          <w:p w14:paraId="2B708C2B" w14:textId="77777777" w:rsidR="000944A8" w:rsidRPr="000944A8" w:rsidRDefault="000944A8" w:rsidP="0012575E">
            <w:pPr>
              <w:jc w:val="center"/>
              <w:rPr>
                <w:szCs w:val="24"/>
              </w:rPr>
            </w:pPr>
          </w:p>
        </w:tc>
      </w:tr>
      <w:tr w:rsidR="000944A8" w:rsidRPr="000944A8" w14:paraId="266F30B5" w14:textId="77777777" w:rsidTr="0012575E">
        <w:trPr>
          <w:trHeight w:val="775"/>
          <w:jc w:val="center"/>
        </w:trPr>
        <w:tc>
          <w:tcPr>
            <w:tcW w:w="624" w:type="dxa"/>
            <w:vMerge/>
            <w:shd w:val="clear" w:color="000000" w:fill="FFFFFF"/>
            <w:vAlign w:val="center"/>
          </w:tcPr>
          <w:p w14:paraId="707BFF65" w14:textId="77777777" w:rsidR="000944A8" w:rsidRPr="000944A8" w:rsidRDefault="000944A8" w:rsidP="0012575E">
            <w:pPr>
              <w:jc w:val="center"/>
              <w:rPr>
                <w:szCs w:val="24"/>
              </w:rPr>
            </w:pPr>
          </w:p>
        </w:tc>
        <w:tc>
          <w:tcPr>
            <w:tcW w:w="1376" w:type="dxa"/>
            <w:vMerge/>
            <w:shd w:val="clear" w:color="000000" w:fill="FFFFFF"/>
            <w:vAlign w:val="center"/>
          </w:tcPr>
          <w:p w14:paraId="6001C85D" w14:textId="77777777" w:rsidR="000944A8" w:rsidRPr="000944A8" w:rsidRDefault="000944A8" w:rsidP="0012575E">
            <w:pPr>
              <w:rPr>
                <w:spacing w:val="-12"/>
                <w:szCs w:val="24"/>
              </w:rPr>
            </w:pPr>
          </w:p>
        </w:tc>
        <w:tc>
          <w:tcPr>
            <w:tcW w:w="5354" w:type="dxa"/>
            <w:vMerge/>
            <w:shd w:val="clear" w:color="000000" w:fill="FFFFFF"/>
          </w:tcPr>
          <w:p w14:paraId="3F708F99" w14:textId="77777777" w:rsidR="000944A8" w:rsidRPr="000944A8" w:rsidRDefault="000944A8" w:rsidP="0012575E">
            <w:pPr>
              <w:rPr>
                <w:b/>
                <w:szCs w:val="24"/>
              </w:rPr>
            </w:pPr>
          </w:p>
        </w:tc>
        <w:tc>
          <w:tcPr>
            <w:tcW w:w="4152" w:type="dxa"/>
            <w:shd w:val="clear" w:color="000000" w:fill="FFFFFF"/>
          </w:tcPr>
          <w:p w14:paraId="5C41A511" w14:textId="77777777" w:rsidR="000944A8" w:rsidRPr="000944A8" w:rsidRDefault="000944A8" w:rsidP="0012575E">
            <w:pPr>
              <w:rPr>
                <w:szCs w:val="24"/>
              </w:rPr>
            </w:pPr>
            <w:r w:rsidRPr="000944A8">
              <w:rPr>
                <w:b/>
                <w:bCs/>
                <w:szCs w:val="24"/>
              </w:rPr>
              <w:t>5. LV - Cần Thơ</w:t>
            </w:r>
            <w:r w:rsidRPr="000944A8">
              <w:rPr>
                <w:szCs w:val="24"/>
              </w:rPr>
              <w:t xml:space="preserve"> (QL1A, ấp Long An B, Xã Đông Phước, Thành phố Cần Thơ)</w:t>
            </w:r>
          </w:p>
        </w:tc>
        <w:tc>
          <w:tcPr>
            <w:tcW w:w="1075" w:type="dxa"/>
            <w:shd w:val="clear" w:color="000000" w:fill="FFFFFF"/>
            <w:vAlign w:val="center"/>
          </w:tcPr>
          <w:p w14:paraId="5D6657C3" w14:textId="77777777" w:rsidR="000944A8" w:rsidRPr="000944A8" w:rsidRDefault="000944A8" w:rsidP="0012575E">
            <w:pPr>
              <w:jc w:val="center"/>
              <w:rPr>
                <w:szCs w:val="24"/>
              </w:rPr>
            </w:pPr>
            <w:r w:rsidRPr="000944A8">
              <w:rPr>
                <w:szCs w:val="24"/>
              </w:rPr>
              <w:t>932</w:t>
            </w:r>
          </w:p>
        </w:tc>
        <w:tc>
          <w:tcPr>
            <w:tcW w:w="1076" w:type="dxa"/>
            <w:vMerge/>
            <w:vAlign w:val="center"/>
          </w:tcPr>
          <w:p w14:paraId="3A41C4D5" w14:textId="77777777" w:rsidR="000944A8" w:rsidRPr="000944A8" w:rsidRDefault="000944A8" w:rsidP="0012575E">
            <w:pPr>
              <w:jc w:val="center"/>
              <w:rPr>
                <w:szCs w:val="24"/>
              </w:rPr>
            </w:pPr>
          </w:p>
        </w:tc>
        <w:tc>
          <w:tcPr>
            <w:tcW w:w="895" w:type="dxa"/>
            <w:vMerge/>
          </w:tcPr>
          <w:p w14:paraId="0828F5ED" w14:textId="77777777" w:rsidR="000944A8" w:rsidRPr="000944A8" w:rsidRDefault="000944A8" w:rsidP="0012575E">
            <w:pPr>
              <w:jc w:val="center"/>
              <w:rPr>
                <w:szCs w:val="24"/>
              </w:rPr>
            </w:pPr>
          </w:p>
        </w:tc>
      </w:tr>
      <w:tr w:rsidR="000944A8" w:rsidRPr="000944A8" w14:paraId="725AF778" w14:textId="77777777" w:rsidTr="0012575E">
        <w:trPr>
          <w:trHeight w:val="1045"/>
          <w:jc w:val="center"/>
        </w:trPr>
        <w:tc>
          <w:tcPr>
            <w:tcW w:w="624" w:type="dxa"/>
            <w:vMerge/>
            <w:shd w:val="clear" w:color="000000" w:fill="FFFFFF"/>
            <w:vAlign w:val="center"/>
          </w:tcPr>
          <w:p w14:paraId="12AC5EA8" w14:textId="77777777" w:rsidR="000944A8" w:rsidRPr="000944A8" w:rsidRDefault="000944A8" w:rsidP="0012575E">
            <w:pPr>
              <w:jc w:val="center"/>
              <w:rPr>
                <w:szCs w:val="24"/>
              </w:rPr>
            </w:pPr>
          </w:p>
        </w:tc>
        <w:tc>
          <w:tcPr>
            <w:tcW w:w="1376" w:type="dxa"/>
            <w:vMerge/>
            <w:shd w:val="clear" w:color="000000" w:fill="FFFFFF"/>
            <w:vAlign w:val="center"/>
          </w:tcPr>
          <w:p w14:paraId="79B810C5" w14:textId="77777777" w:rsidR="000944A8" w:rsidRPr="000944A8" w:rsidRDefault="000944A8" w:rsidP="0012575E">
            <w:pPr>
              <w:rPr>
                <w:spacing w:val="-12"/>
                <w:szCs w:val="24"/>
              </w:rPr>
            </w:pPr>
          </w:p>
        </w:tc>
        <w:tc>
          <w:tcPr>
            <w:tcW w:w="5354" w:type="dxa"/>
            <w:vMerge/>
            <w:shd w:val="clear" w:color="000000" w:fill="FFFFFF"/>
          </w:tcPr>
          <w:p w14:paraId="2568492F" w14:textId="77777777" w:rsidR="000944A8" w:rsidRPr="000944A8" w:rsidRDefault="000944A8" w:rsidP="0012575E">
            <w:pPr>
              <w:rPr>
                <w:b/>
                <w:szCs w:val="24"/>
              </w:rPr>
            </w:pPr>
          </w:p>
        </w:tc>
        <w:tc>
          <w:tcPr>
            <w:tcW w:w="4152" w:type="dxa"/>
            <w:shd w:val="clear" w:color="000000" w:fill="FFFFFF"/>
          </w:tcPr>
          <w:p w14:paraId="2CCC4E0B" w14:textId="77777777" w:rsidR="000944A8" w:rsidRPr="000944A8" w:rsidRDefault="000944A8" w:rsidP="0012575E">
            <w:pPr>
              <w:jc w:val="center"/>
              <w:rPr>
                <w:szCs w:val="24"/>
              </w:rPr>
            </w:pPr>
            <w:r w:rsidRPr="000944A8">
              <w:rPr>
                <w:b/>
                <w:bCs/>
                <w:szCs w:val="24"/>
              </w:rPr>
              <w:t>6. LV - Đà Nẵng</w:t>
            </w:r>
            <w:r w:rsidRPr="000944A8">
              <w:rPr>
                <w:szCs w:val="24"/>
              </w:rPr>
              <w:t xml:space="preserve"> (Khu Công nghiệp Khu công nghiệp Hòa Cầm, đường số 8, Phường Cẩm Lệ, TP Đà Nẵng)</w:t>
            </w:r>
          </w:p>
        </w:tc>
        <w:tc>
          <w:tcPr>
            <w:tcW w:w="1075" w:type="dxa"/>
            <w:shd w:val="clear" w:color="000000" w:fill="FFFFFF"/>
            <w:vAlign w:val="center"/>
          </w:tcPr>
          <w:p w14:paraId="34DAB7CA" w14:textId="77777777" w:rsidR="000944A8" w:rsidRPr="000944A8" w:rsidRDefault="000944A8" w:rsidP="0012575E">
            <w:pPr>
              <w:jc w:val="center"/>
              <w:rPr>
                <w:szCs w:val="24"/>
              </w:rPr>
            </w:pPr>
            <w:r w:rsidRPr="000944A8">
              <w:rPr>
                <w:szCs w:val="24"/>
              </w:rPr>
              <w:t>583</w:t>
            </w:r>
          </w:p>
        </w:tc>
        <w:tc>
          <w:tcPr>
            <w:tcW w:w="1076" w:type="dxa"/>
            <w:vMerge/>
            <w:vAlign w:val="center"/>
          </w:tcPr>
          <w:p w14:paraId="45C99846" w14:textId="77777777" w:rsidR="000944A8" w:rsidRPr="000944A8" w:rsidRDefault="000944A8" w:rsidP="0012575E">
            <w:pPr>
              <w:jc w:val="center"/>
              <w:rPr>
                <w:szCs w:val="24"/>
              </w:rPr>
            </w:pPr>
          </w:p>
        </w:tc>
        <w:tc>
          <w:tcPr>
            <w:tcW w:w="895" w:type="dxa"/>
            <w:vMerge/>
          </w:tcPr>
          <w:p w14:paraId="61E391BD" w14:textId="77777777" w:rsidR="000944A8" w:rsidRPr="000944A8" w:rsidRDefault="000944A8" w:rsidP="0012575E">
            <w:pPr>
              <w:jc w:val="center"/>
              <w:rPr>
                <w:szCs w:val="24"/>
              </w:rPr>
            </w:pPr>
          </w:p>
        </w:tc>
      </w:tr>
      <w:tr w:rsidR="000944A8" w:rsidRPr="000944A8" w14:paraId="28CE6D92" w14:textId="77777777" w:rsidTr="0012575E">
        <w:trPr>
          <w:trHeight w:val="829"/>
          <w:jc w:val="center"/>
        </w:trPr>
        <w:tc>
          <w:tcPr>
            <w:tcW w:w="624" w:type="dxa"/>
            <w:vMerge/>
            <w:shd w:val="clear" w:color="000000" w:fill="FFFFFF"/>
            <w:vAlign w:val="center"/>
          </w:tcPr>
          <w:p w14:paraId="26D4A172" w14:textId="77777777" w:rsidR="000944A8" w:rsidRPr="000944A8" w:rsidRDefault="000944A8" w:rsidP="0012575E">
            <w:pPr>
              <w:jc w:val="center"/>
              <w:rPr>
                <w:szCs w:val="24"/>
              </w:rPr>
            </w:pPr>
          </w:p>
        </w:tc>
        <w:tc>
          <w:tcPr>
            <w:tcW w:w="1376" w:type="dxa"/>
            <w:vMerge/>
            <w:shd w:val="clear" w:color="000000" w:fill="FFFFFF"/>
            <w:vAlign w:val="center"/>
          </w:tcPr>
          <w:p w14:paraId="464246CA" w14:textId="77777777" w:rsidR="000944A8" w:rsidRPr="000944A8" w:rsidRDefault="000944A8" w:rsidP="0012575E">
            <w:pPr>
              <w:rPr>
                <w:spacing w:val="-12"/>
                <w:szCs w:val="24"/>
              </w:rPr>
            </w:pPr>
          </w:p>
        </w:tc>
        <w:tc>
          <w:tcPr>
            <w:tcW w:w="5354" w:type="dxa"/>
            <w:vMerge/>
            <w:shd w:val="clear" w:color="000000" w:fill="FFFFFF"/>
          </w:tcPr>
          <w:p w14:paraId="77A28BF2" w14:textId="77777777" w:rsidR="000944A8" w:rsidRPr="000944A8" w:rsidRDefault="000944A8" w:rsidP="0012575E">
            <w:pPr>
              <w:rPr>
                <w:b/>
                <w:szCs w:val="24"/>
              </w:rPr>
            </w:pPr>
          </w:p>
        </w:tc>
        <w:tc>
          <w:tcPr>
            <w:tcW w:w="4152" w:type="dxa"/>
            <w:shd w:val="clear" w:color="000000" w:fill="FFFFFF"/>
          </w:tcPr>
          <w:p w14:paraId="31DFB794" w14:textId="77777777" w:rsidR="000944A8" w:rsidRPr="000944A8" w:rsidRDefault="000944A8" w:rsidP="0012575E">
            <w:pPr>
              <w:jc w:val="center"/>
              <w:rPr>
                <w:szCs w:val="24"/>
              </w:rPr>
            </w:pPr>
            <w:r w:rsidRPr="000944A8">
              <w:rPr>
                <w:b/>
                <w:bCs/>
                <w:szCs w:val="24"/>
              </w:rPr>
              <w:t>7. LV - Hạ Long</w:t>
            </w:r>
            <w:r w:rsidRPr="000944A8">
              <w:rPr>
                <w:szCs w:val="24"/>
              </w:rPr>
              <w:t xml:space="preserve"> (Khu công nghiệp Hà Khánh, Phường Cao Xanh, Quảng Ninh)</w:t>
            </w:r>
          </w:p>
        </w:tc>
        <w:tc>
          <w:tcPr>
            <w:tcW w:w="1075" w:type="dxa"/>
            <w:shd w:val="clear" w:color="000000" w:fill="FFFFFF"/>
            <w:vAlign w:val="center"/>
          </w:tcPr>
          <w:p w14:paraId="6E927B8F" w14:textId="77777777" w:rsidR="000944A8" w:rsidRPr="000944A8" w:rsidRDefault="000944A8" w:rsidP="0012575E">
            <w:pPr>
              <w:jc w:val="center"/>
              <w:rPr>
                <w:szCs w:val="24"/>
              </w:rPr>
            </w:pPr>
            <w:r w:rsidRPr="000944A8">
              <w:rPr>
                <w:szCs w:val="24"/>
              </w:rPr>
              <w:t>424</w:t>
            </w:r>
          </w:p>
        </w:tc>
        <w:tc>
          <w:tcPr>
            <w:tcW w:w="1076" w:type="dxa"/>
            <w:vMerge/>
            <w:vAlign w:val="center"/>
          </w:tcPr>
          <w:p w14:paraId="049B1224" w14:textId="77777777" w:rsidR="000944A8" w:rsidRPr="000944A8" w:rsidRDefault="000944A8" w:rsidP="0012575E">
            <w:pPr>
              <w:jc w:val="center"/>
              <w:rPr>
                <w:szCs w:val="24"/>
              </w:rPr>
            </w:pPr>
          </w:p>
        </w:tc>
        <w:tc>
          <w:tcPr>
            <w:tcW w:w="895" w:type="dxa"/>
            <w:vMerge/>
          </w:tcPr>
          <w:p w14:paraId="4C13A5DA" w14:textId="77777777" w:rsidR="000944A8" w:rsidRPr="000944A8" w:rsidRDefault="000944A8" w:rsidP="0012575E">
            <w:pPr>
              <w:jc w:val="center"/>
              <w:rPr>
                <w:szCs w:val="24"/>
              </w:rPr>
            </w:pPr>
          </w:p>
        </w:tc>
      </w:tr>
      <w:tr w:rsidR="000944A8" w:rsidRPr="000944A8" w14:paraId="2A9A28EE" w14:textId="77777777" w:rsidTr="0012575E">
        <w:trPr>
          <w:trHeight w:val="775"/>
          <w:jc w:val="center"/>
        </w:trPr>
        <w:tc>
          <w:tcPr>
            <w:tcW w:w="624" w:type="dxa"/>
            <w:vMerge/>
            <w:shd w:val="clear" w:color="000000" w:fill="FFFFFF"/>
            <w:vAlign w:val="center"/>
          </w:tcPr>
          <w:p w14:paraId="124E378F" w14:textId="77777777" w:rsidR="000944A8" w:rsidRPr="000944A8" w:rsidRDefault="000944A8" w:rsidP="0012575E">
            <w:pPr>
              <w:jc w:val="center"/>
              <w:rPr>
                <w:szCs w:val="24"/>
              </w:rPr>
            </w:pPr>
          </w:p>
        </w:tc>
        <w:tc>
          <w:tcPr>
            <w:tcW w:w="1376" w:type="dxa"/>
            <w:vMerge/>
            <w:shd w:val="clear" w:color="000000" w:fill="FFFFFF"/>
            <w:vAlign w:val="center"/>
          </w:tcPr>
          <w:p w14:paraId="5DB6214B" w14:textId="77777777" w:rsidR="000944A8" w:rsidRPr="000944A8" w:rsidRDefault="000944A8" w:rsidP="0012575E">
            <w:pPr>
              <w:rPr>
                <w:spacing w:val="-12"/>
                <w:szCs w:val="24"/>
              </w:rPr>
            </w:pPr>
          </w:p>
        </w:tc>
        <w:tc>
          <w:tcPr>
            <w:tcW w:w="5354" w:type="dxa"/>
            <w:vMerge/>
            <w:shd w:val="clear" w:color="000000" w:fill="FFFFFF"/>
          </w:tcPr>
          <w:p w14:paraId="2F282ADD" w14:textId="77777777" w:rsidR="000944A8" w:rsidRPr="000944A8" w:rsidRDefault="000944A8" w:rsidP="0012575E">
            <w:pPr>
              <w:rPr>
                <w:b/>
                <w:szCs w:val="24"/>
              </w:rPr>
            </w:pPr>
          </w:p>
        </w:tc>
        <w:tc>
          <w:tcPr>
            <w:tcW w:w="4152" w:type="dxa"/>
            <w:shd w:val="clear" w:color="000000" w:fill="FFFFFF"/>
          </w:tcPr>
          <w:p w14:paraId="33013A5A" w14:textId="77777777" w:rsidR="000944A8" w:rsidRPr="000944A8" w:rsidRDefault="000944A8" w:rsidP="0012575E">
            <w:pPr>
              <w:jc w:val="center"/>
              <w:rPr>
                <w:szCs w:val="24"/>
              </w:rPr>
            </w:pPr>
            <w:r w:rsidRPr="000944A8">
              <w:rPr>
                <w:b/>
                <w:bCs/>
                <w:szCs w:val="24"/>
              </w:rPr>
              <w:t>8. LV - Nam Định</w:t>
            </w:r>
            <w:r w:rsidRPr="000944A8">
              <w:rPr>
                <w:szCs w:val="24"/>
              </w:rPr>
              <w:t xml:space="preserve"> (Khu vực Đồng Quan, xóm 4, Thôn Mỹ Trọng, Phường Thành Nam, Ninh Bình)</w:t>
            </w:r>
          </w:p>
        </w:tc>
        <w:tc>
          <w:tcPr>
            <w:tcW w:w="1075" w:type="dxa"/>
            <w:shd w:val="clear" w:color="000000" w:fill="FFFFFF"/>
            <w:vAlign w:val="center"/>
          </w:tcPr>
          <w:p w14:paraId="51284EE8" w14:textId="77777777" w:rsidR="000944A8" w:rsidRPr="000944A8" w:rsidRDefault="000944A8" w:rsidP="0012575E">
            <w:pPr>
              <w:jc w:val="center"/>
              <w:rPr>
                <w:szCs w:val="24"/>
              </w:rPr>
            </w:pPr>
            <w:r w:rsidRPr="000944A8">
              <w:rPr>
                <w:szCs w:val="24"/>
              </w:rPr>
              <w:t>260</w:t>
            </w:r>
          </w:p>
        </w:tc>
        <w:tc>
          <w:tcPr>
            <w:tcW w:w="1076" w:type="dxa"/>
            <w:vMerge/>
            <w:vAlign w:val="center"/>
          </w:tcPr>
          <w:p w14:paraId="12680DAD" w14:textId="77777777" w:rsidR="000944A8" w:rsidRPr="000944A8" w:rsidRDefault="000944A8" w:rsidP="0012575E">
            <w:pPr>
              <w:jc w:val="center"/>
              <w:rPr>
                <w:szCs w:val="24"/>
              </w:rPr>
            </w:pPr>
          </w:p>
        </w:tc>
        <w:tc>
          <w:tcPr>
            <w:tcW w:w="895" w:type="dxa"/>
            <w:vMerge/>
          </w:tcPr>
          <w:p w14:paraId="3CE14ED5" w14:textId="77777777" w:rsidR="000944A8" w:rsidRPr="000944A8" w:rsidRDefault="000944A8" w:rsidP="0012575E">
            <w:pPr>
              <w:jc w:val="center"/>
              <w:rPr>
                <w:szCs w:val="24"/>
              </w:rPr>
            </w:pPr>
          </w:p>
        </w:tc>
      </w:tr>
      <w:tr w:rsidR="000944A8" w:rsidRPr="000944A8" w14:paraId="6F6BC7CA" w14:textId="77777777" w:rsidTr="0012575E">
        <w:trPr>
          <w:trHeight w:val="820"/>
          <w:jc w:val="center"/>
        </w:trPr>
        <w:tc>
          <w:tcPr>
            <w:tcW w:w="624" w:type="dxa"/>
            <w:vMerge/>
            <w:shd w:val="clear" w:color="000000" w:fill="FFFFFF"/>
            <w:vAlign w:val="center"/>
          </w:tcPr>
          <w:p w14:paraId="77210D59" w14:textId="77777777" w:rsidR="000944A8" w:rsidRPr="000944A8" w:rsidRDefault="000944A8" w:rsidP="0012575E">
            <w:pPr>
              <w:jc w:val="center"/>
              <w:rPr>
                <w:szCs w:val="24"/>
              </w:rPr>
            </w:pPr>
          </w:p>
        </w:tc>
        <w:tc>
          <w:tcPr>
            <w:tcW w:w="1376" w:type="dxa"/>
            <w:vMerge/>
            <w:shd w:val="clear" w:color="000000" w:fill="FFFFFF"/>
            <w:vAlign w:val="center"/>
          </w:tcPr>
          <w:p w14:paraId="4A09F5D5" w14:textId="77777777" w:rsidR="000944A8" w:rsidRPr="000944A8" w:rsidRDefault="000944A8" w:rsidP="0012575E">
            <w:pPr>
              <w:rPr>
                <w:spacing w:val="-12"/>
                <w:szCs w:val="24"/>
              </w:rPr>
            </w:pPr>
          </w:p>
        </w:tc>
        <w:tc>
          <w:tcPr>
            <w:tcW w:w="5354" w:type="dxa"/>
            <w:vMerge/>
            <w:shd w:val="clear" w:color="000000" w:fill="FFFFFF"/>
          </w:tcPr>
          <w:p w14:paraId="7B28D8CC" w14:textId="77777777" w:rsidR="000944A8" w:rsidRPr="000944A8" w:rsidRDefault="000944A8" w:rsidP="0012575E">
            <w:pPr>
              <w:rPr>
                <w:b/>
                <w:szCs w:val="24"/>
              </w:rPr>
            </w:pPr>
          </w:p>
        </w:tc>
        <w:tc>
          <w:tcPr>
            <w:tcW w:w="4152" w:type="dxa"/>
            <w:shd w:val="clear" w:color="000000" w:fill="FFFFFF"/>
          </w:tcPr>
          <w:p w14:paraId="691203F1" w14:textId="77777777" w:rsidR="000944A8" w:rsidRPr="000944A8" w:rsidRDefault="000944A8" w:rsidP="0012575E">
            <w:pPr>
              <w:jc w:val="center"/>
              <w:rPr>
                <w:szCs w:val="24"/>
              </w:rPr>
            </w:pPr>
            <w:r w:rsidRPr="000944A8">
              <w:rPr>
                <w:b/>
                <w:bCs/>
                <w:szCs w:val="24"/>
              </w:rPr>
              <w:t>9. LV - Cam Ranh</w:t>
            </w:r>
            <w:r w:rsidRPr="000944A8">
              <w:rPr>
                <w:szCs w:val="24"/>
              </w:rPr>
              <w:t xml:space="preserve"> (Quốc lộ 1A, thôn Văn Tứ Tây, Xã Cam Lâm, Khánh Hòa)</w:t>
            </w:r>
          </w:p>
        </w:tc>
        <w:tc>
          <w:tcPr>
            <w:tcW w:w="1075" w:type="dxa"/>
            <w:shd w:val="clear" w:color="000000" w:fill="FFFFFF"/>
            <w:vAlign w:val="center"/>
          </w:tcPr>
          <w:p w14:paraId="732E1BE0" w14:textId="77777777" w:rsidR="000944A8" w:rsidRPr="000944A8" w:rsidRDefault="000944A8" w:rsidP="0012575E">
            <w:pPr>
              <w:jc w:val="center"/>
              <w:rPr>
                <w:szCs w:val="24"/>
              </w:rPr>
            </w:pPr>
            <w:r w:rsidRPr="000944A8">
              <w:rPr>
                <w:szCs w:val="24"/>
              </w:rPr>
              <w:t>490</w:t>
            </w:r>
          </w:p>
        </w:tc>
        <w:tc>
          <w:tcPr>
            <w:tcW w:w="1076" w:type="dxa"/>
            <w:vMerge/>
            <w:vAlign w:val="center"/>
          </w:tcPr>
          <w:p w14:paraId="4AF04CB9" w14:textId="77777777" w:rsidR="000944A8" w:rsidRPr="000944A8" w:rsidRDefault="000944A8" w:rsidP="0012575E">
            <w:pPr>
              <w:jc w:val="center"/>
              <w:rPr>
                <w:szCs w:val="24"/>
              </w:rPr>
            </w:pPr>
          </w:p>
        </w:tc>
        <w:tc>
          <w:tcPr>
            <w:tcW w:w="895" w:type="dxa"/>
            <w:vMerge/>
          </w:tcPr>
          <w:p w14:paraId="7FBC21DB" w14:textId="77777777" w:rsidR="000944A8" w:rsidRPr="000944A8" w:rsidRDefault="000944A8" w:rsidP="0012575E">
            <w:pPr>
              <w:jc w:val="center"/>
              <w:rPr>
                <w:szCs w:val="24"/>
              </w:rPr>
            </w:pPr>
          </w:p>
        </w:tc>
      </w:tr>
      <w:tr w:rsidR="000944A8" w:rsidRPr="000944A8" w14:paraId="3E1FB28C" w14:textId="77777777" w:rsidTr="0012575E">
        <w:trPr>
          <w:trHeight w:val="982"/>
          <w:jc w:val="center"/>
        </w:trPr>
        <w:tc>
          <w:tcPr>
            <w:tcW w:w="624" w:type="dxa"/>
            <w:vMerge/>
            <w:shd w:val="clear" w:color="000000" w:fill="FFFFFF"/>
            <w:vAlign w:val="center"/>
          </w:tcPr>
          <w:p w14:paraId="14DC8CB1" w14:textId="77777777" w:rsidR="000944A8" w:rsidRPr="000944A8" w:rsidRDefault="000944A8" w:rsidP="0012575E">
            <w:pPr>
              <w:jc w:val="center"/>
              <w:rPr>
                <w:szCs w:val="24"/>
              </w:rPr>
            </w:pPr>
          </w:p>
        </w:tc>
        <w:tc>
          <w:tcPr>
            <w:tcW w:w="1376" w:type="dxa"/>
            <w:vMerge/>
            <w:shd w:val="clear" w:color="000000" w:fill="FFFFFF"/>
            <w:vAlign w:val="center"/>
          </w:tcPr>
          <w:p w14:paraId="6C0E22F6" w14:textId="77777777" w:rsidR="000944A8" w:rsidRPr="000944A8" w:rsidRDefault="000944A8" w:rsidP="0012575E">
            <w:pPr>
              <w:rPr>
                <w:spacing w:val="-12"/>
                <w:szCs w:val="24"/>
              </w:rPr>
            </w:pPr>
          </w:p>
        </w:tc>
        <w:tc>
          <w:tcPr>
            <w:tcW w:w="5354" w:type="dxa"/>
            <w:vMerge/>
            <w:shd w:val="clear" w:color="000000" w:fill="FFFFFF"/>
          </w:tcPr>
          <w:p w14:paraId="75602E33" w14:textId="77777777" w:rsidR="000944A8" w:rsidRPr="000944A8" w:rsidRDefault="000944A8" w:rsidP="0012575E">
            <w:pPr>
              <w:rPr>
                <w:b/>
                <w:szCs w:val="24"/>
              </w:rPr>
            </w:pPr>
          </w:p>
        </w:tc>
        <w:tc>
          <w:tcPr>
            <w:tcW w:w="4152" w:type="dxa"/>
            <w:shd w:val="clear" w:color="000000" w:fill="FFFFFF"/>
          </w:tcPr>
          <w:p w14:paraId="05D95E08" w14:textId="77777777" w:rsidR="000944A8" w:rsidRPr="000944A8" w:rsidRDefault="000944A8" w:rsidP="0012575E">
            <w:pPr>
              <w:jc w:val="center"/>
              <w:rPr>
                <w:szCs w:val="24"/>
              </w:rPr>
            </w:pPr>
            <w:r w:rsidRPr="000944A8">
              <w:rPr>
                <w:b/>
                <w:bCs/>
                <w:szCs w:val="24"/>
              </w:rPr>
              <w:t>10. LV - Thanh Hóa</w:t>
            </w:r>
            <w:r w:rsidRPr="000944A8">
              <w:rPr>
                <w:szCs w:val="24"/>
              </w:rPr>
              <w:t xml:space="preserve"> (Lô 8, Khu Công Nghiệp Đình Hương - Tây Bắc Ga, Phường Hàm Rồng, Tỉnh Thanh Hóa)</w:t>
            </w:r>
          </w:p>
        </w:tc>
        <w:tc>
          <w:tcPr>
            <w:tcW w:w="1075" w:type="dxa"/>
            <w:shd w:val="clear" w:color="000000" w:fill="FFFFFF"/>
            <w:vAlign w:val="center"/>
          </w:tcPr>
          <w:p w14:paraId="7EF903FD" w14:textId="77777777" w:rsidR="000944A8" w:rsidRPr="000944A8" w:rsidRDefault="000944A8" w:rsidP="0012575E">
            <w:pPr>
              <w:jc w:val="center"/>
              <w:rPr>
                <w:szCs w:val="24"/>
              </w:rPr>
            </w:pPr>
            <w:r w:rsidRPr="000944A8">
              <w:rPr>
                <w:szCs w:val="24"/>
              </w:rPr>
              <w:t>259</w:t>
            </w:r>
          </w:p>
        </w:tc>
        <w:tc>
          <w:tcPr>
            <w:tcW w:w="1076" w:type="dxa"/>
            <w:vMerge/>
            <w:vAlign w:val="center"/>
          </w:tcPr>
          <w:p w14:paraId="321AEBC2" w14:textId="77777777" w:rsidR="000944A8" w:rsidRPr="000944A8" w:rsidRDefault="000944A8" w:rsidP="0012575E">
            <w:pPr>
              <w:jc w:val="center"/>
              <w:rPr>
                <w:szCs w:val="24"/>
              </w:rPr>
            </w:pPr>
          </w:p>
        </w:tc>
        <w:tc>
          <w:tcPr>
            <w:tcW w:w="895" w:type="dxa"/>
            <w:vMerge/>
          </w:tcPr>
          <w:p w14:paraId="4DD34C37" w14:textId="77777777" w:rsidR="000944A8" w:rsidRPr="000944A8" w:rsidRDefault="000944A8" w:rsidP="0012575E">
            <w:pPr>
              <w:jc w:val="center"/>
              <w:rPr>
                <w:szCs w:val="24"/>
              </w:rPr>
            </w:pPr>
          </w:p>
        </w:tc>
      </w:tr>
      <w:tr w:rsidR="000944A8" w:rsidRPr="000944A8" w14:paraId="1A2BA04E" w14:textId="77777777" w:rsidTr="0012575E">
        <w:trPr>
          <w:trHeight w:val="955"/>
          <w:jc w:val="center"/>
        </w:trPr>
        <w:tc>
          <w:tcPr>
            <w:tcW w:w="624" w:type="dxa"/>
            <w:vMerge/>
            <w:shd w:val="clear" w:color="000000" w:fill="FFFFFF"/>
            <w:vAlign w:val="center"/>
          </w:tcPr>
          <w:p w14:paraId="61117328" w14:textId="77777777" w:rsidR="000944A8" w:rsidRPr="000944A8" w:rsidRDefault="000944A8" w:rsidP="0012575E">
            <w:pPr>
              <w:jc w:val="center"/>
              <w:rPr>
                <w:szCs w:val="24"/>
              </w:rPr>
            </w:pPr>
          </w:p>
        </w:tc>
        <w:tc>
          <w:tcPr>
            <w:tcW w:w="1376" w:type="dxa"/>
            <w:vMerge/>
            <w:shd w:val="clear" w:color="000000" w:fill="FFFFFF"/>
            <w:vAlign w:val="center"/>
          </w:tcPr>
          <w:p w14:paraId="757BBE9D" w14:textId="77777777" w:rsidR="000944A8" w:rsidRPr="000944A8" w:rsidRDefault="000944A8" w:rsidP="0012575E">
            <w:pPr>
              <w:rPr>
                <w:spacing w:val="-12"/>
                <w:szCs w:val="24"/>
              </w:rPr>
            </w:pPr>
          </w:p>
        </w:tc>
        <w:tc>
          <w:tcPr>
            <w:tcW w:w="5354" w:type="dxa"/>
            <w:vMerge/>
            <w:shd w:val="clear" w:color="000000" w:fill="FFFFFF"/>
          </w:tcPr>
          <w:p w14:paraId="274C7B42" w14:textId="77777777" w:rsidR="000944A8" w:rsidRPr="000944A8" w:rsidRDefault="000944A8" w:rsidP="0012575E">
            <w:pPr>
              <w:rPr>
                <w:b/>
                <w:szCs w:val="24"/>
              </w:rPr>
            </w:pPr>
          </w:p>
        </w:tc>
        <w:tc>
          <w:tcPr>
            <w:tcW w:w="4152" w:type="dxa"/>
            <w:shd w:val="clear" w:color="000000" w:fill="FFFFFF"/>
          </w:tcPr>
          <w:p w14:paraId="3C214DF2" w14:textId="77777777" w:rsidR="000944A8" w:rsidRPr="000944A8" w:rsidRDefault="000944A8" w:rsidP="0012575E">
            <w:pPr>
              <w:rPr>
                <w:b/>
                <w:bCs/>
                <w:szCs w:val="24"/>
              </w:rPr>
            </w:pPr>
            <w:r w:rsidRPr="000944A8">
              <w:rPr>
                <w:b/>
                <w:bCs/>
                <w:szCs w:val="24"/>
              </w:rPr>
              <w:t>11. LV – Vinh</w:t>
            </w:r>
            <w:r w:rsidRPr="000944A8">
              <w:rPr>
                <w:szCs w:val="24"/>
              </w:rPr>
              <w:t xml:space="preserve"> (xóm 7, Xã Lam Thành, Nghệ An)</w:t>
            </w:r>
          </w:p>
        </w:tc>
        <w:tc>
          <w:tcPr>
            <w:tcW w:w="1075" w:type="dxa"/>
            <w:shd w:val="clear" w:color="000000" w:fill="FFFFFF"/>
            <w:vAlign w:val="center"/>
          </w:tcPr>
          <w:p w14:paraId="64B814E1" w14:textId="77777777" w:rsidR="000944A8" w:rsidRPr="000944A8" w:rsidRDefault="000944A8" w:rsidP="0012575E">
            <w:pPr>
              <w:jc w:val="center"/>
              <w:rPr>
                <w:szCs w:val="24"/>
              </w:rPr>
            </w:pPr>
            <w:r w:rsidRPr="000944A8">
              <w:rPr>
                <w:szCs w:val="24"/>
              </w:rPr>
              <w:t>266</w:t>
            </w:r>
          </w:p>
        </w:tc>
        <w:tc>
          <w:tcPr>
            <w:tcW w:w="1076" w:type="dxa"/>
            <w:vMerge/>
            <w:vAlign w:val="center"/>
          </w:tcPr>
          <w:p w14:paraId="0505DF06" w14:textId="77777777" w:rsidR="000944A8" w:rsidRPr="000944A8" w:rsidRDefault="000944A8" w:rsidP="0012575E">
            <w:pPr>
              <w:jc w:val="center"/>
              <w:rPr>
                <w:szCs w:val="24"/>
              </w:rPr>
            </w:pPr>
          </w:p>
        </w:tc>
        <w:tc>
          <w:tcPr>
            <w:tcW w:w="895" w:type="dxa"/>
            <w:vMerge/>
          </w:tcPr>
          <w:p w14:paraId="4D499024" w14:textId="77777777" w:rsidR="000944A8" w:rsidRPr="000944A8" w:rsidRDefault="000944A8" w:rsidP="0012575E">
            <w:pPr>
              <w:jc w:val="center"/>
              <w:rPr>
                <w:szCs w:val="24"/>
              </w:rPr>
            </w:pPr>
          </w:p>
        </w:tc>
      </w:tr>
      <w:tr w:rsidR="000944A8" w:rsidRPr="000944A8" w14:paraId="5CE93CF3" w14:textId="77777777" w:rsidTr="0012575E">
        <w:trPr>
          <w:trHeight w:val="829"/>
          <w:jc w:val="center"/>
        </w:trPr>
        <w:tc>
          <w:tcPr>
            <w:tcW w:w="624" w:type="dxa"/>
            <w:vMerge/>
            <w:shd w:val="clear" w:color="000000" w:fill="FFFFFF"/>
            <w:vAlign w:val="center"/>
          </w:tcPr>
          <w:p w14:paraId="16B1810B" w14:textId="77777777" w:rsidR="000944A8" w:rsidRPr="000944A8" w:rsidRDefault="000944A8" w:rsidP="0012575E">
            <w:pPr>
              <w:jc w:val="center"/>
              <w:rPr>
                <w:szCs w:val="24"/>
              </w:rPr>
            </w:pPr>
          </w:p>
        </w:tc>
        <w:tc>
          <w:tcPr>
            <w:tcW w:w="1376" w:type="dxa"/>
            <w:vMerge/>
            <w:shd w:val="clear" w:color="000000" w:fill="FFFFFF"/>
            <w:vAlign w:val="center"/>
          </w:tcPr>
          <w:p w14:paraId="32B03905" w14:textId="77777777" w:rsidR="000944A8" w:rsidRPr="000944A8" w:rsidRDefault="000944A8" w:rsidP="0012575E">
            <w:pPr>
              <w:rPr>
                <w:spacing w:val="-12"/>
                <w:szCs w:val="24"/>
              </w:rPr>
            </w:pPr>
          </w:p>
        </w:tc>
        <w:tc>
          <w:tcPr>
            <w:tcW w:w="5354" w:type="dxa"/>
            <w:vMerge/>
            <w:shd w:val="clear" w:color="000000" w:fill="FFFFFF"/>
          </w:tcPr>
          <w:p w14:paraId="2D884D3C" w14:textId="77777777" w:rsidR="000944A8" w:rsidRPr="000944A8" w:rsidRDefault="000944A8" w:rsidP="0012575E">
            <w:pPr>
              <w:rPr>
                <w:b/>
                <w:szCs w:val="24"/>
              </w:rPr>
            </w:pPr>
          </w:p>
        </w:tc>
        <w:tc>
          <w:tcPr>
            <w:tcW w:w="4152" w:type="dxa"/>
            <w:shd w:val="clear" w:color="000000" w:fill="FFFFFF"/>
          </w:tcPr>
          <w:p w14:paraId="6107B729" w14:textId="77777777" w:rsidR="000944A8" w:rsidRPr="000944A8" w:rsidRDefault="000944A8" w:rsidP="0012575E">
            <w:pPr>
              <w:rPr>
                <w:szCs w:val="24"/>
              </w:rPr>
            </w:pPr>
            <w:r w:rsidRPr="000944A8">
              <w:rPr>
                <w:b/>
                <w:bCs/>
                <w:szCs w:val="24"/>
              </w:rPr>
              <w:t>12. Pico</w:t>
            </w:r>
            <w:r w:rsidRPr="000944A8">
              <w:rPr>
                <w:szCs w:val="24"/>
              </w:rPr>
              <w:t xml:space="preserve"> (20 Cộng Hòa, Phường Bảy Hiền, Hồ Chí Minh)</w:t>
            </w:r>
          </w:p>
        </w:tc>
        <w:tc>
          <w:tcPr>
            <w:tcW w:w="1075" w:type="dxa"/>
            <w:shd w:val="clear" w:color="000000" w:fill="FFFFFF"/>
            <w:vAlign w:val="center"/>
          </w:tcPr>
          <w:p w14:paraId="000A7ADD" w14:textId="77777777" w:rsidR="000944A8" w:rsidRPr="000944A8" w:rsidRDefault="000944A8" w:rsidP="0012575E">
            <w:pPr>
              <w:jc w:val="center"/>
              <w:rPr>
                <w:szCs w:val="24"/>
              </w:rPr>
            </w:pPr>
            <w:r w:rsidRPr="000944A8">
              <w:rPr>
                <w:szCs w:val="24"/>
              </w:rPr>
              <w:t>84</w:t>
            </w:r>
          </w:p>
        </w:tc>
        <w:tc>
          <w:tcPr>
            <w:tcW w:w="1076" w:type="dxa"/>
            <w:vMerge/>
            <w:vAlign w:val="center"/>
          </w:tcPr>
          <w:p w14:paraId="2D181108" w14:textId="77777777" w:rsidR="000944A8" w:rsidRPr="000944A8" w:rsidRDefault="000944A8" w:rsidP="0012575E">
            <w:pPr>
              <w:jc w:val="center"/>
              <w:rPr>
                <w:szCs w:val="24"/>
              </w:rPr>
            </w:pPr>
          </w:p>
        </w:tc>
        <w:tc>
          <w:tcPr>
            <w:tcW w:w="895" w:type="dxa"/>
            <w:vMerge/>
          </w:tcPr>
          <w:p w14:paraId="0F5221D9" w14:textId="77777777" w:rsidR="000944A8" w:rsidRPr="000944A8" w:rsidRDefault="000944A8" w:rsidP="0012575E">
            <w:pPr>
              <w:jc w:val="center"/>
              <w:rPr>
                <w:szCs w:val="24"/>
              </w:rPr>
            </w:pPr>
          </w:p>
        </w:tc>
      </w:tr>
      <w:tr w:rsidR="000944A8" w:rsidRPr="000944A8" w14:paraId="3890C578" w14:textId="77777777" w:rsidTr="0012575E">
        <w:trPr>
          <w:trHeight w:val="1135"/>
          <w:jc w:val="center"/>
        </w:trPr>
        <w:tc>
          <w:tcPr>
            <w:tcW w:w="624" w:type="dxa"/>
            <w:vMerge/>
            <w:shd w:val="clear" w:color="000000" w:fill="FFFFFF"/>
            <w:vAlign w:val="center"/>
          </w:tcPr>
          <w:p w14:paraId="7AD41C2D" w14:textId="77777777" w:rsidR="000944A8" w:rsidRPr="000944A8" w:rsidRDefault="000944A8" w:rsidP="0012575E">
            <w:pPr>
              <w:jc w:val="center"/>
              <w:rPr>
                <w:szCs w:val="24"/>
              </w:rPr>
            </w:pPr>
          </w:p>
        </w:tc>
        <w:tc>
          <w:tcPr>
            <w:tcW w:w="1376" w:type="dxa"/>
            <w:vMerge/>
            <w:shd w:val="clear" w:color="000000" w:fill="FFFFFF"/>
            <w:vAlign w:val="center"/>
          </w:tcPr>
          <w:p w14:paraId="3649EBC0" w14:textId="77777777" w:rsidR="000944A8" w:rsidRPr="000944A8" w:rsidRDefault="000944A8" w:rsidP="0012575E">
            <w:pPr>
              <w:rPr>
                <w:spacing w:val="-12"/>
                <w:szCs w:val="24"/>
              </w:rPr>
            </w:pPr>
          </w:p>
        </w:tc>
        <w:tc>
          <w:tcPr>
            <w:tcW w:w="5354" w:type="dxa"/>
            <w:vMerge/>
            <w:shd w:val="clear" w:color="000000" w:fill="FFFFFF"/>
          </w:tcPr>
          <w:p w14:paraId="4CE5F2E6" w14:textId="77777777" w:rsidR="000944A8" w:rsidRPr="000944A8" w:rsidRDefault="000944A8" w:rsidP="0012575E">
            <w:pPr>
              <w:rPr>
                <w:b/>
                <w:szCs w:val="24"/>
              </w:rPr>
            </w:pPr>
          </w:p>
        </w:tc>
        <w:tc>
          <w:tcPr>
            <w:tcW w:w="4152" w:type="dxa"/>
            <w:shd w:val="clear" w:color="000000" w:fill="FFFFFF"/>
          </w:tcPr>
          <w:p w14:paraId="2CA44CB4" w14:textId="77777777" w:rsidR="000944A8" w:rsidRPr="000944A8" w:rsidRDefault="000944A8" w:rsidP="0012575E">
            <w:pPr>
              <w:rPr>
                <w:b/>
                <w:bCs/>
                <w:szCs w:val="24"/>
              </w:rPr>
            </w:pPr>
            <w:r w:rsidRPr="000944A8">
              <w:rPr>
                <w:b/>
                <w:bCs/>
                <w:szCs w:val="24"/>
              </w:rPr>
              <w:t>13. Tân Phú Trung</w:t>
            </w:r>
            <w:r w:rsidRPr="000944A8">
              <w:rPr>
                <w:szCs w:val="24"/>
              </w:rPr>
              <w:t xml:space="preserve"> (Lô KB4-1, KCN Tân Phú Trung, ấp Trạm Bơm, xã Củ Chi, thành phố Hồ Chí Minh)</w:t>
            </w:r>
          </w:p>
        </w:tc>
        <w:tc>
          <w:tcPr>
            <w:tcW w:w="1075" w:type="dxa"/>
            <w:shd w:val="clear" w:color="000000" w:fill="FFFFFF"/>
            <w:vAlign w:val="center"/>
          </w:tcPr>
          <w:p w14:paraId="361F657D" w14:textId="77777777" w:rsidR="000944A8" w:rsidRPr="000944A8" w:rsidRDefault="000944A8" w:rsidP="0012575E">
            <w:pPr>
              <w:jc w:val="center"/>
              <w:rPr>
                <w:szCs w:val="24"/>
              </w:rPr>
            </w:pPr>
            <w:r w:rsidRPr="000944A8">
              <w:rPr>
                <w:szCs w:val="24"/>
              </w:rPr>
              <w:t>3.343</w:t>
            </w:r>
          </w:p>
        </w:tc>
        <w:tc>
          <w:tcPr>
            <w:tcW w:w="1076" w:type="dxa"/>
            <w:vMerge/>
            <w:vAlign w:val="center"/>
          </w:tcPr>
          <w:p w14:paraId="6D854CEA" w14:textId="77777777" w:rsidR="000944A8" w:rsidRPr="000944A8" w:rsidRDefault="000944A8" w:rsidP="0012575E">
            <w:pPr>
              <w:jc w:val="center"/>
              <w:rPr>
                <w:szCs w:val="24"/>
              </w:rPr>
            </w:pPr>
          </w:p>
        </w:tc>
        <w:tc>
          <w:tcPr>
            <w:tcW w:w="895" w:type="dxa"/>
            <w:vMerge/>
          </w:tcPr>
          <w:p w14:paraId="2DE4AB6A" w14:textId="77777777" w:rsidR="000944A8" w:rsidRPr="000944A8" w:rsidRDefault="000944A8" w:rsidP="0012575E">
            <w:pPr>
              <w:jc w:val="center"/>
              <w:rPr>
                <w:szCs w:val="24"/>
              </w:rPr>
            </w:pPr>
          </w:p>
        </w:tc>
      </w:tr>
    </w:tbl>
    <w:p w14:paraId="24F45CC5" w14:textId="77777777" w:rsidR="000944A8" w:rsidRPr="000944A8" w:rsidRDefault="000944A8" w:rsidP="000944A8">
      <w:pPr>
        <w:spacing w:after="160" w:line="259" w:lineRule="auto"/>
        <w:jc w:val="left"/>
        <w:rPr>
          <w:b/>
          <w:i/>
          <w:szCs w:val="24"/>
        </w:rPr>
        <w:sectPr w:rsidR="000944A8" w:rsidRPr="000944A8" w:rsidSect="000944A8">
          <w:footnotePr>
            <w:numRestart w:val="eachSect"/>
          </w:footnotePr>
          <w:pgSz w:w="16838" w:h="11906" w:orient="landscape" w:code="9"/>
          <w:pgMar w:top="1411" w:right="1138" w:bottom="1138" w:left="1138" w:header="720" w:footer="720" w:gutter="0"/>
          <w:cols w:space="720"/>
          <w:docGrid w:linePitch="381"/>
        </w:sectPr>
      </w:pPr>
    </w:p>
    <w:p w14:paraId="4D97B2AE" w14:textId="77777777" w:rsidR="000944A8" w:rsidRPr="000944A8" w:rsidRDefault="000944A8" w:rsidP="000944A8">
      <w:pPr>
        <w:spacing w:after="160" w:line="259" w:lineRule="auto"/>
        <w:jc w:val="left"/>
        <w:rPr>
          <w:b/>
          <w:i/>
          <w:szCs w:val="24"/>
        </w:rPr>
      </w:pPr>
    </w:p>
    <w:p w14:paraId="4FAE9121" w14:textId="77777777" w:rsidR="000944A8" w:rsidRPr="000944A8" w:rsidRDefault="000944A8" w:rsidP="000944A8">
      <w:pPr>
        <w:spacing w:before="120" w:after="120" w:line="264" w:lineRule="auto"/>
        <w:ind w:firstLine="709"/>
        <w:rPr>
          <w:b/>
          <w:i/>
          <w:szCs w:val="24"/>
          <w:lang w:val="nl-NL"/>
        </w:rPr>
      </w:pPr>
      <w:r w:rsidRPr="000944A8">
        <w:rPr>
          <w:b/>
          <w:i/>
          <w:szCs w:val="24"/>
          <w:lang w:val="nl-NL"/>
        </w:rPr>
        <w:t>1.3. Các yêu cầu khác</w:t>
      </w:r>
    </w:p>
    <w:p w14:paraId="7702899C"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1.3.1. Nhà thầu có Văn bản cam kết về việc:</w:t>
      </w:r>
    </w:p>
    <w:p w14:paraId="376611B8"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 Tất cả các sản phẩm phải mới 100%, có nguồn gốc, xuất xứ rõ ràng, không phải hàng giả, hàng nhái, hàng kém chất lượng.</w:t>
      </w:r>
    </w:p>
    <w:p w14:paraId="61C296FC"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 Nhà thầu phải đổi mới 100% nếu sản phẩm có lỗi của nhà sản xuất trong thời gian bảo hành.</w:t>
      </w:r>
    </w:p>
    <w:p w14:paraId="012724E8"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55BF8636"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2F8CACB9"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 xml:space="preserve">• Vận chuyển đóng gói: </w:t>
      </w:r>
    </w:p>
    <w:p w14:paraId="42CAF1C0"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 xml:space="preserve">- Đóng gói: Đảm bảo an toàn trong quá trình vận chuyển và lưu trữ. Hàng hóa đảm bảo mới, nguyên vẹn bao bì, không trầy xước khi giao hàng.  </w:t>
      </w:r>
    </w:p>
    <w:p w14:paraId="7EA92398"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 Chi phí chào thầu: Đã bao gồm  VAT, chi phí vận chuyển, bốc dỡ, giao hàng, chi phí khác ( nếu có)</w:t>
      </w:r>
    </w:p>
    <w:p w14:paraId="39C77E0C" w14:textId="77777777" w:rsidR="000944A8" w:rsidRPr="000944A8" w:rsidRDefault="000944A8" w:rsidP="000944A8">
      <w:pPr>
        <w:pStyle w:val="SectionVIHeader"/>
        <w:spacing w:after="120" w:line="264" w:lineRule="auto"/>
        <w:ind w:firstLine="709"/>
        <w:jc w:val="both"/>
        <w:rPr>
          <w:b w:val="0"/>
          <w:sz w:val="24"/>
          <w:szCs w:val="24"/>
          <w:lang w:val="nl-NL"/>
        </w:rPr>
      </w:pPr>
      <w:r w:rsidRPr="000944A8">
        <w:rPr>
          <w:b w:val="0"/>
          <w:sz w:val="24"/>
          <w:szCs w:val="24"/>
          <w:lang w:val="nl-NL"/>
        </w:rPr>
        <w:t>1.3.2. Nhà thầu phải có bảng tuyên bố đáp ứng về kỹ thuật của hàng hóa chào thầu theo bảng sau:</w:t>
      </w:r>
    </w:p>
    <w:tbl>
      <w:tblPr>
        <w:tblStyle w:val="TableGrid"/>
        <w:tblW w:w="9918" w:type="dxa"/>
        <w:tblLook w:val="04A0" w:firstRow="1" w:lastRow="0" w:firstColumn="1" w:lastColumn="0" w:noHBand="0" w:noVBand="1"/>
      </w:tblPr>
      <w:tblGrid>
        <w:gridCol w:w="1413"/>
        <w:gridCol w:w="3259"/>
        <w:gridCol w:w="2336"/>
        <w:gridCol w:w="2910"/>
      </w:tblGrid>
      <w:tr w:rsidR="000944A8" w:rsidRPr="000944A8" w14:paraId="588DAF32" w14:textId="77777777" w:rsidTr="0012575E">
        <w:tc>
          <w:tcPr>
            <w:tcW w:w="1413" w:type="dxa"/>
            <w:vAlign w:val="center"/>
          </w:tcPr>
          <w:p w14:paraId="353B67B4" w14:textId="77777777" w:rsidR="000944A8" w:rsidRPr="000944A8" w:rsidRDefault="000944A8" w:rsidP="0012575E">
            <w:pPr>
              <w:pStyle w:val="SectionVIHeader"/>
              <w:spacing w:after="120" w:line="264" w:lineRule="auto"/>
              <w:rPr>
                <w:sz w:val="24"/>
                <w:szCs w:val="24"/>
                <w:lang w:val="nl-NL"/>
              </w:rPr>
            </w:pPr>
            <w:r w:rsidRPr="000944A8">
              <w:rPr>
                <w:sz w:val="24"/>
                <w:szCs w:val="24"/>
                <w:lang w:val="nl-NL"/>
              </w:rPr>
              <w:t>STT</w:t>
            </w:r>
          </w:p>
        </w:tc>
        <w:tc>
          <w:tcPr>
            <w:tcW w:w="3259" w:type="dxa"/>
            <w:vAlign w:val="center"/>
          </w:tcPr>
          <w:p w14:paraId="430639F5" w14:textId="77777777" w:rsidR="000944A8" w:rsidRPr="000944A8" w:rsidRDefault="000944A8" w:rsidP="0012575E">
            <w:pPr>
              <w:pStyle w:val="SectionVIHeader"/>
              <w:spacing w:after="120" w:line="264" w:lineRule="auto"/>
              <w:rPr>
                <w:sz w:val="24"/>
                <w:szCs w:val="24"/>
                <w:lang w:val="nl-NL"/>
              </w:rPr>
            </w:pPr>
            <w:r w:rsidRPr="000944A8">
              <w:rPr>
                <w:sz w:val="24"/>
                <w:szCs w:val="24"/>
                <w:lang w:val="nl-NL"/>
              </w:rPr>
              <w:t>Yêu cầu kỹ thuật theo E-HSMT</w:t>
            </w:r>
          </w:p>
        </w:tc>
        <w:tc>
          <w:tcPr>
            <w:tcW w:w="2336" w:type="dxa"/>
            <w:vAlign w:val="center"/>
          </w:tcPr>
          <w:p w14:paraId="60EA567A" w14:textId="77777777" w:rsidR="000944A8" w:rsidRPr="000944A8" w:rsidRDefault="000944A8" w:rsidP="0012575E">
            <w:pPr>
              <w:pStyle w:val="SectionVIHeader"/>
              <w:spacing w:after="120" w:line="264" w:lineRule="auto"/>
              <w:rPr>
                <w:sz w:val="24"/>
                <w:szCs w:val="24"/>
                <w:lang w:val="nl-NL"/>
              </w:rPr>
            </w:pPr>
            <w:r w:rsidRPr="000944A8">
              <w:rPr>
                <w:sz w:val="24"/>
                <w:szCs w:val="24"/>
                <w:lang w:val="nl-NL"/>
              </w:rPr>
              <w:t>Thông số kỹ thuật chào thầu</w:t>
            </w:r>
          </w:p>
        </w:tc>
        <w:tc>
          <w:tcPr>
            <w:tcW w:w="2910" w:type="dxa"/>
            <w:vAlign w:val="center"/>
          </w:tcPr>
          <w:p w14:paraId="1904646F" w14:textId="77777777" w:rsidR="000944A8" w:rsidRPr="000944A8" w:rsidRDefault="000944A8" w:rsidP="0012575E">
            <w:pPr>
              <w:pStyle w:val="SectionVIHeader"/>
              <w:spacing w:after="120" w:line="264" w:lineRule="auto"/>
              <w:rPr>
                <w:sz w:val="24"/>
                <w:szCs w:val="24"/>
                <w:lang w:val="nl-NL"/>
              </w:rPr>
            </w:pPr>
            <w:r w:rsidRPr="000944A8">
              <w:rPr>
                <w:sz w:val="24"/>
                <w:szCs w:val="24"/>
                <w:lang w:val="nl-NL"/>
              </w:rPr>
              <w:t>Tài liệu tham chiếu trong HSDT (Trang .... catalogue)</w:t>
            </w:r>
          </w:p>
        </w:tc>
      </w:tr>
      <w:tr w:rsidR="000944A8" w:rsidRPr="000944A8" w14:paraId="344D850E" w14:textId="77777777" w:rsidTr="0012575E">
        <w:tc>
          <w:tcPr>
            <w:tcW w:w="1413" w:type="dxa"/>
            <w:vAlign w:val="center"/>
          </w:tcPr>
          <w:p w14:paraId="4E86E5D5" w14:textId="77777777" w:rsidR="000944A8" w:rsidRPr="000944A8" w:rsidRDefault="000944A8" w:rsidP="0012575E">
            <w:pPr>
              <w:pStyle w:val="SectionVIHeader"/>
              <w:spacing w:after="120" w:line="264" w:lineRule="auto"/>
              <w:rPr>
                <w:b w:val="0"/>
                <w:sz w:val="24"/>
                <w:szCs w:val="24"/>
                <w:lang w:val="nl-NL"/>
              </w:rPr>
            </w:pPr>
            <w:r w:rsidRPr="000944A8">
              <w:rPr>
                <w:b w:val="0"/>
                <w:sz w:val="24"/>
                <w:szCs w:val="24"/>
                <w:lang w:val="nl-NL"/>
              </w:rPr>
              <w:t>1</w:t>
            </w:r>
          </w:p>
        </w:tc>
        <w:tc>
          <w:tcPr>
            <w:tcW w:w="3259" w:type="dxa"/>
            <w:vAlign w:val="center"/>
          </w:tcPr>
          <w:p w14:paraId="282BFFF6" w14:textId="77777777" w:rsidR="000944A8" w:rsidRPr="000944A8" w:rsidRDefault="000944A8" w:rsidP="0012575E">
            <w:pPr>
              <w:spacing w:line="360" w:lineRule="auto"/>
              <w:rPr>
                <w:szCs w:val="24"/>
              </w:rPr>
            </w:pPr>
          </w:p>
        </w:tc>
        <w:tc>
          <w:tcPr>
            <w:tcW w:w="2336" w:type="dxa"/>
            <w:vAlign w:val="center"/>
          </w:tcPr>
          <w:p w14:paraId="3B074334" w14:textId="77777777" w:rsidR="000944A8" w:rsidRPr="000944A8" w:rsidRDefault="000944A8" w:rsidP="0012575E">
            <w:pPr>
              <w:pStyle w:val="SectionVIHeader"/>
              <w:spacing w:after="120" w:line="264" w:lineRule="auto"/>
              <w:rPr>
                <w:b w:val="0"/>
                <w:sz w:val="24"/>
                <w:szCs w:val="24"/>
                <w:lang w:val="nl-NL"/>
              </w:rPr>
            </w:pPr>
          </w:p>
        </w:tc>
        <w:tc>
          <w:tcPr>
            <w:tcW w:w="2910" w:type="dxa"/>
            <w:vAlign w:val="center"/>
          </w:tcPr>
          <w:p w14:paraId="20A9FCA2" w14:textId="77777777" w:rsidR="000944A8" w:rsidRPr="000944A8" w:rsidRDefault="000944A8" w:rsidP="0012575E">
            <w:pPr>
              <w:pStyle w:val="SectionVIHeader"/>
              <w:spacing w:after="120" w:line="264" w:lineRule="auto"/>
              <w:rPr>
                <w:b w:val="0"/>
                <w:sz w:val="24"/>
                <w:szCs w:val="24"/>
                <w:lang w:val="nl-NL"/>
              </w:rPr>
            </w:pPr>
          </w:p>
        </w:tc>
      </w:tr>
    </w:tbl>
    <w:p w14:paraId="1CF63863" w14:textId="77777777" w:rsidR="000944A8" w:rsidRPr="000944A8" w:rsidRDefault="000944A8" w:rsidP="000944A8">
      <w:pPr>
        <w:pStyle w:val="SectionVIHeader"/>
        <w:spacing w:after="120"/>
        <w:ind w:firstLine="709"/>
        <w:jc w:val="left"/>
        <w:rPr>
          <w:sz w:val="24"/>
          <w:szCs w:val="24"/>
        </w:rPr>
      </w:pPr>
      <w:r w:rsidRPr="000944A8">
        <w:rPr>
          <w:sz w:val="24"/>
          <w:szCs w:val="24"/>
        </w:rPr>
        <w:t>Mục 2. Bản vẽ: Không yêu cầu</w:t>
      </w:r>
    </w:p>
    <w:p w14:paraId="2CDE00B0" w14:textId="77777777" w:rsidR="000944A8" w:rsidRPr="000944A8" w:rsidRDefault="000944A8" w:rsidP="000944A8">
      <w:pPr>
        <w:pStyle w:val="SectionVIHeader"/>
        <w:widowControl w:val="0"/>
        <w:spacing w:after="120"/>
        <w:ind w:firstLine="709"/>
        <w:jc w:val="left"/>
        <w:rPr>
          <w:sz w:val="24"/>
          <w:szCs w:val="24"/>
        </w:rPr>
      </w:pPr>
      <w:r w:rsidRPr="000944A8">
        <w:rPr>
          <w:sz w:val="24"/>
          <w:szCs w:val="24"/>
        </w:rPr>
        <w:t>Mục 3. Kiểm tra và thử nghiệm</w:t>
      </w:r>
    </w:p>
    <w:p w14:paraId="5BCD27CB" w14:textId="77777777" w:rsidR="000944A8" w:rsidRPr="000944A8" w:rsidRDefault="000944A8" w:rsidP="000944A8">
      <w:pPr>
        <w:ind w:firstLine="709"/>
        <w:rPr>
          <w:i/>
          <w:iCs/>
          <w:szCs w:val="24"/>
        </w:rPr>
      </w:pPr>
      <w:r w:rsidRPr="000944A8">
        <w:rPr>
          <w:i/>
          <w:iCs/>
          <w:szCs w:val="24"/>
        </w:rPr>
        <w:t xml:space="preserve">Các kiểm tra và thử nghiệm cần tiến hành gồm có </w:t>
      </w:r>
    </w:p>
    <w:p w14:paraId="687C7800" w14:textId="77777777" w:rsidR="000944A8" w:rsidRPr="000944A8" w:rsidRDefault="000944A8" w:rsidP="000944A8">
      <w:pPr>
        <w:ind w:firstLine="709"/>
        <w:rPr>
          <w:i/>
          <w:iCs/>
          <w:szCs w:val="24"/>
        </w:rPr>
      </w:pPr>
      <w:r w:rsidRPr="000944A8">
        <w:rPr>
          <w:i/>
          <w:iCs/>
          <w:szCs w:val="24"/>
        </w:rPr>
        <w:t>- Kiểm tra kiểu dáng, nhãn mác, hình thức hàng hóa</w:t>
      </w:r>
    </w:p>
    <w:p w14:paraId="0A148F5D" w14:textId="77777777" w:rsidR="000944A8" w:rsidRPr="000944A8" w:rsidRDefault="000944A8" w:rsidP="000944A8">
      <w:pPr>
        <w:ind w:firstLine="709"/>
        <w:rPr>
          <w:i/>
          <w:iCs/>
          <w:szCs w:val="24"/>
        </w:rPr>
      </w:pPr>
      <w:r w:rsidRPr="000944A8">
        <w:rPr>
          <w:i/>
          <w:iCs/>
          <w:szCs w:val="24"/>
        </w:rPr>
        <w:t xml:space="preserve">- Kiểm tra thông số so với các yêu cầu của HSMT và bàn giao, nghiệm thu đưa vào sử dụng. </w:t>
      </w:r>
    </w:p>
    <w:p w14:paraId="51CCA3D2" w14:textId="77777777" w:rsidR="000944A8" w:rsidRPr="000944A8" w:rsidRDefault="000944A8" w:rsidP="000944A8">
      <w:pPr>
        <w:ind w:firstLine="709"/>
        <w:rPr>
          <w:i/>
          <w:iCs/>
          <w:szCs w:val="24"/>
        </w:rPr>
      </w:pPr>
      <w:r w:rsidRPr="000944A8">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w:t>
      </w:r>
      <w:r w:rsidRPr="000944A8">
        <w:rPr>
          <w:i/>
          <w:iCs/>
          <w:szCs w:val="24"/>
        </w:rPr>
        <w:lastRenderedPageBreak/>
        <w:t xml:space="preserve">Các chi phí này cần đưa vào ngay đề xuất tài chính của nhà thầu khi chào hàng. Nếu trong E-HSDT không chỉ rõ chi phí này thì được hiểu là đã bao gồm trong giá các mặt hàng có liên quan. </w:t>
      </w:r>
    </w:p>
    <w:p w14:paraId="32B5A29B" w14:textId="77777777" w:rsidR="000944A8" w:rsidRPr="000944A8" w:rsidRDefault="000944A8" w:rsidP="000944A8">
      <w:pPr>
        <w:ind w:firstLine="709"/>
        <w:rPr>
          <w:i/>
          <w:iCs/>
          <w:szCs w:val="24"/>
        </w:rPr>
      </w:pPr>
      <w:r w:rsidRPr="000944A8">
        <w:rPr>
          <w:i/>
          <w:iCs/>
          <w:szCs w:val="24"/>
        </w:rPr>
        <w:t xml:space="preserve">- Toàn bộ các thử nghiệm phải tiến hành với sự có mặt của đại diện Chủ đầu tư và bên chào thầu </w:t>
      </w:r>
    </w:p>
    <w:p w14:paraId="36BBD8B3" w14:textId="7D2BDCB0" w:rsidR="000E4426" w:rsidRPr="000944A8" w:rsidRDefault="000944A8" w:rsidP="000944A8">
      <w:r w:rsidRPr="000944A8">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094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A8"/>
    <w:rsid w:val="000944A8"/>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58FE"/>
  <w15:chartTrackingRefBased/>
  <w15:docId w15:val="{20C68772-03D0-4F15-AD7E-F4E67059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A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0944A8"/>
    <w:pPr>
      <w:jc w:val="center"/>
    </w:pPr>
    <w:rPr>
      <w:b/>
      <w:sz w:val="44"/>
    </w:rPr>
  </w:style>
  <w:style w:type="character" w:customStyle="1" w:styleId="SubtitleChar">
    <w:name w:val="Subtitle Char"/>
    <w:basedOn w:val="DefaultParagraphFont"/>
    <w:link w:val="Subtitle"/>
    <w:uiPriority w:val="11"/>
    <w:rsid w:val="000944A8"/>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0944A8"/>
    <w:pPr>
      <w:spacing w:before="120" w:after="240"/>
      <w:jc w:val="center"/>
    </w:pPr>
    <w:rPr>
      <w:b/>
      <w:sz w:val="36"/>
    </w:rPr>
  </w:style>
  <w:style w:type="table" w:styleId="TableGrid">
    <w:name w:val="Table Grid"/>
    <w:basedOn w:val="TableNormal"/>
    <w:rsid w:val="000944A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2025-12-08T03:11:00Z</dcterms:created>
  <dcterms:modified xsi:type="dcterms:W3CDTF">2025-12-08T03:11:00Z</dcterms:modified>
</cp:coreProperties>
</file>