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239" w:rsidRDefault="00316239"/>
    <w:p w:rsidR="00EC480C" w:rsidRPr="00180F17" w:rsidRDefault="00EC480C" w:rsidP="00EC480C">
      <w:pPr>
        <w:widowControl w:val="0"/>
        <w:spacing w:before="120" w:after="120" w:line="264" w:lineRule="auto"/>
        <w:jc w:val="center"/>
        <w:outlineLvl w:val="1"/>
        <w:rPr>
          <w:sz w:val="28"/>
          <w:szCs w:val="28"/>
          <w:lang w:val="nl-NL"/>
        </w:rPr>
      </w:pPr>
      <w:r w:rsidRPr="00180F17">
        <w:rPr>
          <w:b/>
          <w:sz w:val="28"/>
          <w:szCs w:val="28"/>
          <w:lang w:val="nl-NL"/>
        </w:rPr>
        <w:t>Chương V. YÊU CẦU VỀ KỸ THUẬT</w:t>
      </w:r>
    </w:p>
    <w:p w:rsidR="00EC480C" w:rsidRPr="00180F17" w:rsidRDefault="00EC480C" w:rsidP="00EC480C">
      <w:pPr>
        <w:pStyle w:val="Subtitle"/>
        <w:rPr>
          <w:sz w:val="20"/>
          <w:szCs w:val="32"/>
          <w:lang w:val="nl-NL"/>
        </w:rPr>
      </w:pPr>
    </w:p>
    <w:p w:rsidR="00EC480C" w:rsidRPr="00180F17" w:rsidRDefault="00EC480C" w:rsidP="00EC480C">
      <w:pPr>
        <w:pStyle w:val="SectionVIHeader"/>
        <w:widowControl w:val="0"/>
        <w:spacing w:after="120" w:line="264" w:lineRule="auto"/>
        <w:ind w:firstLine="709"/>
        <w:jc w:val="both"/>
        <w:rPr>
          <w:sz w:val="28"/>
          <w:szCs w:val="28"/>
          <w:lang w:val="nl-NL"/>
        </w:rPr>
      </w:pPr>
      <w:r w:rsidRPr="00180F17">
        <w:rPr>
          <w:sz w:val="28"/>
          <w:szCs w:val="28"/>
          <w:lang w:val="nl-NL"/>
        </w:rPr>
        <w:t>Mục 1. Yêu cầu về kỹ thuật</w:t>
      </w:r>
    </w:p>
    <w:p w:rsidR="00EC480C" w:rsidRPr="00180F17" w:rsidRDefault="00EC480C" w:rsidP="00EC480C">
      <w:pPr>
        <w:widowControl w:val="0"/>
        <w:spacing w:before="120" w:after="120" w:line="264" w:lineRule="auto"/>
        <w:ind w:firstLine="709"/>
        <w:rPr>
          <w:b/>
          <w:i/>
          <w:sz w:val="28"/>
          <w:szCs w:val="28"/>
          <w:lang w:val="nl-NL"/>
        </w:rPr>
      </w:pPr>
      <w:r w:rsidRPr="00180F17">
        <w:rPr>
          <w:b/>
          <w:i/>
          <w:sz w:val="28"/>
          <w:szCs w:val="28"/>
          <w:lang w:val="nl-NL"/>
        </w:rPr>
        <w:t>1.1. Giới thiệu chung về dự án/</w:t>
      </w:r>
      <w:r w:rsidRPr="00180F17">
        <w:rPr>
          <w:b/>
          <w:i/>
          <w:sz w:val="28"/>
          <w:szCs w:val="28"/>
        </w:rPr>
        <w:t>dự toán mua sắm</w:t>
      </w:r>
      <w:r w:rsidRPr="00180F17">
        <w:rPr>
          <w:b/>
          <w:i/>
          <w:sz w:val="28"/>
          <w:szCs w:val="28"/>
          <w:lang w:val="nl-NL"/>
        </w:rPr>
        <w:t>, gói thầu</w:t>
      </w:r>
    </w:p>
    <w:p w:rsidR="00EC480C" w:rsidRDefault="00EC480C" w:rsidP="00EC480C">
      <w:pPr>
        <w:widowControl w:val="0"/>
        <w:spacing w:before="120" w:after="120" w:line="264" w:lineRule="auto"/>
        <w:ind w:firstLine="709"/>
        <w:rPr>
          <w:i/>
          <w:sz w:val="28"/>
          <w:szCs w:val="28"/>
          <w:lang w:val="nl-NL"/>
        </w:rPr>
      </w:pPr>
      <w:r>
        <w:rPr>
          <w:i/>
          <w:sz w:val="28"/>
          <w:szCs w:val="28"/>
          <w:lang w:val="nl-NL"/>
        </w:rPr>
        <w:t xml:space="preserve">- </w:t>
      </w:r>
      <w:r w:rsidRPr="0067511D">
        <w:rPr>
          <w:i/>
          <w:sz w:val="28"/>
          <w:szCs w:val="28"/>
          <w:lang w:val="nl-NL"/>
        </w:rPr>
        <w:t>Dự án: Hỗ trợ nước sinh hoạt phân tán trên địa bàn xã Lơ Pang, thuộc Dự án 1, Nội dung 4 vốn sự nghiệp thuộc chương trình MTQG phát triển kinh tế - xã hội vùng ĐBDTTS&amp;MN năm 2025</w:t>
      </w:r>
      <w:r>
        <w:rPr>
          <w:i/>
          <w:sz w:val="28"/>
          <w:szCs w:val="28"/>
          <w:lang w:val="nl-NL"/>
        </w:rPr>
        <w:t>:</w:t>
      </w:r>
    </w:p>
    <w:p w:rsidR="00EC480C" w:rsidRDefault="00EC480C" w:rsidP="00EC480C">
      <w:pPr>
        <w:widowControl w:val="0"/>
        <w:spacing w:before="120" w:after="120" w:line="264" w:lineRule="auto"/>
        <w:ind w:firstLine="709"/>
        <w:rPr>
          <w:i/>
          <w:sz w:val="28"/>
          <w:szCs w:val="28"/>
          <w:lang w:val="nl-NL"/>
        </w:rPr>
      </w:pPr>
      <w:r>
        <w:rPr>
          <w:i/>
          <w:sz w:val="28"/>
          <w:szCs w:val="28"/>
          <w:lang w:val="nl-NL"/>
        </w:rPr>
        <w:t xml:space="preserve">- Chủ đầu tư: Phòng Văn hóa – Xã hội </w:t>
      </w:r>
      <w:r w:rsidRPr="0067511D">
        <w:rPr>
          <w:i/>
          <w:sz w:val="28"/>
          <w:szCs w:val="28"/>
          <w:lang w:val="nl-NL"/>
        </w:rPr>
        <w:t>xã Lơ Pang.</w:t>
      </w:r>
    </w:p>
    <w:p w:rsidR="00EC480C" w:rsidRDefault="00EC480C" w:rsidP="00EC480C">
      <w:pPr>
        <w:widowControl w:val="0"/>
        <w:spacing w:before="120" w:after="120" w:line="264" w:lineRule="auto"/>
        <w:ind w:firstLine="709"/>
        <w:rPr>
          <w:i/>
          <w:sz w:val="28"/>
          <w:szCs w:val="28"/>
          <w:lang w:val="nl-NL"/>
        </w:rPr>
      </w:pPr>
      <w:r w:rsidRPr="0067511D">
        <w:rPr>
          <w:i/>
          <w:sz w:val="28"/>
          <w:szCs w:val="28"/>
          <w:lang w:val="nl-NL"/>
        </w:rPr>
        <w:t>- Địa điểm thực hiện: tại các thôn, làng thuộc xã Lơ Pang.</w:t>
      </w:r>
    </w:p>
    <w:p w:rsidR="00EC480C" w:rsidRDefault="00EC480C" w:rsidP="00EC480C">
      <w:pPr>
        <w:widowControl w:val="0"/>
        <w:spacing w:before="120" w:after="120" w:line="264" w:lineRule="auto"/>
        <w:ind w:firstLine="709"/>
        <w:rPr>
          <w:i/>
          <w:sz w:val="28"/>
          <w:szCs w:val="28"/>
          <w:lang w:val="nl-NL"/>
        </w:rPr>
      </w:pPr>
      <w:r>
        <w:rPr>
          <w:i/>
          <w:sz w:val="28"/>
          <w:szCs w:val="28"/>
          <w:lang w:val="nl-NL"/>
        </w:rPr>
        <w:t xml:space="preserve">- </w:t>
      </w:r>
      <w:r w:rsidRPr="0067511D">
        <w:rPr>
          <w:i/>
          <w:sz w:val="28"/>
          <w:szCs w:val="28"/>
          <w:lang w:val="nl-NL"/>
        </w:rPr>
        <w:t>Nguồn kinh phí: Vốn sự nghiệp thực hiện Chương trình MTQG phát triển kinh tế - xã hội vùng ĐBDTTS&amp;MN năm 2025</w:t>
      </w:r>
      <w:r>
        <w:rPr>
          <w:i/>
          <w:sz w:val="28"/>
          <w:szCs w:val="28"/>
          <w:lang w:val="nl-NL"/>
        </w:rPr>
        <w:t>.</w:t>
      </w:r>
    </w:p>
    <w:p w:rsidR="00EC480C" w:rsidRPr="00180F17" w:rsidRDefault="00EC480C" w:rsidP="00EC480C">
      <w:pPr>
        <w:widowControl w:val="0"/>
        <w:spacing w:before="120" w:after="120" w:line="264" w:lineRule="auto"/>
        <w:ind w:firstLine="709"/>
        <w:rPr>
          <w:b/>
          <w:i/>
          <w:sz w:val="28"/>
          <w:szCs w:val="28"/>
          <w:lang w:val="nl-NL"/>
        </w:rPr>
      </w:pPr>
      <w:r w:rsidRPr="00180F17">
        <w:rPr>
          <w:b/>
          <w:i/>
          <w:sz w:val="28"/>
          <w:szCs w:val="28"/>
          <w:lang w:val="nl-NL"/>
        </w:rPr>
        <w:t>1.2. Yêu cầu về kỹ thuật</w:t>
      </w:r>
    </w:p>
    <w:p w:rsidR="00EC480C" w:rsidRPr="00180F17" w:rsidRDefault="00EC480C" w:rsidP="00EC480C">
      <w:pPr>
        <w:widowControl w:val="0"/>
        <w:spacing w:before="120" w:after="120" w:line="264" w:lineRule="auto"/>
        <w:ind w:firstLine="709"/>
        <w:rPr>
          <w:i/>
          <w:spacing w:val="-2"/>
          <w:sz w:val="28"/>
          <w:szCs w:val="28"/>
          <w:lang w:val="nl-NL"/>
        </w:rPr>
      </w:pPr>
      <w:r w:rsidRPr="00180F17">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EC480C" w:rsidRPr="00EE323C" w:rsidRDefault="00EC480C" w:rsidP="00EC480C">
      <w:pPr>
        <w:widowControl w:val="0"/>
        <w:spacing w:before="120" w:after="120" w:line="264" w:lineRule="auto"/>
        <w:ind w:firstLine="709"/>
        <w:rPr>
          <w:i/>
          <w:spacing w:val="-2"/>
          <w:sz w:val="28"/>
          <w:szCs w:val="28"/>
          <w:lang w:val="nl-NL"/>
        </w:rPr>
      </w:pPr>
      <w:r w:rsidRPr="00EE323C">
        <w:rPr>
          <w:i/>
          <w:spacing w:val="-2"/>
          <w:sz w:val="28"/>
          <w:szCs w:val="28"/>
          <w:lang w:val="nl-NL"/>
        </w:rPr>
        <w:t xml:space="preserve">-  Yêu cầu về chất lượng: Thiết bị chào thầu phải mới 100%, nguyên chiếc, nguyên đai, nguyên kiện, đóng gói theo tiêu chuẩn nhà </w:t>
      </w:r>
      <w:r>
        <w:rPr>
          <w:i/>
          <w:spacing w:val="-2"/>
          <w:sz w:val="28"/>
          <w:szCs w:val="28"/>
          <w:lang w:val="nl-NL"/>
        </w:rPr>
        <w:t>sản xuất và sản xuất từ năm 2023</w:t>
      </w:r>
      <w:r w:rsidRPr="00EE323C">
        <w:rPr>
          <w:i/>
          <w:spacing w:val="-2"/>
          <w:sz w:val="28"/>
          <w:szCs w:val="28"/>
          <w:lang w:val="nl-NL"/>
        </w:rPr>
        <w:t xml:space="preserve"> trở về sau.</w:t>
      </w:r>
    </w:p>
    <w:p w:rsidR="00EC480C" w:rsidRPr="00EE323C" w:rsidRDefault="00EC480C" w:rsidP="00EC480C">
      <w:pPr>
        <w:widowControl w:val="0"/>
        <w:spacing w:before="120" w:after="120" w:line="264" w:lineRule="auto"/>
        <w:ind w:firstLine="709"/>
        <w:rPr>
          <w:i/>
          <w:spacing w:val="-2"/>
          <w:sz w:val="28"/>
          <w:szCs w:val="28"/>
          <w:lang w:val="nl-NL"/>
        </w:rPr>
      </w:pPr>
      <w:r w:rsidRPr="00EE323C">
        <w:rPr>
          <w:i/>
          <w:spacing w:val="-2"/>
          <w:sz w:val="28"/>
          <w:szCs w:val="28"/>
          <w:lang w:val="nl-NL"/>
        </w:rPr>
        <w:t xml:space="preserve">- Yêu cầu về vận chuyển, lắp đặt: Nhà thầu phải vận chuyển, lắp đặt, bàn giao thiết bị đến </w:t>
      </w:r>
      <w:r>
        <w:rPr>
          <w:i/>
          <w:spacing w:val="-2"/>
          <w:sz w:val="28"/>
          <w:szCs w:val="28"/>
          <w:lang w:val="nl-NL"/>
        </w:rPr>
        <w:t>Phòng Văn hóa Xã hội xã Lơ Pang, tỉnh Gia Lai</w:t>
      </w:r>
      <w:r w:rsidRPr="00EE323C">
        <w:rPr>
          <w:i/>
          <w:spacing w:val="-2"/>
          <w:sz w:val="28"/>
          <w:szCs w:val="28"/>
          <w:lang w:val="nl-NL"/>
        </w:rPr>
        <w:t>. Việc cung ứng, lắp đặt thiết bị phải đảm bảo đúng kỹ thuật, mỹ thuật và an toàn. Nhà thầu tự chịu toàn bộ chi phí và rủi ro có thể xảy ra tron</w:t>
      </w:r>
      <w:r>
        <w:rPr>
          <w:i/>
          <w:spacing w:val="-2"/>
          <w:sz w:val="28"/>
          <w:szCs w:val="28"/>
          <w:lang w:val="nl-NL"/>
        </w:rPr>
        <w:t>g quá trình vận chuyển hàng hoá</w:t>
      </w:r>
      <w:r w:rsidRPr="00EE323C">
        <w:rPr>
          <w:i/>
          <w:spacing w:val="-2"/>
          <w:sz w:val="28"/>
          <w:szCs w:val="28"/>
          <w:lang w:val="nl-NL"/>
        </w:rPr>
        <w:t xml:space="preserve">. </w:t>
      </w:r>
    </w:p>
    <w:p w:rsidR="00EC480C" w:rsidRPr="00EE323C" w:rsidRDefault="00EC480C" w:rsidP="00EC480C">
      <w:pPr>
        <w:widowControl w:val="0"/>
        <w:spacing w:before="120" w:after="120" w:line="264" w:lineRule="auto"/>
        <w:ind w:firstLine="709"/>
        <w:rPr>
          <w:i/>
          <w:spacing w:val="-2"/>
          <w:sz w:val="28"/>
          <w:szCs w:val="28"/>
          <w:lang w:val="nl-NL"/>
        </w:rPr>
      </w:pPr>
      <w:r w:rsidRPr="00EE323C">
        <w:rPr>
          <w:i/>
          <w:spacing w:val="-2"/>
          <w:sz w:val="28"/>
          <w:szCs w:val="28"/>
          <w:lang w:val="nl-NL"/>
        </w:rPr>
        <w:t xml:space="preserve">-Yêu cầu về thời gian bảo hành: Nhà thầu phải ghi rõ thời gian bảo hành thiết bị, hàng hóa trong E-HSDT. Thời gian yêu cầu tối thiểu là </w:t>
      </w:r>
      <w:r>
        <w:rPr>
          <w:i/>
          <w:spacing w:val="-2"/>
          <w:sz w:val="28"/>
          <w:szCs w:val="28"/>
          <w:lang w:val="nl-NL"/>
        </w:rPr>
        <w:t>24</w:t>
      </w:r>
      <w:r w:rsidRPr="00EE323C">
        <w:rPr>
          <w:i/>
          <w:spacing w:val="-2"/>
          <w:sz w:val="28"/>
          <w:szCs w:val="28"/>
          <w:lang w:val="nl-NL"/>
        </w:rPr>
        <w:t xml:space="preserve"> tháng kể từ ngày bàn giao, nghiệm thu.</w:t>
      </w:r>
    </w:p>
    <w:p w:rsidR="00EC480C" w:rsidRPr="00EE323C" w:rsidRDefault="00EC480C" w:rsidP="00EC480C">
      <w:pPr>
        <w:widowControl w:val="0"/>
        <w:spacing w:before="120" w:after="120" w:line="264" w:lineRule="auto"/>
        <w:ind w:firstLine="709"/>
        <w:rPr>
          <w:i/>
          <w:spacing w:val="-2"/>
          <w:sz w:val="28"/>
          <w:szCs w:val="28"/>
          <w:lang w:val="nl-NL"/>
        </w:rPr>
      </w:pPr>
      <w:r w:rsidRPr="00EE323C">
        <w:rPr>
          <w:i/>
          <w:spacing w:val="-2"/>
          <w:sz w:val="28"/>
          <w:szCs w:val="28"/>
          <w:lang w:val="nl-NL"/>
        </w:rPr>
        <w:t>- Nhà thầu tham gia dự thầu phải chào đúng và đủ chủng loại, khối lượng hàng hóa nêu tại Bảng phạm vi cung cấp hàng hóa của gói thầu. Nhà thầu phải lập bảng so sánh tính năng, thông số kỹ thuật hàng hóa cung cấp so với hàng hóa trong E-HSMT yêu cầu.</w:t>
      </w:r>
    </w:p>
    <w:p w:rsidR="00EC480C" w:rsidRPr="00EE323C" w:rsidRDefault="00EC480C" w:rsidP="00EC480C">
      <w:pPr>
        <w:widowControl w:val="0"/>
        <w:spacing w:before="120" w:after="120" w:line="264" w:lineRule="auto"/>
        <w:ind w:firstLine="709"/>
        <w:rPr>
          <w:i/>
          <w:spacing w:val="-2"/>
          <w:sz w:val="28"/>
          <w:szCs w:val="28"/>
          <w:lang w:val="nl-NL"/>
        </w:rPr>
      </w:pPr>
      <w:r w:rsidRPr="00EE323C">
        <w:rPr>
          <w:i/>
          <w:spacing w:val="-2"/>
          <w:sz w:val="28"/>
          <w:szCs w:val="28"/>
          <w:lang w:val="nl-NL"/>
        </w:rPr>
        <w:t>- Hàng hóa được lắp đặt, bàn giao, bảo hành, bảo trì theo tiêu chuẩn nhà sản xuất tại đơn vị sử dụng;</w:t>
      </w:r>
    </w:p>
    <w:p w:rsidR="00EC480C" w:rsidRPr="00180F17" w:rsidRDefault="00EC480C" w:rsidP="00EC480C">
      <w:pPr>
        <w:widowControl w:val="0"/>
        <w:spacing w:before="120" w:after="120" w:line="264" w:lineRule="auto"/>
        <w:ind w:firstLine="709"/>
        <w:rPr>
          <w:i/>
          <w:spacing w:val="-2"/>
          <w:sz w:val="28"/>
          <w:szCs w:val="28"/>
          <w:lang w:val="nl-NL"/>
        </w:rPr>
      </w:pPr>
      <w:r w:rsidRPr="00180F17">
        <w:rPr>
          <w:i/>
          <w:spacing w:val="-2"/>
          <w:sz w:val="28"/>
          <w:szCs w:val="28"/>
          <w:lang w:val="nl-NL"/>
        </w:rPr>
        <w:t xml:space="preserve">b) Yêu cầu về kỹ thuật cụ thể như tính năng, thông số kỹ thuật, các bản vẽ, catalô, các thông số bảo hành… được nêu cho từng loại hàng hóa. </w:t>
      </w:r>
    </w:p>
    <w:p w:rsidR="00EC480C" w:rsidRPr="00180F17" w:rsidRDefault="00EC480C" w:rsidP="00EC480C">
      <w:pPr>
        <w:widowControl w:val="0"/>
        <w:spacing w:before="120" w:after="120" w:line="264" w:lineRule="auto"/>
        <w:ind w:firstLine="709"/>
        <w:rPr>
          <w:i/>
          <w:spacing w:val="-2"/>
          <w:sz w:val="28"/>
          <w:szCs w:val="28"/>
          <w:lang w:val="nl-NL"/>
        </w:rPr>
      </w:pPr>
      <w:r w:rsidRPr="00180F17">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410"/>
        <w:gridCol w:w="5528"/>
      </w:tblGrid>
      <w:tr w:rsidR="00EC480C" w:rsidRPr="00180F17" w:rsidTr="00DF7EE3">
        <w:trPr>
          <w:trHeight w:val="899"/>
        </w:trPr>
        <w:tc>
          <w:tcPr>
            <w:tcW w:w="1129" w:type="dxa"/>
            <w:shd w:val="clear" w:color="auto" w:fill="E2EFD9" w:themeFill="accent6" w:themeFillTint="33"/>
            <w:vAlign w:val="center"/>
          </w:tcPr>
          <w:p w:rsidR="00EC480C" w:rsidRPr="00180F17" w:rsidRDefault="00EC480C" w:rsidP="00DF7EE3">
            <w:pPr>
              <w:spacing w:before="120" w:after="120"/>
              <w:jc w:val="center"/>
              <w:rPr>
                <w:b/>
                <w:iCs/>
              </w:rPr>
            </w:pPr>
            <w:r w:rsidRPr="00180F17">
              <w:rPr>
                <w:b/>
                <w:iCs/>
              </w:rPr>
              <w:lastRenderedPageBreak/>
              <w:t>Hạng mục số</w:t>
            </w:r>
          </w:p>
        </w:tc>
        <w:tc>
          <w:tcPr>
            <w:tcW w:w="2410" w:type="dxa"/>
            <w:shd w:val="clear" w:color="auto" w:fill="E2EFD9" w:themeFill="accent6" w:themeFillTint="33"/>
            <w:vAlign w:val="center"/>
          </w:tcPr>
          <w:p w:rsidR="00EC480C" w:rsidRPr="00180F17" w:rsidRDefault="00EC480C" w:rsidP="00DF7EE3">
            <w:pPr>
              <w:spacing w:before="120" w:after="120"/>
              <w:jc w:val="center"/>
              <w:rPr>
                <w:b/>
                <w:iCs/>
              </w:rPr>
            </w:pPr>
            <w:r w:rsidRPr="00180F17">
              <w:rPr>
                <w:b/>
                <w:iCs/>
              </w:rPr>
              <w:t>Tên hàng hóa/dịch vụ liên quan</w:t>
            </w:r>
          </w:p>
        </w:tc>
        <w:tc>
          <w:tcPr>
            <w:tcW w:w="5528" w:type="dxa"/>
            <w:shd w:val="clear" w:color="auto" w:fill="E2EFD9" w:themeFill="accent6" w:themeFillTint="33"/>
            <w:vAlign w:val="center"/>
          </w:tcPr>
          <w:p w:rsidR="00EC480C" w:rsidRPr="00180F17" w:rsidRDefault="00EC480C" w:rsidP="00DF7EE3">
            <w:pPr>
              <w:spacing w:before="120" w:after="120"/>
              <w:jc w:val="center"/>
              <w:rPr>
                <w:b/>
                <w:iCs/>
              </w:rPr>
            </w:pPr>
            <w:r w:rsidRPr="00180F17">
              <w:rPr>
                <w:b/>
                <w:iCs/>
              </w:rPr>
              <w:t>Thông số kỹ thuật và các tiêu chuẩn</w:t>
            </w:r>
          </w:p>
        </w:tc>
      </w:tr>
      <w:tr w:rsidR="00EC480C" w:rsidRPr="00180F17" w:rsidTr="00DF7EE3">
        <w:trPr>
          <w:trHeight w:val="918"/>
        </w:trPr>
        <w:tc>
          <w:tcPr>
            <w:tcW w:w="1129" w:type="dxa"/>
          </w:tcPr>
          <w:p w:rsidR="00EC480C" w:rsidRPr="00180F17" w:rsidRDefault="00EC480C" w:rsidP="00DF7EE3">
            <w:pPr>
              <w:spacing w:before="120" w:after="120"/>
              <w:jc w:val="center"/>
              <w:rPr>
                <w:i/>
                <w:iCs/>
              </w:rPr>
            </w:pPr>
            <w:r>
              <w:rPr>
                <w:i/>
                <w:iCs/>
              </w:rPr>
              <w:t>1</w:t>
            </w:r>
          </w:p>
        </w:tc>
        <w:tc>
          <w:tcPr>
            <w:tcW w:w="2410" w:type="dxa"/>
          </w:tcPr>
          <w:p w:rsidR="00EC480C" w:rsidRPr="00FC302D" w:rsidRDefault="00EC480C" w:rsidP="00DF7EE3">
            <w:pPr>
              <w:outlineLvl w:val="0"/>
              <w:rPr>
                <w:b/>
                <w:sz w:val="28"/>
                <w:szCs w:val="28"/>
              </w:rPr>
            </w:pPr>
            <w:r w:rsidRPr="00FC302D">
              <w:rPr>
                <w:b/>
                <w:sz w:val="28"/>
                <w:szCs w:val="28"/>
              </w:rPr>
              <w:t>Bồn nước inox</w:t>
            </w:r>
            <w:r w:rsidR="00FD1926">
              <w:rPr>
                <w:b/>
                <w:sz w:val="28"/>
                <w:szCs w:val="28"/>
              </w:rPr>
              <w:t xml:space="preserve"> 201</w:t>
            </w:r>
            <w:bookmarkStart w:id="0" w:name="_GoBack"/>
            <w:bookmarkEnd w:id="0"/>
            <w:r>
              <w:rPr>
                <w:b/>
                <w:sz w:val="28"/>
                <w:szCs w:val="28"/>
              </w:rPr>
              <w:t>, loại</w:t>
            </w:r>
            <w:r w:rsidRPr="00FC302D">
              <w:rPr>
                <w:b/>
                <w:sz w:val="28"/>
                <w:szCs w:val="28"/>
              </w:rPr>
              <w:t xml:space="preserve"> 1000L ngang</w:t>
            </w:r>
          </w:p>
          <w:p w:rsidR="00EC480C" w:rsidRPr="00180F17" w:rsidRDefault="00EC480C" w:rsidP="00DF7EE3">
            <w:pPr>
              <w:spacing w:before="120" w:after="120"/>
              <w:jc w:val="center"/>
              <w:rPr>
                <w:i/>
                <w:iCs/>
              </w:rPr>
            </w:pPr>
          </w:p>
        </w:tc>
        <w:tc>
          <w:tcPr>
            <w:tcW w:w="5528" w:type="dxa"/>
          </w:tcPr>
          <w:p w:rsidR="00EC480C" w:rsidRPr="00EE323C" w:rsidRDefault="00EC480C" w:rsidP="00EC480C">
            <w:pPr>
              <w:pStyle w:val="ListParagraph"/>
              <w:numPr>
                <w:ilvl w:val="0"/>
                <w:numId w:val="1"/>
              </w:numPr>
              <w:outlineLvl w:val="0"/>
              <w:rPr>
                <w:sz w:val="28"/>
                <w:szCs w:val="28"/>
              </w:rPr>
            </w:pPr>
            <w:r w:rsidRPr="00EE323C">
              <w:rPr>
                <w:sz w:val="28"/>
                <w:szCs w:val="28"/>
              </w:rPr>
              <w:t>Thân bồn Inox 201 dày 4zem, nắp hông bồn dày 4zem.</w:t>
            </w:r>
          </w:p>
          <w:p w:rsidR="00EC480C" w:rsidRPr="00EE323C" w:rsidRDefault="00EC480C" w:rsidP="00EC480C">
            <w:pPr>
              <w:pStyle w:val="ListParagraph"/>
              <w:numPr>
                <w:ilvl w:val="0"/>
                <w:numId w:val="1"/>
              </w:numPr>
              <w:outlineLvl w:val="0"/>
              <w:rPr>
                <w:sz w:val="28"/>
                <w:szCs w:val="28"/>
              </w:rPr>
            </w:pPr>
            <w:r w:rsidRPr="00EE323C">
              <w:rPr>
                <w:sz w:val="28"/>
                <w:szCs w:val="28"/>
              </w:rPr>
              <w:t>Đường kính 960mm, dài 1450mm</w:t>
            </w:r>
            <w:r>
              <w:rPr>
                <w:sz w:val="28"/>
                <w:szCs w:val="28"/>
              </w:rPr>
              <w:t>.</w:t>
            </w:r>
          </w:p>
          <w:p w:rsidR="00EC480C" w:rsidRPr="00EE323C" w:rsidRDefault="00EC480C" w:rsidP="00EC480C">
            <w:pPr>
              <w:pStyle w:val="ListParagraph"/>
              <w:numPr>
                <w:ilvl w:val="0"/>
                <w:numId w:val="1"/>
              </w:numPr>
              <w:outlineLvl w:val="0"/>
              <w:rPr>
                <w:sz w:val="28"/>
                <w:szCs w:val="28"/>
              </w:rPr>
            </w:pPr>
            <w:r w:rsidRPr="00EE323C">
              <w:rPr>
                <w:sz w:val="28"/>
                <w:szCs w:val="28"/>
              </w:rPr>
              <w:t>Lỗ cấp nước vào bồn nối ren D49, lổ thông hơi D27, lỗ xả cặn D27, Lỗ cấp nước sử dụng D42.</w:t>
            </w:r>
          </w:p>
          <w:p w:rsidR="00EC480C" w:rsidRPr="00EE323C" w:rsidRDefault="00EC480C" w:rsidP="00EC480C">
            <w:pPr>
              <w:pStyle w:val="ListParagraph"/>
              <w:numPr>
                <w:ilvl w:val="0"/>
                <w:numId w:val="1"/>
              </w:numPr>
              <w:outlineLvl w:val="0"/>
              <w:rPr>
                <w:sz w:val="28"/>
                <w:szCs w:val="28"/>
              </w:rPr>
            </w:pPr>
            <w:r w:rsidRPr="00EE323C">
              <w:rPr>
                <w:sz w:val="28"/>
                <w:szCs w:val="28"/>
              </w:rPr>
              <w:t>Chân bồn Inox V3 dày 2mm, dài 1100mm, rộng 1020mm, cao 430mm</w:t>
            </w:r>
          </w:p>
          <w:p w:rsidR="00EC480C" w:rsidRPr="00EE323C" w:rsidRDefault="00EC480C" w:rsidP="00EC480C">
            <w:pPr>
              <w:pStyle w:val="ListParagraph"/>
              <w:numPr>
                <w:ilvl w:val="0"/>
                <w:numId w:val="1"/>
              </w:numPr>
              <w:outlineLvl w:val="0"/>
              <w:rPr>
                <w:sz w:val="28"/>
                <w:szCs w:val="28"/>
              </w:rPr>
            </w:pPr>
            <w:r w:rsidRPr="00EE323C">
              <w:rPr>
                <w:sz w:val="28"/>
                <w:szCs w:val="28"/>
              </w:rPr>
              <w:t>Khối lượng Thân bồn ≥ 17.5kg</w:t>
            </w:r>
          </w:p>
          <w:p w:rsidR="00EC480C" w:rsidRPr="00EE323C" w:rsidRDefault="00EC480C" w:rsidP="00EC480C">
            <w:pPr>
              <w:pStyle w:val="ListParagraph"/>
              <w:numPr>
                <w:ilvl w:val="0"/>
                <w:numId w:val="1"/>
              </w:numPr>
              <w:outlineLvl w:val="0"/>
              <w:rPr>
                <w:sz w:val="28"/>
                <w:szCs w:val="28"/>
              </w:rPr>
            </w:pPr>
            <w:r w:rsidRPr="00EE323C">
              <w:rPr>
                <w:sz w:val="28"/>
                <w:szCs w:val="28"/>
              </w:rPr>
              <w:t>Khối lượng chân bồn ≥ 9kg</w:t>
            </w:r>
          </w:p>
          <w:p w:rsidR="00EC480C" w:rsidRPr="00EE323C" w:rsidRDefault="00EC480C" w:rsidP="00EC480C">
            <w:pPr>
              <w:pStyle w:val="ListParagraph"/>
              <w:numPr>
                <w:ilvl w:val="0"/>
                <w:numId w:val="1"/>
              </w:numPr>
              <w:spacing w:before="120" w:after="120"/>
              <w:rPr>
                <w:i/>
                <w:iCs/>
              </w:rPr>
            </w:pPr>
            <w:r w:rsidRPr="00EE323C">
              <w:rPr>
                <w:sz w:val="28"/>
                <w:szCs w:val="28"/>
              </w:rPr>
              <w:t>Thể tích thực: 1000 lít</w:t>
            </w:r>
            <w:r w:rsidRPr="00EE323C">
              <w:rPr>
                <w:i/>
                <w:iCs/>
              </w:rPr>
              <w:t>.</w:t>
            </w:r>
          </w:p>
          <w:p w:rsidR="00EC480C" w:rsidRPr="00EE323C" w:rsidRDefault="00EC480C" w:rsidP="00DF7EE3">
            <w:pPr>
              <w:spacing w:before="120" w:after="120"/>
              <w:rPr>
                <w:i/>
                <w:iCs/>
                <w:sz w:val="28"/>
                <w:szCs w:val="28"/>
              </w:rPr>
            </w:pPr>
            <w:r w:rsidRPr="00EE323C">
              <w:rPr>
                <w:i/>
                <w:iCs/>
                <w:sz w:val="28"/>
                <w:szCs w:val="28"/>
              </w:rPr>
              <w:t xml:space="preserve">( các sai số về kích thước </w:t>
            </w:r>
            <w:r>
              <w:rPr>
                <w:i/>
                <w:iCs/>
                <w:sz w:val="28"/>
                <w:szCs w:val="28"/>
              </w:rPr>
              <w:t xml:space="preserve">đường kính, chiều dài </w:t>
            </w:r>
            <w:r w:rsidRPr="00EE323C">
              <w:rPr>
                <w:i/>
                <w:iCs/>
                <w:sz w:val="28"/>
                <w:szCs w:val="28"/>
              </w:rPr>
              <w:t xml:space="preserve">cho phép: </w:t>
            </w:r>
            <w:r>
              <w:rPr>
                <w:i/>
                <w:iCs/>
                <w:sz w:val="28"/>
                <w:szCs w:val="28"/>
              </w:rPr>
              <w:t xml:space="preserve">± </w:t>
            </w:r>
            <w:r w:rsidRPr="00EE323C">
              <w:rPr>
                <w:i/>
                <w:iCs/>
                <w:sz w:val="28"/>
                <w:szCs w:val="28"/>
              </w:rPr>
              <w:t>10%)</w:t>
            </w:r>
          </w:p>
        </w:tc>
      </w:tr>
    </w:tbl>
    <w:p w:rsidR="00EC480C" w:rsidRPr="00180F17" w:rsidRDefault="00EC480C" w:rsidP="00EC480C">
      <w:pPr>
        <w:ind w:firstLine="709"/>
        <w:rPr>
          <w:i/>
          <w:iCs/>
          <w:sz w:val="20"/>
        </w:rPr>
      </w:pPr>
    </w:p>
    <w:p w:rsidR="00EC480C" w:rsidRPr="00180F17" w:rsidRDefault="00EC480C" w:rsidP="00EC480C">
      <w:pPr>
        <w:spacing w:before="120" w:after="120" w:line="264" w:lineRule="auto"/>
        <w:ind w:firstLine="709"/>
        <w:rPr>
          <w:b/>
          <w:i/>
          <w:sz w:val="28"/>
          <w:szCs w:val="28"/>
          <w:lang w:val="nl-NL"/>
        </w:rPr>
      </w:pPr>
      <w:r w:rsidRPr="00180F17">
        <w:rPr>
          <w:b/>
          <w:i/>
          <w:sz w:val="28"/>
          <w:szCs w:val="28"/>
          <w:lang w:val="nl-NL"/>
        </w:rPr>
        <w:t>1.3. Các yêu cầu khác</w:t>
      </w:r>
    </w:p>
    <w:p w:rsidR="00EC480C" w:rsidRPr="00657650" w:rsidRDefault="00EC480C" w:rsidP="00EC480C">
      <w:pPr>
        <w:pStyle w:val="SectionVIHeader"/>
        <w:spacing w:after="120" w:line="264" w:lineRule="auto"/>
        <w:ind w:firstLine="709"/>
        <w:jc w:val="both"/>
        <w:rPr>
          <w:b w:val="0"/>
          <w:i/>
          <w:sz w:val="28"/>
          <w:szCs w:val="28"/>
          <w:lang w:val="nl-NL"/>
        </w:rPr>
      </w:pPr>
      <w:r>
        <w:rPr>
          <w:b w:val="0"/>
          <w:i/>
          <w:sz w:val="28"/>
          <w:szCs w:val="28"/>
          <w:lang w:val="nl-NL"/>
        </w:rPr>
        <w:t>C</w:t>
      </w:r>
      <w:r w:rsidRPr="00657650">
        <w:rPr>
          <w:b w:val="0"/>
          <w:i/>
          <w:sz w:val="28"/>
          <w:szCs w:val="28"/>
          <w:lang w:val="nl-NL"/>
        </w:rPr>
        <w:t xml:space="preserve">hủ đầu tư có </w:t>
      </w:r>
      <w:r>
        <w:rPr>
          <w:b w:val="0"/>
          <w:i/>
          <w:sz w:val="28"/>
          <w:szCs w:val="28"/>
          <w:lang w:val="nl-NL"/>
        </w:rPr>
        <w:t xml:space="preserve">thể tổ chức kiểm tra, thử nghiệm hàng </w:t>
      </w:r>
      <w:r w:rsidRPr="00657650">
        <w:rPr>
          <w:b w:val="0"/>
          <w:i/>
          <w:sz w:val="28"/>
          <w:szCs w:val="28"/>
          <w:lang w:val="nl-NL"/>
        </w:rPr>
        <w:t>hoá được cung cấp để đảm bảo hàng</w:t>
      </w:r>
      <w:r>
        <w:rPr>
          <w:b w:val="0"/>
          <w:i/>
          <w:sz w:val="28"/>
          <w:szCs w:val="28"/>
          <w:lang w:val="nl-NL"/>
        </w:rPr>
        <w:t xml:space="preserve"> </w:t>
      </w:r>
      <w:r w:rsidRPr="00657650">
        <w:rPr>
          <w:b w:val="0"/>
          <w:i/>
          <w:sz w:val="28"/>
          <w:szCs w:val="28"/>
          <w:lang w:val="nl-NL"/>
        </w:rPr>
        <w:t>hoá có đặc tính kỹ thuật phù hợp với hồ sơ mời thầu: Chi phí do nhà thầu trả.</w:t>
      </w:r>
    </w:p>
    <w:p w:rsidR="00EC480C" w:rsidRDefault="00EC480C" w:rsidP="00EC480C">
      <w:pPr>
        <w:pStyle w:val="SectionVIHeader"/>
        <w:spacing w:after="120" w:line="264" w:lineRule="auto"/>
        <w:ind w:firstLine="709"/>
        <w:jc w:val="both"/>
        <w:rPr>
          <w:b w:val="0"/>
          <w:i/>
          <w:sz w:val="28"/>
          <w:szCs w:val="28"/>
          <w:lang w:val="nl-NL"/>
        </w:rPr>
      </w:pPr>
      <w:r w:rsidRPr="00657650">
        <w:rPr>
          <w:b w:val="0"/>
          <w:i/>
          <w:sz w:val="28"/>
          <w:szCs w:val="28"/>
          <w:lang w:val="nl-NL"/>
        </w:rPr>
        <w:t xml:space="preserve">Trong trường hợp hàng hoá được kiểm tra, kiểm định, thử nghiệm không đạt yêu cầu thì </w:t>
      </w:r>
      <w:r>
        <w:rPr>
          <w:b w:val="0"/>
          <w:i/>
          <w:sz w:val="28"/>
          <w:szCs w:val="28"/>
          <w:lang w:val="nl-NL"/>
        </w:rPr>
        <w:t>Chủ đầu tư</w:t>
      </w:r>
      <w:r w:rsidRPr="00657650">
        <w:rPr>
          <w:b w:val="0"/>
          <w:i/>
          <w:sz w:val="28"/>
          <w:szCs w:val="28"/>
          <w:lang w:val="nl-NL"/>
        </w:rPr>
        <w:t xml:space="preserve"> có</w:t>
      </w:r>
      <w:r>
        <w:rPr>
          <w:b w:val="0"/>
          <w:i/>
          <w:sz w:val="28"/>
          <w:szCs w:val="28"/>
          <w:lang w:val="nl-NL"/>
        </w:rPr>
        <w:t xml:space="preserve"> </w:t>
      </w:r>
      <w:r w:rsidRPr="00657650">
        <w:rPr>
          <w:b w:val="0"/>
          <w:i/>
          <w:sz w:val="28"/>
          <w:szCs w:val="28"/>
          <w:lang w:val="nl-NL"/>
        </w:rPr>
        <w:t>quyền từ chối và nhà th</w:t>
      </w:r>
      <w:r>
        <w:rPr>
          <w:b w:val="0"/>
          <w:i/>
          <w:sz w:val="28"/>
          <w:szCs w:val="28"/>
          <w:lang w:val="nl-NL"/>
        </w:rPr>
        <w:t xml:space="preserve">ầu phải có trách nhiệm thay thế </w:t>
      </w:r>
      <w:r w:rsidRPr="00657650">
        <w:rPr>
          <w:b w:val="0"/>
          <w:i/>
          <w:sz w:val="28"/>
          <w:szCs w:val="28"/>
          <w:lang w:val="nl-NL"/>
        </w:rPr>
        <w:t>thu hồi hàng hóa</w:t>
      </w:r>
      <w:r>
        <w:rPr>
          <w:b w:val="0"/>
          <w:i/>
          <w:sz w:val="28"/>
          <w:szCs w:val="28"/>
          <w:lang w:val="nl-NL"/>
        </w:rPr>
        <w:t>.</w:t>
      </w:r>
      <w:r w:rsidRPr="00657650">
        <w:rPr>
          <w:b w:val="0"/>
          <w:i/>
          <w:sz w:val="28"/>
          <w:szCs w:val="28"/>
          <w:lang w:val="nl-NL"/>
        </w:rPr>
        <w:t xml:space="preserve"> Trong trường hợp giao hàng hóa không đảm bảo chất lượng, chủ đầu tư sẽ lập biên bản vi phạm, trường hợp vi phạm quá 03 lần sẽ chấm dứt hợp đồng.</w:t>
      </w:r>
    </w:p>
    <w:p w:rsidR="00EC480C" w:rsidRPr="00180F17" w:rsidRDefault="00EC480C" w:rsidP="00EC480C">
      <w:pPr>
        <w:pStyle w:val="SectionVIHeader"/>
        <w:spacing w:after="120" w:line="264" w:lineRule="auto"/>
        <w:ind w:firstLine="709"/>
        <w:jc w:val="both"/>
        <w:rPr>
          <w:sz w:val="28"/>
          <w:szCs w:val="28"/>
          <w:lang w:val="nl-NL"/>
        </w:rPr>
      </w:pPr>
      <w:r w:rsidRPr="00180F17">
        <w:rPr>
          <w:sz w:val="28"/>
          <w:szCs w:val="28"/>
          <w:lang w:val="nl-NL"/>
        </w:rPr>
        <w:t>Mục 2. Bản vẽ</w:t>
      </w:r>
    </w:p>
    <w:p w:rsidR="00EC480C" w:rsidRPr="00180F17" w:rsidRDefault="00EC480C" w:rsidP="00EC480C">
      <w:pPr>
        <w:pStyle w:val="SectionVIHeader"/>
        <w:widowControl w:val="0"/>
        <w:spacing w:after="120" w:line="264" w:lineRule="auto"/>
        <w:ind w:firstLine="709"/>
        <w:jc w:val="left"/>
        <w:rPr>
          <w:sz w:val="32"/>
          <w:szCs w:val="32"/>
        </w:rPr>
      </w:pPr>
      <w:r w:rsidRPr="00180F17">
        <w:rPr>
          <w:sz w:val="28"/>
        </w:rPr>
        <w:t>Mục 3. Kiểm tra và thử nghiệm</w:t>
      </w:r>
    </w:p>
    <w:p w:rsidR="00EC480C" w:rsidRPr="00180F17" w:rsidRDefault="00EC480C" w:rsidP="00EC480C">
      <w:pPr>
        <w:spacing w:after="200" w:line="276" w:lineRule="auto"/>
        <w:ind w:firstLine="709"/>
        <w:jc w:val="left"/>
        <w:rPr>
          <w:i/>
          <w:iCs/>
          <w:sz w:val="28"/>
        </w:rPr>
      </w:pPr>
      <w:r>
        <w:rPr>
          <w:i/>
          <w:iCs/>
          <w:sz w:val="28"/>
        </w:rPr>
        <w:t>Chủ đầu tư sẽ phối hợp cùng nhà thầu kiểm tra hàng hóa tại nơi giao hàng dựa trên thông sô kỹ thuật nhà thầu chào</w:t>
      </w:r>
      <w:r w:rsidRPr="00180F17">
        <w:rPr>
          <w:i/>
          <w:iCs/>
          <w:sz w:val="28"/>
        </w:rPr>
        <w:t>.</w:t>
      </w:r>
    </w:p>
    <w:p w:rsidR="00EC480C" w:rsidRPr="00180F17" w:rsidRDefault="00EC480C" w:rsidP="00EC480C">
      <w:pPr>
        <w:spacing w:after="200" w:line="276" w:lineRule="auto"/>
        <w:ind w:firstLine="709"/>
        <w:jc w:val="left"/>
        <w:rPr>
          <w:i/>
          <w:iCs/>
          <w:sz w:val="28"/>
        </w:rPr>
      </w:pPr>
    </w:p>
    <w:p w:rsidR="00EC480C" w:rsidRDefault="00EC480C"/>
    <w:sectPr w:rsidR="00EC480C" w:rsidSect="00BF7B74">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A45BA"/>
    <w:multiLevelType w:val="hybridMultilevel"/>
    <w:tmpl w:val="6F5EF55A"/>
    <w:lvl w:ilvl="0" w:tplc="494A2C8C">
      <w:numFmt w:val="bullet"/>
      <w:lvlText w:val="-"/>
      <w:lvlJc w:val="left"/>
      <w:pPr>
        <w:ind w:left="100" w:hanging="192"/>
      </w:pPr>
      <w:rPr>
        <w:rFonts w:ascii="Times New Roman" w:eastAsia="Times New Roman" w:hAnsi="Times New Roman" w:cs="Times New Roman" w:hint="default"/>
        <w:w w:val="100"/>
        <w:sz w:val="28"/>
        <w:szCs w:val="28"/>
        <w:lang w:eastAsia="en-US" w:bidi="ar-SA"/>
      </w:rPr>
    </w:lvl>
    <w:lvl w:ilvl="1" w:tplc="726C20DA">
      <w:numFmt w:val="bullet"/>
      <w:lvlText w:val="•"/>
      <w:lvlJc w:val="left"/>
      <w:pPr>
        <w:ind w:left="530" w:hanging="192"/>
      </w:pPr>
      <w:rPr>
        <w:lang w:eastAsia="en-US" w:bidi="ar-SA"/>
      </w:rPr>
    </w:lvl>
    <w:lvl w:ilvl="2" w:tplc="9A961656">
      <w:numFmt w:val="bullet"/>
      <w:lvlText w:val="•"/>
      <w:lvlJc w:val="left"/>
      <w:pPr>
        <w:ind w:left="960" w:hanging="192"/>
      </w:pPr>
      <w:rPr>
        <w:lang w:eastAsia="en-US" w:bidi="ar-SA"/>
      </w:rPr>
    </w:lvl>
    <w:lvl w:ilvl="3" w:tplc="6AC0E6A2">
      <w:numFmt w:val="bullet"/>
      <w:lvlText w:val="•"/>
      <w:lvlJc w:val="left"/>
      <w:pPr>
        <w:ind w:left="1390" w:hanging="192"/>
      </w:pPr>
      <w:rPr>
        <w:lang w:eastAsia="en-US" w:bidi="ar-SA"/>
      </w:rPr>
    </w:lvl>
    <w:lvl w:ilvl="4" w:tplc="76B6B1A2">
      <w:numFmt w:val="bullet"/>
      <w:lvlText w:val="•"/>
      <w:lvlJc w:val="left"/>
      <w:pPr>
        <w:ind w:left="1820" w:hanging="192"/>
      </w:pPr>
      <w:rPr>
        <w:lang w:eastAsia="en-US" w:bidi="ar-SA"/>
      </w:rPr>
    </w:lvl>
    <w:lvl w:ilvl="5" w:tplc="4614C2BC">
      <w:numFmt w:val="bullet"/>
      <w:lvlText w:val="•"/>
      <w:lvlJc w:val="left"/>
      <w:pPr>
        <w:ind w:left="2251" w:hanging="192"/>
      </w:pPr>
      <w:rPr>
        <w:lang w:eastAsia="en-US" w:bidi="ar-SA"/>
      </w:rPr>
    </w:lvl>
    <w:lvl w:ilvl="6" w:tplc="5C6853A8">
      <w:numFmt w:val="bullet"/>
      <w:lvlText w:val="•"/>
      <w:lvlJc w:val="left"/>
      <w:pPr>
        <w:ind w:left="2681" w:hanging="192"/>
      </w:pPr>
      <w:rPr>
        <w:lang w:eastAsia="en-US" w:bidi="ar-SA"/>
      </w:rPr>
    </w:lvl>
    <w:lvl w:ilvl="7" w:tplc="BE4841D0">
      <w:numFmt w:val="bullet"/>
      <w:lvlText w:val="•"/>
      <w:lvlJc w:val="left"/>
      <w:pPr>
        <w:ind w:left="3111" w:hanging="192"/>
      </w:pPr>
      <w:rPr>
        <w:lang w:eastAsia="en-US" w:bidi="ar-SA"/>
      </w:rPr>
    </w:lvl>
    <w:lvl w:ilvl="8" w:tplc="554EE63C">
      <w:numFmt w:val="bullet"/>
      <w:lvlText w:val="•"/>
      <w:lvlJc w:val="left"/>
      <w:pPr>
        <w:ind w:left="3541" w:hanging="192"/>
      </w:pPr>
      <w:rPr>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B6"/>
    <w:rsid w:val="00316239"/>
    <w:rsid w:val="00446DB6"/>
    <w:rsid w:val="00BF7B74"/>
    <w:rsid w:val="00EC480C"/>
    <w:rsid w:val="00FD1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EE74"/>
  <w15:chartTrackingRefBased/>
  <w15:docId w15:val="{3CFD5C71-2EAE-43CA-A069-91DB824ED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80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C480C"/>
    <w:pPr>
      <w:jc w:val="center"/>
    </w:pPr>
    <w:rPr>
      <w:b/>
      <w:sz w:val="44"/>
    </w:rPr>
  </w:style>
  <w:style w:type="character" w:customStyle="1" w:styleId="SubtitleChar">
    <w:name w:val="Subtitle Char"/>
    <w:basedOn w:val="DefaultParagraphFont"/>
    <w:link w:val="Subtitle"/>
    <w:rsid w:val="00EC480C"/>
    <w:rPr>
      <w:rFonts w:ascii="Times New Roman" w:eastAsia="Times New Roman" w:hAnsi="Times New Roman" w:cs="Times New Roman"/>
      <w:b/>
      <w:sz w:val="44"/>
      <w:szCs w:val="20"/>
    </w:rPr>
  </w:style>
  <w:style w:type="paragraph" w:customStyle="1" w:styleId="SectionVIHeader">
    <w:name w:val="Section VI. Header"/>
    <w:basedOn w:val="Normal"/>
    <w:rsid w:val="00EC480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C480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C480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HUNG</dc:creator>
  <cp:keywords/>
  <dc:description/>
  <cp:lastModifiedBy>PHAM HUNG</cp:lastModifiedBy>
  <cp:revision>3</cp:revision>
  <dcterms:created xsi:type="dcterms:W3CDTF">2025-12-08T03:09:00Z</dcterms:created>
  <dcterms:modified xsi:type="dcterms:W3CDTF">2025-12-08T03:10:00Z</dcterms:modified>
</cp:coreProperties>
</file>