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D9" w:rsidRPr="00180F17" w:rsidRDefault="007E45D9" w:rsidP="007E45D9">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7E45D9" w:rsidRPr="00180F17" w:rsidRDefault="007E45D9" w:rsidP="007E45D9">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7E45D9" w:rsidRPr="00180F17" w:rsidRDefault="007E45D9" w:rsidP="007E45D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E45D9" w:rsidRDefault="007E45D9" w:rsidP="007E45D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52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57"/>
        <w:gridCol w:w="51"/>
        <w:gridCol w:w="4762"/>
        <w:gridCol w:w="1361"/>
      </w:tblGrid>
      <w:tr w:rsidR="007E45D9" w:rsidRPr="005C1ED0" w:rsidTr="00DF7EE3">
        <w:trPr>
          <w:trHeight w:val="731"/>
        </w:trPr>
        <w:tc>
          <w:tcPr>
            <w:tcW w:w="4308" w:type="pct"/>
            <w:gridSpan w:val="3"/>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92" w:line="256" w:lineRule="auto"/>
              <w:ind w:left="3118" w:right="2411"/>
              <w:jc w:val="center"/>
              <w:rPr>
                <w:b/>
                <w:sz w:val="26"/>
                <w:szCs w:val="26"/>
              </w:rPr>
            </w:pPr>
            <w:r>
              <w:rPr>
                <w:b/>
                <w:sz w:val="26"/>
                <w:szCs w:val="26"/>
              </w:rPr>
              <w:t xml:space="preserve">Nội dung đánh </w:t>
            </w:r>
            <w:r w:rsidRPr="005C1ED0">
              <w:rPr>
                <w:b/>
                <w:sz w:val="26"/>
                <w:szCs w:val="26"/>
              </w:rPr>
              <w:t>giá</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5" w:line="368" w:lineRule="exact"/>
              <w:ind w:left="7" w:right="-21" w:firstLine="369"/>
              <w:rPr>
                <w:b/>
                <w:sz w:val="26"/>
                <w:szCs w:val="26"/>
              </w:rPr>
            </w:pPr>
            <w:r w:rsidRPr="005C1ED0">
              <w:rPr>
                <w:b/>
                <w:sz w:val="26"/>
                <w:szCs w:val="26"/>
              </w:rPr>
              <w:t xml:space="preserve">Đạt/ </w:t>
            </w:r>
            <w:r w:rsidRPr="005C1ED0">
              <w:rPr>
                <w:b/>
                <w:spacing w:val="-3"/>
                <w:sz w:val="26"/>
                <w:szCs w:val="26"/>
              </w:rPr>
              <w:t>Không</w:t>
            </w:r>
            <w:r w:rsidRPr="005C1ED0">
              <w:rPr>
                <w:b/>
                <w:spacing w:val="5"/>
                <w:sz w:val="26"/>
                <w:szCs w:val="26"/>
              </w:rPr>
              <w:t xml:space="preserve"> </w:t>
            </w:r>
            <w:r w:rsidRPr="005C1ED0">
              <w:rPr>
                <w:b/>
                <w:spacing w:val="-5"/>
                <w:sz w:val="26"/>
                <w:szCs w:val="26"/>
              </w:rPr>
              <w:t>đạt</w:t>
            </w:r>
          </w:p>
        </w:tc>
      </w:tr>
      <w:tr w:rsidR="007E45D9" w:rsidRPr="005C1ED0" w:rsidTr="00DF7EE3">
        <w:trPr>
          <w:trHeight w:val="370"/>
        </w:trPr>
        <w:tc>
          <w:tcPr>
            <w:tcW w:w="5000" w:type="pct"/>
            <w:gridSpan w:val="4"/>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29" w:line="321" w:lineRule="exact"/>
              <w:ind w:left="107"/>
              <w:rPr>
                <w:b/>
                <w:sz w:val="26"/>
                <w:szCs w:val="26"/>
              </w:rPr>
            </w:pPr>
            <w:r w:rsidRPr="005C1ED0">
              <w:rPr>
                <w:b/>
                <w:sz w:val="26"/>
                <w:szCs w:val="26"/>
              </w:rPr>
              <w:t>1. Đặc tính, thông số kỹ thuật của hàng hóa, tiêu chuẩn sản xuất, tiêu chuẩn chế tạo và công nghệ</w:t>
            </w:r>
          </w:p>
        </w:tc>
      </w:tr>
      <w:tr w:rsidR="007E45D9" w:rsidRPr="005C1ED0" w:rsidTr="00DF7EE3">
        <w:trPr>
          <w:trHeight w:val="1285"/>
        </w:trPr>
        <w:tc>
          <w:tcPr>
            <w:tcW w:w="1860" w:type="pct"/>
            <w:vMerge w:val="restar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7" w:line="256" w:lineRule="auto"/>
              <w:rPr>
                <w:sz w:val="26"/>
                <w:szCs w:val="26"/>
              </w:rPr>
            </w:pPr>
          </w:p>
          <w:p w:rsidR="007E45D9" w:rsidRPr="005C1ED0" w:rsidRDefault="007E45D9" w:rsidP="00DF7EE3">
            <w:pPr>
              <w:pStyle w:val="TableParagraph"/>
              <w:shd w:val="clear" w:color="auto" w:fill="FFFFFF" w:themeFill="background1"/>
              <w:spacing w:before="1"/>
              <w:ind w:left="90" w:right="60"/>
              <w:rPr>
                <w:sz w:val="26"/>
                <w:szCs w:val="26"/>
              </w:rPr>
            </w:pPr>
            <w:r w:rsidRPr="005C1ED0">
              <w:rPr>
                <w:sz w:val="26"/>
                <w:szCs w:val="26"/>
              </w:rPr>
              <w:t>1.1. Đặc tính, thông số kỹ thuật của hàng hóa.</w:t>
            </w: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3"/>
              <w:ind w:left="105" w:right="79"/>
              <w:rPr>
                <w:sz w:val="26"/>
                <w:szCs w:val="26"/>
                <w:lang w:val="en-GB"/>
              </w:rPr>
            </w:pPr>
            <w:r w:rsidRPr="005C1ED0">
              <w:rPr>
                <w:sz w:val="26"/>
                <w:szCs w:val="26"/>
              </w:rPr>
              <w:t xml:space="preserve">Có đặc tính, thông số kỹ thuật của hàng hóa hoàn toàn phù hợp, đáp ứng yêu cầu của E- HSMT quy định tại </w:t>
            </w:r>
            <w:r>
              <w:rPr>
                <w:sz w:val="26"/>
                <w:szCs w:val="26"/>
              </w:rPr>
              <w:t>Chương V. Yêu cầu về kỹ thuật.</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1" w:line="256" w:lineRule="auto"/>
              <w:rPr>
                <w:sz w:val="26"/>
                <w:szCs w:val="26"/>
              </w:rPr>
            </w:pPr>
          </w:p>
          <w:p w:rsidR="007E45D9" w:rsidRPr="005C1ED0" w:rsidRDefault="007E45D9" w:rsidP="00DF7EE3">
            <w:pPr>
              <w:pStyle w:val="TableParagraph"/>
              <w:shd w:val="clear" w:color="auto" w:fill="FFFFFF" w:themeFill="background1"/>
              <w:spacing w:line="256" w:lineRule="auto"/>
              <w:ind w:right="398"/>
              <w:jc w:val="right"/>
              <w:rPr>
                <w:b/>
                <w:sz w:val="26"/>
                <w:szCs w:val="26"/>
              </w:rPr>
            </w:pPr>
            <w:r w:rsidRPr="005C1ED0">
              <w:rPr>
                <w:b/>
                <w:sz w:val="26"/>
                <w:szCs w:val="26"/>
              </w:rPr>
              <w:t>Đạt</w:t>
            </w:r>
          </w:p>
        </w:tc>
      </w:tr>
      <w:tr w:rsidR="007E45D9" w:rsidRPr="005C1ED0" w:rsidTr="00DF7EE3">
        <w:trPr>
          <w:trHeight w:val="1339"/>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ind w:left="58" w:right="27"/>
              <w:rPr>
                <w:sz w:val="26"/>
                <w:szCs w:val="26"/>
              </w:rPr>
            </w:pPr>
            <w:r w:rsidRPr="005C1ED0">
              <w:rPr>
                <w:sz w:val="26"/>
                <w:szCs w:val="26"/>
              </w:rPr>
              <w:t>Đặc tính, thông số kỹ thuật của hàng hóa không phù hợp, không đáp ứng yêu cầu của E-HSMT quy định tại</w:t>
            </w:r>
            <w:r>
              <w:rPr>
                <w:sz w:val="26"/>
                <w:szCs w:val="26"/>
              </w:rPr>
              <w:t xml:space="preserve"> </w:t>
            </w:r>
            <w:r w:rsidRPr="005C1ED0">
              <w:rPr>
                <w:sz w:val="26"/>
                <w:szCs w:val="26"/>
              </w:rPr>
              <w:t>Chương V. Yêu cầu về kỹ thuật.</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before="9" w:line="256" w:lineRule="auto"/>
              <w:rPr>
                <w:sz w:val="26"/>
                <w:szCs w:val="26"/>
              </w:rPr>
            </w:pPr>
          </w:p>
          <w:p w:rsidR="007E45D9" w:rsidRPr="005C1ED0" w:rsidRDefault="007E45D9" w:rsidP="00DF7EE3">
            <w:pPr>
              <w:pStyle w:val="TableParagraph"/>
              <w:shd w:val="clear" w:color="auto" w:fill="FFFFFF" w:themeFill="background1"/>
              <w:spacing w:line="256" w:lineRule="auto"/>
              <w:ind w:left="446" w:right="193" w:hanging="219"/>
              <w:rPr>
                <w:b/>
                <w:sz w:val="26"/>
                <w:szCs w:val="26"/>
              </w:rPr>
            </w:pPr>
            <w:r w:rsidRPr="005C1ED0">
              <w:rPr>
                <w:b/>
                <w:sz w:val="26"/>
                <w:szCs w:val="26"/>
              </w:rPr>
              <w:t>Không đạt</w:t>
            </w:r>
          </w:p>
        </w:tc>
      </w:tr>
      <w:tr w:rsidR="007E45D9" w:rsidRPr="005C1ED0" w:rsidTr="00DF7EE3">
        <w:trPr>
          <w:trHeight w:val="416"/>
        </w:trPr>
        <w:tc>
          <w:tcPr>
            <w:tcW w:w="1860" w:type="pct"/>
            <w:vMerge w:val="restar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7" w:line="256" w:lineRule="auto"/>
              <w:rPr>
                <w:sz w:val="26"/>
                <w:szCs w:val="26"/>
              </w:rPr>
            </w:pPr>
          </w:p>
          <w:p w:rsidR="007E45D9" w:rsidRPr="005C1ED0" w:rsidRDefault="007E45D9" w:rsidP="00DF7EE3">
            <w:pPr>
              <w:pStyle w:val="TableParagraph"/>
              <w:shd w:val="clear" w:color="auto" w:fill="FFFFFF" w:themeFill="background1"/>
              <w:spacing w:before="1"/>
              <w:ind w:left="90" w:right="60"/>
              <w:rPr>
                <w:sz w:val="26"/>
                <w:szCs w:val="26"/>
              </w:rPr>
            </w:pPr>
            <w:r w:rsidRPr="005C1ED0">
              <w:rPr>
                <w:sz w:val="26"/>
                <w:szCs w:val="26"/>
              </w:rPr>
              <w:t>1.2. Tiêu chuẩn chất lượng, tiêu chuẩn sản xuất của hàng hoá.</w:t>
            </w:r>
          </w:p>
        </w:tc>
        <w:tc>
          <w:tcPr>
            <w:tcW w:w="2448" w:type="pct"/>
            <w:gridSpan w:val="2"/>
            <w:tcBorders>
              <w:top w:val="single" w:sz="4" w:space="0" w:color="000000"/>
              <w:left w:val="single" w:sz="4" w:space="0" w:color="000000"/>
              <w:bottom w:val="single" w:sz="4" w:space="0" w:color="000000"/>
              <w:right w:val="single" w:sz="4" w:space="0" w:color="000000"/>
            </w:tcBorders>
          </w:tcPr>
          <w:p w:rsidR="007E45D9" w:rsidRDefault="007E45D9" w:rsidP="00DF7EE3">
            <w:pPr>
              <w:pStyle w:val="TableParagraph"/>
              <w:shd w:val="clear" w:color="auto" w:fill="FFFFFF" w:themeFill="background1"/>
              <w:tabs>
                <w:tab w:val="left" w:pos="255"/>
              </w:tabs>
              <w:spacing w:line="256" w:lineRule="auto"/>
              <w:ind w:right="26"/>
              <w:rPr>
                <w:sz w:val="26"/>
                <w:szCs w:val="26"/>
              </w:rPr>
            </w:pPr>
            <w:r w:rsidRPr="005C1ED0">
              <w:rPr>
                <w:sz w:val="26"/>
                <w:szCs w:val="26"/>
              </w:rPr>
              <w:t xml:space="preserve">- </w:t>
            </w:r>
            <w:r w:rsidRPr="000533A6">
              <w:rPr>
                <w:sz w:val="26"/>
                <w:szCs w:val="26"/>
              </w:rPr>
              <w:t>Có cam kết hàng hóa mới 100% được sản xuất từ</w:t>
            </w:r>
            <w:r>
              <w:rPr>
                <w:sz w:val="26"/>
                <w:szCs w:val="26"/>
              </w:rPr>
              <w:t xml:space="preserve"> </w:t>
            </w:r>
            <w:r w:rsidRPr="000533A6">
              <w:rPr>
                <w:sz w:val="26"/>
                <w:szCs w:val="26"/>
              </w:rPr>
              <w:t>năm 202</w:t>
            </w:r>
            <w:r>
              <w:rPr>
                <w:sz w:val="26"/>
                <w:szCs w:val="26"/>
              </w:rPr>
              <w:t>3</w:t>
            </w:r>
            <w:r w:rsidRPr="000533A6">
              <w:rPr>
                <w:sz w:val="26"/>
                <w:szCs w:val="26"/>
              </w:rPr>
              <w:t xml:space="preserve"> tới nay.</w:t>
            </w:r>
          </w:p>
          <w:p w:rsidR="007E45D9" w:rsidRDefault="007E45D9" w:rsidP="00DF7EE3">
            <w:pPr>
              <w:pStyle w:val="TableParagraph"/>
              <w:shd w:val="clear" w:color="auto" w:fill="FFFFFF" w:themeFill="background1"/>
              <w:tabs>
                <w:tab w:val="left" w:pos="255"/>
              </w:tabs>
              <w:spacing w:line="256" w:lineRule="auto"/>
              <w:ind w:right="26"/>
              <w:rPr>
                <w:sz w:val="26"/>
                <w:szCs w:val="26"/>
              </w:rPr>
            </w:pPr>
            <w:r>
              <w:rPr>
                <w:sz w:val="26"/>
                <w:szCs w:val="26"/>
              </w:rPr>
              <w:t xml:space="preserve">- </w:t>
            </w:r>
            <w:r w:rsidRPr="00EE323C">
              <w:rPr>
                <w:sz w:val="26"/>
                <w:szCs w:val="26"/>
              </w:rPr>
              <w:t>Có cam kết về việc không vi phạm quyền sở hữu trí tuệ, công nghệ đối với các hàng hoá chào thầu. Có cam kết miễn trừ trách nhiệm và bồi thường thiệt hại cho toàn bộ thiệt hại, chi phí phát sinh (nếu có) cho chủ đầu tư trong trường hợp có khiếu nại bên thứ 3 về quyền sở hữu trí tuệ, công nghệ đối với hàng hoá do nhà thầu cung cấp;</w:t>
            </w:r>
            <w:r w:rsidRPr="005C1ED0">
              <w:rPr>
                <w:sz w:val="26"/>
                <w:szCs w:val="26"/>
              </w:rPr>
              <w:t xml:space="preserve"> </w:t>
            </w:r>
          </w:p>
          <w:p w:rsidR="007E45D9" w:rsidRPr="005C1ED0" w:rsidRDefault="007E45D9" w:rsidP="00DF7EE3">
            <w:pPr>
              <w:pStyle w:val="TableParagraph"/>
              <w:shd w:val="clear" w:color="auto" w:fill="FFFFFF" w:themeFill="background1"/>
              <w:tabs>
                <w:tab w:val="left" w:pos="255"/>
              </w:tabs>
              <w:spacing w:line="256" w:lineRule="auto"/>
              <w:ind w:right="26"/>
              <w:rPr>
                <w:sz w:val="26"/>
                <w:szCs w:val="26"/>
              </w:rPr>
            </w:pPr>
            <w:r>
              <w:rPr>
                <w:sz w:val="26"/>
                <w:szCs w:val="26"/>
              </w:rPr>
              <w:t>- Có chứng nhận ISO 9001:2015/ISO đối với nhà thầu là nhà sản xuất.</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1" w:line="256" w:lineRule="auto"/>
              <w:rPr>
                <w:sz w:val="26"/>
                <w:szCs w:val="26"/>
              </w:rPr>
            </w:pPr>
          </w:p>
          <w:p w:rsidR="007E45D9" w:rsidRPr="005C1ED0" w:rsidRDefault="007E45D9" w:rsidP="00DF7EE3">
            <w:pPr>
              <w:pStyle w:val="TableParagraph"/>
              <w:shd w:val="clear" w:color="auto" w:fill="FFFFFF" w:themeFill="background1"/>
              <w:spacing w:line="256" w:lineRule="auto"/>
              <w:ind w:right="398"/>
              <w:jc w:val="right"/>
              <w:rPr>
                <w:b/>
                <w:sz w:val="26"/>
                <w:szCs w:val="26"/>
              </w:rPr>
            </w:pPr>
            <w:r w:rsidRPr="005C1ED0">
              <w:rPr>
                <w:b/>
                <w:sz w:val="26"/>
                <w:szCs w:val="26"/>
              </w:rPr>
              <w:t>Đạt</w:t>
            </w:r>
          </w:p>
        </w:tc>
      </w:tr>
      <w:tr w:rsidR="007E45D9" w:rsidRPr="005C1ED0" w:rsidTr="00DF7EE3">
        <w:trPr>
          <w:trHeight w:val="1016"/>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1" w:line="256" w:lineRule="auto"/>
              <w:ind w:left="52"/>
              <w:rPr>
                <w:sz w:val="26"/>
                <w:szCs w:val="26"/>
              </w:rPr>
            </w:pPr>
            <w:r w:rsidRPr="005C1ED0">
              <w:rPr>
                <w:sz w:val="26"/>
                <w:szCs w:val="26"/>
              </w:rPr>
              <w:t>- Không có, hoặc có nhưng không</w:t>
            </w:r>
            <w:r>
              <w:rPr>
                <w:sz w:val="26"/>
                <w:szCs w:val="26"/>
              </w:rPr>
              <w:t xml:space="preserve"> </w:t>
            </w:r>
            <w:r w:rsidRPr="005C1ED0">
              <w:rPr>
                <w:sz w:val="26"/>
                <w:szCs w:val="26"/>
              </w:rPr>
              <w:t>đầy đủ, nội dung không đáp ứng các tiêu chí nêu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87"/>
              <w:ind w:left="446" w:right="193" w:hanging="219"/>
              <w:rPr>
                <w:b/>
                <w:sz w:val="26"/>
                <w:szCs w:val="26"/>
              </w:rPr>
            </w:pPr>
            <w:r w:rsidRPr="005C1ED0">
              <w:rPr>
                <w:b/>
                <w:sz w:val="26"/>
                <w:szCs w:val="26"/>
              </w:rPr>
              <w:t>Không đạt</w:t>
            </w:r>
          </w:p>
        </w:tc>
      </w:tr>
      <w:tr w:rsidR="007E45D9" w:rsidRPr="005C1ED0" w:rsidTr="00DF7EE3">
        <w:trPr>
          <w:trHeight w:val="374"/>
        </w:trPr>
        <w:tc>
          <w:tcPr>
            <w:tcW w:w="5000" w:type="pct"/>
            <w:gridSpan w:val="4"/>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6" w:line="318" w:lineRule="exact"/>
              <w:ind w:left="52"/>
              <w:rPr>
                <w:b/>
                <w:sz w:val="26"/>
                <w:szCs w:val="26"/>
              </w:rPr>
            </w:pPr>
            <w:r w:rsidRPr="005C1ED0">
              <w:rPr>
                <w:b/>
                <w:sz w:val="26"/>
                <w:szCs w:val="26"/>
              </w:rPr>
              <w:t>2. Giải pháp kỹ thuật, biện pháp tổ chức cung cấp, lắp đặt hàng hóa</w:t>
            </w:r>
          </w:p>
        </w:tc>
      </w:tr>
      <w:tr w:rsidR="007E45D9" w:rsidRPr="005C1ED0" w:rsidTr="00DF7EE3">
        <w:trPr>
          <w:trHeight w:val="278"/>
        </w:trPr>
        <w:tc>
          <w:tcPr>
            <w:tcW w:w="1886" w:type="pct"/>
            <w:gridSpan w:val="2"/>
            <w:vMerge w:val="restar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228"/>
              <w:ind w:left="52" w:right="22"/>
              <w:rPr>
                <w:sz w:val="26"/>
                <w:szCs w:val="26"/>
              </w:rPr>
            </w:pPr>
            <w:r w:rsidRPr="005C1ED0">
              <w:rPr>
                <w:sz w:val="26"/>
                <w:szCs w:val="26"/>
              </w:rPr>
              <w:t>2.1. Tính hợp lý và hiệu quả kinh tế của các giải pháp kỹ thuật, biện pháp tổ chức cung cấp, lắp đặt hàng</w:t>
            </w:r>
            <w:r w:rsidRPr="005C1ED0">
              <w:rPr>
                <w:spacing w:val="-4"/>
                <w:sz w:val="26"/>
                <w:szCs w:val="26"/>
              </w:rPr>
              <w:t xml:space="preserve"> </w:t>
            </w:r>
            <w:r w:rsidRPr="005C1ED0">
              <w:rPr>
                <w:sz w:val="26"/>
                <w:szCs w:val="26"/>
              </w:rPr>
              <w:t>hóa.</w:t>
            </w:r>
          </w:p>
        </w:tc>
        <w:tc>
          <w:tcPr>
            <w:tcW w:w="242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233"/>
              <w:ind w:left="52" w:right="25"/>
              <w:rPr>
                <w:sz w:val="26"/>
                <w:szCs w:val="26"/>
              </w:rPr>
            </w:pPr>
            <w:r w:rsidRPr="005C1ED0">
              <w:rPr>
                <w:sz w:val="26"/>
                <w:szCs w:val="26"/>
              </w:rPr>
              <w:t xml:space="preserve">- Nhà thầu có các giải pháp kỹ thuật, biện pháp tổ chức cung cấp, bảo quản vận </w:t>
            </w:r>
            <w:r>
              <w:rPr>
                <w:sz w:val="26"/>
                <w:szCs w:val="26"/>
              </w:rPr>
              <w:t>chuyển, lắp đặt hàng hóa hợp lý</w:t>
            </w:r>
            <w:r w:rsidRPr="005C1ED0">
              <w:rPr>
                <w:sz w:val="26"/>
                <w:szCs w:val="26"/>
              </w:rPr>
              <w:t xml:space="preserve"> và hiệu quả kinh tế. </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4" w:line="256" w:lineRule="auto"/>
              <w:rPr>
                <w:sz w:val="26"/>
                <w:szCs w:val="26"/>
              </w:rPr>
            </w:pPr>
          </w:p>
          <w:p w:rsidR="007E45D9" w:rsidRPr="005C1ED0" w:rsidRDefault="007E45D9" w:rsidP="00DF7EE3">
            <w:pPr>
              <w:pStyle w:val="TableParagraph"/>
              <w:shd w:val="clear" w:color="auto" w:fill="FFFFFF" w:themeFill="background1"/>
              <w:spacing w:line="256" w:lineRule="auto"/>
              <w:ind w:left="368" w:right="346"/>
              <w:jc w:val="center"/>
              <w:rPr>
                <w:b/>
                <w:sz w:val="26"/>
                <w:szCs w:val="26"/>
              </w:rPr>
            </w:pPr>
            <w:r w:rsidRPr="005C1ED0">
              <w:rPr>
                <w:b/>
                <w:sz w:val="26"/>
                <w:szCs w:val="26"/>
              </w:rPr>
              <w:t>Đạt</w:t>
            </w:r>
          </w:p>
        </w:tc>
      </w:tr>
      <w:tr w:rsidR="007E45D9" w:rsidRPr="005C1ED0" w:rsidTr="00DF7EE3">
        <w:trPr>
          <w:trHeight w:val="684"/>
        </w:trPr>
        <w:tc>
          <w:tcPr>
            <w:tcW w:w="1886" w:type="pct"/>
            <w:gridSpan w:val="2"/>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2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1" w:line="256" w:lineRule="auto"/>
              <w:ind w:left="52"/>
              <w:rPr>
                <w:sz w:val="26"/>
                <w:szCs w:val="26"/>
              </w:rPr>
            </w:pPr>
            <w:r w:rsidRPr="005C1ED0">
              <w:rPr>
                <w:sz w:val="26"/>
                <w:szCs w:val="26"/>
              </w:rPr>
              <w:t>- Không đáp ứng yêu cầu nêu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6" w:line="320" w:lineRule="atLeast"/>
              <w:ind w:left="446" w:right="193" w:hanging="219"/>
              <w:rPr>
                <w:b/>
                <w:sz w:val="26"/>
                <w:szCs w:val="26"/>
              </w:rPr>
            </w:pPr>
            <w:r w:rsidRPr="005C1ED0">
              <w:rPr>
                <w:b/>
                <w:sz w:val="26"/>
                <w:szCs w:val="26"/>
              </w:rPr>
              <w:t>Không đạt</w:t>
            </w:r>
          </w:p>
        </w:tc>
      </w:tr>
      <w:tr w:rsidR="007E45D9" w:rsidRPr="005C1ED0" w:rsidTr="00DF7EE3">
        <w:trPr>
          <w:trHeight w:val="376"/>
        </w:trPr>
        <w:tc>
          <w:tcPr>
            <w:tcW w:w="5000" w:type="pct"/>
            <w:gridSpan w:val="4"/>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40" w:line="316" w:lineRule="exact"/>
              <w:ind w:left="52"/>
              <w:rPr>
                <w:b/>
                <w:sz w:val="26"/>
                <w:szCs w:val="26"/>
              </w:rPr>
            </w:pPr>
            <w:r w:rsidRPr="005C1ED0">
              <w:rPr>
                <w:b/>
                <w:sz w:val="26"/>
                <w:szCs w:val="26"/>
              </w:rPr>
              <w:lastRenderedPageBreak/>
              <w:t>3. Tiến độ cung cấp, lắp đặt hàng hóa</w:t>
            </w:r>
          </w:p>
        </w:tc>
      </w:tr>
      <w:tr w:rsidR="007E45D9" w:rsidRPr="005C1ED0" w:rsidTr="00DF7EE3">
        <w:trPr>
          <w:trHeight w:val="1301"/>
        </w:trPr>
        <w:tc>
          <w:tcPr>
            <w:tcW w:w="1860" w:type="pct"/>
            <w:vMerge w:val="restar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ind w:left="52" w:right="22"/>
              <w:rPr>
                <w:sz w:val="26"/>
                <w:szCs w:val="26"/>
              </w:rPr>
            </w:pPr>
            <w:r w:rsidRPr="005C1ED0">
              <w:rPr>
                <w:sz w:val="26"/>
                <w:szCs w:val="26"/>
              </w:rPr>
              <w:t>3.1. Bảng tiến độ cung cấp hàng hóa hợp lý, khả thi phù hợp với đề xuất kỹ thuật và đáp ứng yêu cầu của HSMT</w:t>
            </w: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3"/>
              <w:ind w:left="52" w:right="22"/>
              <w:rPr>
                <w:sz w:val="26"/>
                <w:szCs w:val="26"/>
              </w:rPr>
            </w:pPr>
            <w:r w:rsidRPr="005C1ED0">
              <w:rPr>
                <w:sz w:val="26"/>
                <w:szCs w:val="26"/>
              </w:rPr>
              <w:t xml:space="preserve">- </w:t>
            </w:r>
            <w:r>
              <w:rPr>
                <w:sz w:val="26"/>
                <w:szCs w:val="26"/>
              </w:rPr>
              <w:t>T</w:t>
            </w:r>
            <w:r w:rsidRPr="005C1ED0">
              <w:rPr>
                <w:sz w:val="26"/>
                <w:szCs w:val="26"/>
              </w:rPr>
              <w:t>iến độ cung cấp hàng hóa hợp lý, khả thi và phù hợp với đề xuất kỹ thuật và đáp ứng yêu cầu của HSMT, thời gian cung cấp hàng hoá</w:t>
            </w:r>
            <w:r>
              <w:rPr>
                <w:sz w:val="26"/>
                <w:szCs w:val="26"/>
              </w:rPr>
              <w:t xml:space="preserve"> </w:t>
            </w:r>
            <w:r w:rsidRPr="005C1ED0">
              <w:rPr>
                <w:sz w:val="26"/>
                <w:szCs w:val="26"/>
                <w:u w:val="single"/>
              </w:rPr>
              <w:t>&lt;</w:t>
            </w:r>
            <w:r>
              <w:rPr>
                <w:sz w:val="26"/>
                <w:szCs w:val="26"/>
              </w:rPr>
              <w:t xml:space="preserve"> 09</w:t>
            </w:r>
            <w:r w:rsidRPr="005C1ED0">
              <w:rPr>
                <w:sz w:val="26"/>
                <w:szCs w:val="26"/>
              </w:rPr>
              <w:t xml:space="preserve"> ngày</w:t>
            </w:r>
            <w:r w:rsidRPr="005C1ED0">
              <w:rPr>
                <w:spacing w:val="4"/>
                <w:sz w:val="26"/>
                <w:szCs w:val="26"/>
              </w:rPr>
              <w:t xml:space="preserve"> </w:t>
            </w:r>
            <w:r w:rsidRPr="005C1ED0">
              <w:rPr>
                <w:sz w:val="26"/>
                <w:szCs w:val="26"/>
              </w:rPr>
              <w:t xml:space="preserve">kể từ ngày hợp đồng </w:t>
            </w:r>
            <w:r w:rsidRPr="005C1ED0">
              <w:rPr>
                <w:spacing w:val="-3"/>
                <w:sz w:val="26"/>
                <w:szCs w:val="26"/>
              </w:rPr>
              <w:t xml:space="preserve">có </w:t>
            </w:r>
            <w:r w:rsidRPr="005C1ED0">
              <w:rPr>
                <w:sz w:val="26"/>
                <w:szCs w:val="26"/>
              </w:rPr>
              <w:t>hiệu</w:t>
            </w:r>
            <w:r w:rsidRPr="005C1ED0">
              <w:rPr>
                <w:spacing w:val="3"/>
                <w:sz w:val="26"/>
                <w:szCs w:val="26"/>
              </w:rPr>
              <w:t xml:space="preserve"> </w:t>
            </w:r>
            <w:r w:rsidRPr="005C1ED0">
              <w:rPr>
                <w:spacing w:val="-5"/>
                <w:sz w:val="26"/>
                <w:szCs w:val="26"/>
              </w:rPr>
              <w:t>lực.</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before="11" w:line="256" w:lineRule="auto"/>
              <w:rPr>
                <w:sz w:val="26"/>
                <w:szCs w:val="26"/>
              </w:rPr>
            </w:pPr>
          </w:p>
          <w:p w:rsidR="007E45D9" w:rsidRPr="005C1ED0" w:rsidRDefault="007E45D9" w:rsidP="00DF7EE3">
            <w:pPr>
              <w:pStyle w:val="TableParagraph"/>
              <w:shd w:val="clear" w:color="auto" w:fill="FFFFFF" w:themeFill="background1"/>
              <w:spacing w:line="256" w:lineRule="auto"/>
              <w:ind w:left="368" w:right="346"/>
              <w:jc w:val="center"/>
              <w:rPr>
                <w:b/>
                <w:sz w:val="26"/>
                <w:szCs w:val="26"/>
              </w:rPr>
            </w:pPr>
            <w:r w:rsidRPr="005C1ED0">
              <w:rPr>
                <w:b/>
                <w:sz w:val="26"/>
                <w:szCs w:val="26"/>
              </w:rPr>
              <w:t>Đạt</w:t>
            </w:r>
          </w:p>
        </w:tc>
      </w:tr>
      <w:tr w:rsidR="007E45D9" w:rsidRPr="005C1ED0" w:rsidTr="00DF7EE3">
        <w:trPr>
          <w:trHeight w:val="721"/>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1"/>
              <w:ind w:left="52" w:right="26"/>
              <w:rPr>
                <w:sz w:val="26"/>
                <w:szCs w:val="26"/>
              </w:rPr>
            </w:pPr>
            <w:r w:rsidRPr="005C1ED0">
              <w:rPr>
                <w:sz w:val="26"/>
                <w:szCs w:val="26"/>
              </w:rPr>
              <w:t xml:space="preserve">- Không </w:t>
            </w:r>
            <w:r>
              <w:rPr>
                <w:sz w:val="26"/>
                <w:szCs w:val="26"/>
              </w:rPr>
              <w:t>đáp ứng yêu cầu trên</w:t>
            </w:r>
            <w:r w:rsidRPr="005C1ED0">
              <w:rPr>
                <w:sz w:val="26"/>
                <w:szCs w:val="26"/>
              </w:rPr>
              <w:t>.</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ind w:left="446" w:right="193" w:hanging="219"/>
              <w:rPr>
                <w:b/>
                <w:sz w:val="26"/>
                <w:szCs w:val="26"/>
              </w:rPr>
            </w:pPr>
            <w:r w:rsidRPr="005C1ED0">
              <w:rPr>
                <w:b/>
                <w:sz w:val="26"/>
                <w:szCs w:val="26"/>
              </w:rPr>
              <w:t>Không đạt</w:t>
            </w:r>
          </w:p>
        </w:tc>
      </w:tr>
      <w:tr w:rsidR="007E45D9" w:rsidRPr="005C1ED0" w:rsidTr="00DF7EE3">
        <w:trPr>
          <w:trHeight w:val="378"/>
        </w:trPr>
        <w:tc>
          <w:tcPr>
            <w:tcW w:w="5000" w:type="pct"/>
            <w:gridSpan w:val="4"/>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43" w:line="316" w:lineRule="exact"/>
              <w:ind w:left="52"/>
              <w:rPr>
                <w:b/>
                <w:sz w:val="26"/>
                <w:szCs w:val="26"/>
              </w:rPr>
            </w:pPr>
            <w:r w:rsidRPr="005C1ED0">
              <w:rPr>
                <w:b/>
                <w:sz w:val="26"/>
                <w:szCs w:val="26"/>
              </w:rPr>
              <w:t>4. Mức độ đáp ứng các yêu cầu về bảo hành, bảo trì</w:t>
            </w:r>
          </w:p>
        </w:tc>
      </w:tr>
      <w:tr w:rsidR="007E45D9" w:rsidRPr="005C1ED0" w:rsidTr="00DF7EE3">
        <w:trPr>
          <w:trHeight w:val="1729"/>
        </w:trPr>
        <w:tc>
          <w:tcPr>
            <w:tcW w:w="1860" w:type="pct"/>
            <w:vMerge w:val="restar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before="2" w:line="256" w:lineRule="auto"/>
              <w:rPr>
                <w:sz w:val="26"/>
                <w:szCs w:val="26"/>
              </w:rPr>
            </w:pPr>
          </w:p>
          <w:p w:rsidR="007E45D9" w:rsidRPr="005C1ED0" w:rsidRDefault="007E45D9" w:rsidP="00DF7EE3">
            <w:pPr>
              <w:pStyle w:val="TableParagraph"/>
              <w:shd w:val="clear" w:color="auto" w:fill="FFFFFF" w:themeFill="background1"/>
              <w:ind w:right="22"/>
              <w:rPr>
                <w:sz w:val="26"/>
                <w:szCs w:val="26"/>
              </w:rPr>
            </w:pPr>
            <w:r>
              <w:rPr>
                <w:sz w:val="26"/>
                <w:szCs w:val="26"/>
              </w:rPr>
              <w:t>Thời gian bảo hành</w:t>
            </w:r>
          </w:p>
        </w:tc>
        <w:tc>
          <w:tcPr>
            <w:tcW w:w="2448" w:type="pct"/>
            <w:gridSpan w:val="2"/>
            <w:tcBorders>
              <w:top w:val="single" w:sz="4" w:space="0" w:color="000000"/>
              <w:left w:val="single" w:sz="4" w:space="0" w:color="000000"/>
              <w:bottom w:val="single" w:sz="4" w:space="0" w:color="000000"/>
              <w:right w:val="single" w:sz="4" w:space="0" w:color="000000"/>
            </w:tcBorders>
          </w:tcPr>
          <w:p w:rsidR="007E45D9" w:rsidRPr="005C1ED0" w:rsidRDefault="007E45D9" w:rsidP="007E45D9">
            <w:pPr>
              <w:pStyle w:val="TableParagraph"/>
              <w:numPr>
                <w:ilvl w:val="0"/>
                <w:numId w:val="1"/>
              </w:numPr>
              <w:shd w:val="clear" w:color="auto" w:fill="FFFFFF" w:themeFill="background1"/>
              <w:tabs>
                <w:tab w:val="left" w:pos="262"/>
              </w:tabs>
              <w:spacing w:before="31"/>
              <w:ind w:right="26" w:firstLine="0"/>
              <w:rPr>
                <w:sz w:val="26"/>
                <w:szCs w:val="26"/>
              </w:rPr>
            </w:pPr>
            <w:r w:rsidRPr="005C1ED0">
              <w:rPr>
                <w:sz w:val="26"/>
                <w:szCs w:val="26"/>
              </w:rPr>
              <w:t>Có cam kết thời g</w:t>
            </w:r>
            <w:r>
              <w:rPr>
                <w:sz w:val="26"/>
                <w:szCs w:val="26"/>
              </w:rPr>
              <w:t>ian bảo hành tối thiểu 02 năm.</w:t>
            </w:r>
          </w:p>
          <w:p w:rsidR="007E45D9" w:rsidRPr="005C1ED0" w:rsidRDefault="007E45D9" w:rsidP="007E45D9">
            <w:pPr>
              <w:pStyle w:val="TableParagraph"/>
              <w:numPr>
                <w:ilvl w:val="0"/>
                <w:numId w:val="1"/>
              </w:numPr>
              <w:shd w:val="clear" w:color="auto" w:fill="FFFFFF" w:themeFill="background1"/>
              <w:tabs>
                <w:tab w:val="left" w:pos="228"/>
              </w:tabs>
              <w:spacing w:before="38"/>
              <w:ind w:right="26"/>
              <w:rPr>
                <w:sz w:val="26"/>
                <w:szCs w:val="26"/>
              </w:rPr>
            </w:pPr>
            <w:r w:rsidRPr="000533A6">
              <w:rPr>
                <w:sz w:val="26"/>
                <w:szCs w:val="26"/>
              </w:rPr>
              <w:t>- Có cam kết trong thời gian bảo hành nếu các hàng hóa bị lỗi không khắc phục được phải đổi hàng hóa</w:t>
            </w:r>
            <w:r>
              <w:rPr>
                <w:sz w:val="26"/>
                <w:szCs w:val="26"/>
              </w:rPr>
              <w:t xml:space="preserve"> </w:t>
            </w:r>
            <w:r w:rsidRPr="000533A6">
              <w:rPr>
                <w:sz w:val="26"/>
                <w:szCs w:val="26"/>
              </w:rPr>
              <w:t>mới.</w:t>
            </w:r>
          </w:p>
        </w:tc>
        <w:tc>
          <w:tcPr>
            <w:tcW w:w="692" w:type="pc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rPr>
                <w:sz w:val="26"/>
                <w:szCs w:val="26"/>
              </w:rPr>
            </w:pPr>
          </w:p>
          <w:p w:rsidR="007E45D9" w:rsidRPr="005C1ED0" w:rsidRDefault="007E45D9" w:rsidP="00DF7EE3">
            <w:pPr>
              <w:pStyle w:val="TableParagraph"/>
              <w:shd w:val="clear" w:color="auto" w:fill="FFFFFF" w:themeFill="background1"/>
              <w:spacing w:line="256" w:lineRule="auto"/>
              <w:ind w:left="368" w:right="346"/>
              <w:jc w:val="center"/>
              <w:rPr>
                <w:b/>
                <w:sz w:val="26"/>
                <w:szCs w:val="26"/>
              </w:rPr>
            </w:pPr>
            <w:r w:rsidRPr="005C1ED0">
              <w:rPr>
                <w:b/>
                <w:sz w:val="26"/>
                <w:szCs w:val="26"/>
              </w:rPr>
              <w:t>Đạt</w:t>
            </w:r>
          </w:p>
        </w:tc>
      </w:tr>
      <w:tr w:rsidR="007E45D9" w:rsidRPr="005C1ED0" w:rsidTr="00DF7EE3">
        <w:trPr>
          <w:trHeight w:val="881"/>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3" w:line="256" w:lineRule="auto"/>
              <w:ind w:left="52"/>
              <w:rPr>
                <w:sz w:val="26"/>
                <w:szCs w:val="26"/>
              </w:rPr>
            </w:pPr>
            <w:r w:rsidRPr="005C1ED0">
              <w:rPr>
                <w:sz w:val="26"/>
                <w:szCs w:val="26"/>
              </w:rPr>
              <w:t>- Không đáp ứng yêu cầu nêu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42" w:line="322" w:lineRule="exact"/>
              <w:ind w:left="446" w:right="193" w:hanging="219"/>
              <w:rPr>
                <w:b/>
                <w:sz w:val="26"/>
                <w:szCs w:val="26"/>
              </w:rPr>
            </w:pPr>
            <w:r w:rsidRPr="005C1ED0">
              <w:rPr>
                <w:b/>
                <w:sz w:val="26"/>
                <w:szCs w:val="26"/>
              </w:rPr>
              <w:t>Không đạt</w:t>
            </w:r>
          </w:p>
        </w:tc>
      </w:tr>
      <w:tr w:rsidR="007E45D9" w:rsidRPr="005C1ED0" w:rsidTr="00DF7EE3">
        <w:trPr>
          <w:trHeight w:val="378"/>
        </w:trPr>
        <w:tc>
          <w:tcPr>
            <w:tcW w:w="5000" w:type="pct"/>
            <w:gridSpan w:val="4"/>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38" w:line="320" w:lineRule="exact"/>
              <w:ind w:left="107" w:right="222"/>
              <w:rPr>
                <w:b/>
                <w:sz w:val="26"/>
                <w:szCs w:val="26"/>
              </w:rPr>
            </w:pPr>
            <w:r>
              <w:rPr>
                <w:b/>
                <w:sz w:val="26"/>
                <w:szCs w:val="26"/>
              </w:rPr>
              <w:t>5</w:t>
            </w:r>
            <w:r w:rsidRPr="005C1ED0">
              <w:rPr>
                <w:b/>
                <w:sz w:val="26"/>
                <w:szCs w:val="26"/>
              </w:rPr>
              <w:t xml:space="preserve">. </w:t>
            </w:r>
            <w:r w:rsidRPr="00FC6242">
              <w:rPr>
                <w:sz w:val="26"/>
                <w:szCs w:val="26"/>
              </w:rPr>
              <w:t>Thông tin</w:t>
            </w:r>
            <w:r w:rsidRPr="00FC6242">
              <w:rPr>
                <w:sz w:val="26"/>
                <w:szCs w:val="26"/>
                <w:lang w:val="vi-VN"/>
              </w:rPr>
              <w:t xml:space="preserve"> thực hiện hợp đồng của nhà thầu đối với gói thầu cung cấp hàng hóa, EPC, EP, PC, chìa khóa t</w:t>
            </w:r>
            <w:r>
              <w:rPr>
                <w:sz w:val="26"/>
                <w:szCs w:val="26"/>
                <w:lang w:val="vi-VN"/>
              </w:rPr>
              <w:t xml:space="preserve">rao tay theo quy định tại Điều </w:t>
            </w:r>
            <w:r>
              <w:rPr>
                <w:sz w:val="26"/>
                <w:szCs w:val="26"/>
              </w:rPr>
              <w:t>19</w:t>
            </w:r>
            <w:r>
              <w:rPr>
                <w:sz w:val="26"/>
                <w:szCs w:val="26"/>
                <w:lang w:val="vi-VN"/>
              </w:rPr>
              <w:t xml:space="preserve"> và Điều </w:t>
            </w:r>
            <w:r>
              <w:rPr>
                <w:sz w:val="26"/>
                <w:szCs w:val="26"/>
              </w:rPr>
              <w:t>20</w:t>
            </w:r>
            <w:r w:rsidRPr="00FC6242">
              <w:rPr>
                <w:sz w:val="26"/>
                <w:szCs w:val="26"/>
                <w:lang w:val="vi-VN"/>
              </w:rPr>
              <w:t xml:space="preserve"> của Nghị định số 24/2024/NĐ-CP, chất lượng hàng hóa tương tự được công khai theo quy định tại Điều </w:t>
            </w:r>
            <w:r>
              <w:rPr>
                <w:sz w:val="26"/>
                <w:szCs w:val="26"/>
              </w:rPr>
              <w:t>20</w:t>
            </w:r>
            <w:r w:rsidRPr="00FC6242">
              <w:rPr>
                <w:sz w:val="26"/>
                <w:szCs w:val="26"/>
                <w:lang w:val="vi-VN"/>
              </w:rPr>
              <w:t xml:space="preserve"> của Nghị định số 2</w:t>
            </w:r>
            <w:r>
              <w:rPr>
                <w:sz w:val="26"/>
                <w:szCs w:val="26"/>
              </w:rPr>
              <w:t>1</w:t>
            </w:r>
            <w:r w:rsidRPr="00FC6242">
              <w:rPr>
                <w:sz w:val="26"/>
                <w:szCs w:val="26"/>
                <w:lang w:val="vi-VN"/>
              </w:rPr>
              <w:t>4/2024/NĐ-CP</w:t>
            </w:r>
          </w:p>
        </w:tc>
      </w:tr>
      <w:tr w:rsidR="007E45D9" w:rsidRPr="005C1ED0" w:rsidTr="00DF7EE3">
        <w:trPr>
          <w:trHeight w:val="1139"/>
        </w:trPr>
        <w:tc>
          <w:tcPr>
            <w:tcW w:w="1860" w:type="pct"/>
            <w:vMerge w:val="restar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before="31"/>
              <w:ind w:left="107" w:right="78"/>
              <w:rPr>
                <w:sz w:val="26"/>
                <w:szCs w:val="26"/>
              </w:rPr>
            </w:pPr>
          </w:p>
          <w:p w:rsidR="007E45D9" w:rsidRDefault="007E45D9" w:rsidP="00DF7EE3">
            <w:pPr>
              <w:autoSpaceDE w:val="0"/>
              <w:autoSpaceDN w:val="0"/>
              <w:adjustRightInd w:val="0"/>
              <w:rPr>
                <w:sz w:val="26"/>
                <w:szCs w:val="26"/>
                <w:lang w:val="es-ES"/>
              </w:rPr>
            </w:pPr>
            <w:r>
              <w:rPr>
                <w:sz w:val="26"/>
                <w:szCs w:val="26"/>
                <w:lang w:val="es-ES"/>
              </w:rPr>
              <w:t xml:space="preserve">Thông tin </w:t>
            </w:r>
            <w:r w:rsidRPr="00B04B6D">
              <w:rPr>
                <w:sz w:val="26"/>
                <w:szCs w:val="26"/>
                <w:lang w:val="es-ES"/>
              </w:rPr>
              <w:t xml:space="preserve">Kết quả thực hiện </w:t>
            </w:r>
            <w:r>
              <w:rPr>
                <w:sz w:val="26"/>
                <w:szCs w:val="26"/>
                <w:lang w:val="es-ES"/>
              </w:rPr>
              <w:t>hợp đồng của nhà thầu</w:t>
            </w:r>
          </w:p>
          <w:p w:rsidR="007E45D9" w:rsidRPr="00C972CC" w:rsidRDefault="007E45D9" w:rsidP="00DF7EE3">
            <w:pPr>
              <w:autoSpaceDE w:val="0"/>
              <w:autoSpaceDN w:val="0"/>
              <w:adjustRightInd w:val="0"/>
              <w:rPr>
                <w:sz w:val="26"/>
                <w:szCs w:val="26"/>
                <w:lang w:val="es-ES"/>
              </w:rPr>
            </w:pPr>
            <w:r w:rsidRPr="00C972CC">
              <w:rPr>
                <w:sz w:val="26"/>
                <w:szCs w:val="26"/>
                <w:lang w:val="es-ES"/>
              </w:rPr>
              <w:t>a) Tiến độ thực hiện hợp đồng;</w:t>
            </w:r>
            <w:r w:rsidRPr="00C972CC">
              <w:rPr>
                <w:sz w:val="26"/>
                <w:szCs w:val="26"/>
                <w:lang w:val="es-ES"/>
              </w:rPr>
              <w:cr/>
              <w:t>b) Chất lượng công trình, bao gồm các</w:t>
            </w:r>
            <w:r w:rsidRPr="00C972CC">
              <w:rPr>
                <w:sz w:val="26"/>
                <w:szCs w:val="26"/>
                <w:lang w:val="es-ES"/>
              </w:rPr>
              <w:cr/>
              <w:t>sự cố xảy ra trong quá trình thực hiện</w:t>
            </w:r>
            <w:r w:rsidRPr="00C972CC">
              <w:rPr>
                <w:sz w:val="26"/>
                <w:szCs w:val="26"/>
                <w:lang w:val="es-ES"/>
              </w:rPr>
              <w:cr/>
              <w:t>hợp đồng (nếu có) và các yếu tố khác</w:t>
            </w:r>
            <w:r w:rsidRPr="00C972CC">
              <w:rPr>
                <w:sz w:val="26"/>
                <w:szCs w:val="26"/>
                <w:lang w:val="es-ES"/>
              </w:rPr>
              <w:cr/>
              <w:t>có liên quan;</w:t>
            </w:r>
          </w:p>
          <w:p w:rsidR="007E45D9" w:rsidRPr="005C1ED0" w:rsidRDefault="007E45D9" w:rsidP="00DF7EE3">
            <w:pPr>
              <w:pStyle w:val="TableParagraph"/>
              <w:shd w:val="clear" w:color="auto" w:fill="FFFFFF" w:themeFill="background1"/>
              <w:spacing w:before="31"/>
              <w:ind w:left="107" w:right="78"/>
              <w:rPr>
                <w:sz w:val="26"/>
                <w:szCs w:val="26"/>
              </w:rPr>
            </w:pPr>
            <w:r w:rsidRPr="00C972CC">
              <w:rPr>
                <w:sz w:val="26"/>
                <w:szCs w:val="26"/>
                <w:lang w:val="es-ES"/>
              </w:rPr>
              <w:t>c)</w:t>
            </w:r>
            <w:r>
              <w:rPr>
                <w:sz w:val="26"/>
                <w:szCs w:val="26"/>
                <w:lang w:val="es-ES"/>
              </w:rPr>
              <w:t xml:space="preserve"> Vi phạm hợp đồng, chấm dứt hợp </w:t>
            </w:r>
            <w:r w:rsidRPr="00C972CC">
              <w:rPr>
                <w:sz w:val="26"/>
                <w:szCs w:val="26"/>
                <w:lang w:val="es-ES"/>
              </w:rPr>
              <w:t>đồng và lý do;</w:t>
            </w: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Default="007E45D9" w:rsidP="00DF7EE3">
            <w:pPr>
              <w:widowControl w:val="0"/>
              <w:tabs>
                <w:tab w:val="left" w:pos="851"/>
              </w:tabs>
              <w:spacing w:before="60" w:after="60"/>
              <w:ind w:right="275" w:firstLine="139"/>
              <w:rPr>
                <w:rFonts w:eastAsia="Calibri"/>
                <w:spacing w:val="2"/>
                <w:sz w:val="26"/>
                <w:szCs w:val="26"/>
                <w:lang w:val="es-ES"/>
              </w:rPr>
            </w:pPr>
            <w:r>
              <w:rPr>
                <w:rFonts w:eastAsia="Calibri"/>
                <w:bCs/>
                <w:spacing w:val="2"/>
                <w:sz w:val="26"/>
                <w:szCs w:val="26"/>
                <w:lang w:val="es-ES"/>
              </w:rPr>
              <w:t>Nhà thầu không thuộc các trường hợp sau:</w:t>
            </w:r>
          </w:p>
          <w:p w:rsidR="007E45D9" w:rsidRPr="00C972CC" w:rsidRDefault="007E45D9" w:rsidP="00DF7EE3">
            <w:pPr>
              <w:widowControl w:val="0"/>
              <w:tabs>
                <w:tab w:val="left" w:pos="851"/>
              </w:tabs>
              <w:spacing w:before="60" w:after="60"/>
              <w:ind w:right="275" w:firstLine="139"/>
              <w:rPr>
                <w:rFonts w:eastAsia="Calibri"/>
                <w:spacing w:val="2"/>
                <w:sz w:val="26"/>
                <w:szCs w:val="26"/>
                <w:lang w:val="es-ES"/>
              </w:rPr>
            </w:pPr>
            <w:r w:rsidRPr="00C972CC">
              <w:rPr>
                <w:rFonts w:eastAsia="Calibri"/>
                <w:spacing w:val="2"/>
                <w:sz w:val="26"/>
                <w:szCs w:val="26"/>
                <w:lang w:val="es-ES"/>
              </w:rPr>
              <w:t>a) Tiến độ thực hiện hợp đồng: Bị trễ tiế</w:t>
            </w:r>
            <w:r>
              <w:rPr>
                <w:rFonts w:eastAsia="Calibri"/>
                <w:spacing w:val="2"/>
                <w:sz w:val="26"/>
                <w:szCs w:val="26"/>
                <w:lang w:val="es-ES"/>
              </w:rPr>
              <w:t xml:space="preserve">n </w:t>
            </w:r>
            <w:r w:rsidRPr="00C972CC">
              <w:rPr>
                <w:rFonts w:eastAsia="Calibri"/>
                <w:spacing w:val="2"/>
                <w:sz w:val="26"/>
                <w:szCs w:val="26"/>
                <w:lang w:val="es-ES"/>
              </w:rPr>
              <w:t>độ do lỗi của Nhà thầu;</w:t>
            </w:r>
          </w:p>
          <w:p w:rsidR="007E45D9" w:rsidRPr="00C972CC" w:rsidRDefault="007E45D9" w:rsidP="00DF7EE3">
            <w:pPr>
              <w:widowControl w:val="0"/>
              <w:tabs>
                <w:tab w:val="left" w:pos="851"/>
              </w:tabs>
              <w:spacing w:before="60" w:after="60"/>
              <w:ind w:right="275" w:firstLine="139"/>
              <w:rPr>
                <w:rFonts w:eastAsia="Calibri"/>
                <w:spacing w:val="2"/>
                <w:sz w:val="26"/>
                <w:szCs w:val="26"/>
                <w:lang w:val="es-ES"/>
              </w:rPr>
            </w:pPr>
            <w:r w:rsidRPr="00C972CC">
              <w:rPr>
                <w:rFonts w:eastAsia="Calibri"/>
                <w:spacing w:val="2"/>
                <w:sz w:val="26"/>
                <w:szCs w:val="26"/>
                <w:lang w:val="es-ES"/>
              </w:rPr>
              <w:t xml:space="preserve">b) Chất lượng </w:t>
            </w:r>
            <w:r>
              <w:rPr>
                <w:rFonts w:eastAsia="Calibri"/>
                <w:spacing w:val="2"/>
                <w:sz w:val="26"/>
                <w:szCs w:val="26"/>
                <w:lang w:val="es-ES"/>
              </w:rPr>
              <w:t xml:space="preserve">hàng </w:t>
            </w:r>
            <w:proofErr w:type="gramStart"/>
            <w:r>
              <w:rPr>
                <w:rFonts w:eastAsia="Calibri"/>
                <w:spacing w:val="2"/>
                <w:sz w:val="26"/>
                <w:szCs w:val="26"/>
                <w:lang w:val="es-ES"/>
              </w:rPr>
              <w:t>hóa,d</w:t>
            </w:r>
            <w:bookmarkStart w:id="0" w:name="_GoBack"/>
            <w:bookmarkEnd w:id="0"/>
            <w:r>
              <w:rPr>
                <w:rFonts w:eastAsia="Calibri"/>
                <w:spacing w:val="2"/>
                <w:sz w:val="26"/>
                <w:szCs w:val="26"/>
                <w:lang w:val="es-ES"/>
              </w:rPr>
              <w:t>ịch</w:t>
            </w:r>
            <w:proofErr w:type="gramEnd"/>
            <w:r>
              <w:rPr>
                <w:rFonts w:eastAsia="Calibri"/>
                <w:spacing w:val="2"/>
                <w:sz w:val="26"/>
                <w:szCs w:val="26"/>
                <w:lang w:val="es-ES"/>
              </w:rPr>
              <w:t xml:space="preserve"> vụ</w:t>
            </w:r>
            <w:r w:rsidRPr="00C972CC">
              <w:rPr>
                <w:rFonts w:eastAsia="Calibri"/>
                <w:spacing w:val="2"/>
                <w:sz w:val="26"/>
                <w:szCs w:val="26"/>
                <w:lang w:val="es-ES"/>
              </w:rPr>
              <w:t>: Không đả</w:t>
            </w:r>
            <w:r>
              <w:rPr>
                <w:rFonts w:eastAsia="Calibri"/>
                <w:spacing w:val="2"/>
                <w:sz w:val="26"/>
                <w:szCs w:val="26"/>
                <w:lang w:val="es-ES"/>
              </w:rPr>
              <w:t xml:space="preserve">m </w:t>
            </w:r>
            <w:r w:rsidRPr="00C972CC">
              <w:rPr>
                <w:rFonts w:eastAsia="Calibri"/>
                <w:spacing w:val="2"/>
                <w:sz w:val="26"/>
                <w:szCs w:val="26"/>
                <w:lang w:val="es-ES"/>
              </w:rPr>
              <w:t>bảo do lỗi nhà thầu gây ra;</w:t>
            </w:r>
          </w:p>
          <w:p w:rsidR="007E45D9" w:rsidRDefault="007E45D9" w:rsidP="00DF7EE3">
            <w:pPr>
              <w:widowControl w:val="0"/>
              <w:tabs>
                <w:tab w:val="left" w:pos="851"/>
              </w:tabs>
              <w:spacing w:before="60" w:after="60"/>
              <w:ind w:right="275" w:firstLine="139"/>
              <w:rPr>
                <w:rFonts w:eastAsia="Calibri"/>
                <w:spacing w:val="2"/>
                <w:sz w:val="26"/>
                <w:szCs w:val="26"/>
                <w:lang w:val="es-ES"/>
              </w:rPr>
            </w:pPr>
            <w:r w:rsidRPr="00C972CC">
              <w:rPr>
                <w:rFonts w:eastAsia="Calibri"/>
                <w:spacing w:val="2"/>
                <w:sz w:val="26"/>
                <w:szCs w:val="26"/>
                <w:lang w:val="es-ES"/>
              </w:rPr>
              <w:t>c) Vi phạm hợp đồng, bị Chủ đầ</w:t>
            </w:r>
            <w:r>
              <w:rPr>
                <w:rFonts w:eastAsia="Calibri"/>
                <w:spacing w:val="2"/>
                <w:sz w:val="26"/>
                <w:szCs w:val="26"/>
                <w:lang w:val="es-ES"/>
              </w:rPr>
              <w:t xml:space="preserve">u tư </w:t>
            </w:r>
            <w:r w:rsidRPr="00C972CC">
              <w:rPr>
                <w:rFonts w:eastAsia="Calibri"/>
                <w:spacing w:val="2"/>
                <w:sz w:val="26"/>
                <w:szCs w:val="26"/>
                <w:lang w:val="es-ES"/>
              </w:rPr>
              <w:t>chấm dứt hợp đồng do lỗi của Nhà thầu</w:t>
            </w:r>
            <w:r>
              <w:rPr>
                <w:rFonts w:eastAsia="Calibri"/>
                <w:spacing w:val="2"/>
                <w:sz w:val="26"/>
                <w:szCs w:val="26"/>
                <w:lang w:val="es-ES"/>
              </w:rPr>
              <w:t>.</w:t>
            </w:r>
          </w:p>
          <w:p w:rsidR="007E45D9" w:rsidRPr="005C1ED0" w:rsidRDefault="007E45D9" w:rsidP="00DF7EE3">
            <w:pPr>
              <w:pStyle w:val="TableParagraph"/>
              <w:shd w:val="clear" w:color="auto" w:fill="FFFFFF" w:themeFill="background1"/>
              <w:spacing w:line="310" w:lineRule="exact"/>
              <w:ind w:right="275"/>
              <w:rPr>
                <w:sz w:val="26"/>
                <w:szCs w:val="26"/>
              </w:rPr>
            </w:pPr>
            <w:r w:rsidRPr="00B04B6D">
              <w:rPr>
                <w:rFonts w:eastAsia="Calibri"/>
                <w:bCs/>
                <w:spacing w:val="2"/>
                <w:sz w:val="26"/>
                <w:szCs w:val="26"/>
                <w:lang w:val="es-ES"/>
              </w:rPr>
              <w:t>* Trường hợp liên danh thì tất cả các thành</w:t>
            </w:r>
            <w:r>
              <w:rPr>
                <w:rFonts w:eastAsia="Calibri"/>
                <w:bCs/>
                <w:spacing w:val="2"/>
                <w:sz w:val="26"/>
                <w:szCs w:val="26"/>
                <w:lang w:val="es-ES"/>
              </w:rPr>
              <w:t xml:space="preserve"> </w:t>
            </w:r>
            <w:r w:rsidRPr="00B04B6D">
              <w:rPr>
                <w:rFonts w:eastAsia="Calibri"/>
                <w:bCs/>
                <w:spacing w:val="2"/>
                <w:sz w:val="26"/>
                <w:szCs w:val="26"/>
                <w:lang w:val="es-ES"/>
              </w:rPr>
              <w:t>viên</w:t>
            </w:r>
            <w:r>
              <w:rPr>
                <w:rFonts w:eastAsia="Calibri"/>
                <w:bCs/>
                <w:spacing w:val="2"/>
                <w:sz w:val="26"/>
                <w:szCs w:val="26"/>
                <w:lang w:val="es-ES"/>
              </w:rPr>
              <w:t xml:space="preserve"> </w:t>
            </w:r>
            <w:r w:rsidRPr="00B04B6D">
              <w:rPr>
                <w:rFonts w:eastAsia="Calibri"/>
                <w:bCs/>
                <w:spacing w:val="2"/>
                <w:sz w:val="26"/>
                <w:szCs w:val="26"/>
                <w:lang w:val="es-ES"/>
              </w:rPr>
              <w:t>trong liên danh phải đáp ứng nội dung</w:t>
            </w:r>
            <w:r>
              <w:rPr>
                <w:rFonts w:eastAsia="Calibri"/>
                <w:bCs/>
                <w:spacing w:val="2"/>
                <w:sz w:val="26"/>
                <w:szCs w:val="26"/>
                <w:lang w:val="es-ES"/>
              </w:rPr>
              <w:t xml:space="preserve">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87" w:line="256" w:lineRule="auto"/>
              <w:ind w:right="398"/>
              <w:jc w:val="right"/>
              <w:rPr>
                <w:b/>
                <w:sz w:val="26"/>
                <w:szCs w:val="26"/>
              </w:rPr>
            </w:pPr>
            <w:r w:rsidRPr="005C1ED0">
              <w:rPr>
                <w:b/>
                <w:sz w:val="26"/>
                <w:szCs w:val="26"/>
              </w:rPr>
              <w:t>Đạt</w:t>
            </w:r>
          </w:p>
        </w:tc>
      </w:tr>
      <w:tr w:rsidR="007E45D9" w:rsidRPr="005C1ED0" w:rsidTr="00DF7EE3">
        <w:trPr>
          <w:trHeight w:val="818"/>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line="315" w:lineRule="exact"/>
              <w:ind w:left="105"/>
              <w:rPr>
                <w:sz w:val="26"/>
                <w:szCs w:val="26"/>
              </w:rPr>
            </w:pPr>
            <w:bookmarkStart w:id="1" w:name="_Toc159507032"/>
            <w:bookmarkStart w:id="2" w:name="_Toc159508585"/>
            <w:bookmarkStart w:id="3" w:name="_Toc159508871"/>
            <w:bookmarkStart w:id="4" w:name="_Toc159509072"/>
            <w:r>
              <w:rPr>
                <w:rFonts w:eastAsia="Calibri"/>
                <w:bCs/>
                <w:spacing w:val="2"/>
                <w:sz w:val="26"/>
                <w:szCs w:val="26"/>
              </w:rPr>
              <w:t xml:space="preserve">Không </w:t>
            </w:r>
            <w:r w:rsidRPr="00A115A4">
              <w:rPr>
                <w:rFonts w:eastAsia="Calibri"/>
                <w:bCs/>
                <w:spacing w:val="2"/>
                <w:sz w:val="26"/>
                <w:szCs w:val="26"/>
              </w:rPr>
              <w:t>đáp ứng yêu cầu nêu trên</w:t>
            </w:r>
            <w:bookmarkEnd w:id="1"/>
            <w:bookmarkEnd w:id="2"/>
            <w:bookmarkEnd w:id="3"/>
            <w:bookmarkEnd w:id="4"/>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 w:line="322" w:lineRule="exact"/>
              <w:ind w:left="446" w:right="193" w:hanging="219"/>
              <w:rPr>
                <w:b/>
                <w:sz w:val="26"/>
                <w:szCs w:val="26"/>
              </w:rPr>
            </w:pPr>
            <w:r w:rsidRPr="005C1ED0">
              <w:rPr>
                <w:b/>
                <w:sz w:val="26"/>
                <w:szCs w:val="26"/>
              </w:rPr>
              <w:t>Không đạt</w:t>
            </w:r>
          </w:p>
        </w:tc>
      </w:tr>
      <w:tr w:rsidR="007E45D9" w:rsidRPr="005C1ED0" w:rsidTr="00DF7EE3">
        <w:trPr>
          <w:trHeight w:val="645"/>
        </w:trPr>
        <w:tc>
          <w:tcPr>
            <w:tcW w:w="1860" w:type="pct"/>
            <w:vMerge w:val="restart"/>
            <w:tcBorders>
              <w:top w:val="single" w:sz="4" w:space="0" w:color="000000"/>
              <w:left w:val="single" w:sz="4" w:space="0" w:color="000000"/>
              <w:bottom w:val="single" w:sz="4" w:space="0" w:color="000000"/>
              <w:right w:val="single" w:sz="4" w:space="0" w:color="000000"/>
            </w:tcBorders>
          </w:tcPr>
          <w:p w:rsidR="007E45D9" w:rsidRPr="005C1ED0" w:rsidRDefault="007E45D9" w:rsidP="00DF7EE3">
            <w:pPr>
              <w:pStyle w:val="TableParagraph"/>
              <w:shd w:val="clear" w:color="auto" w:fill="FFFFFF" w:themeFill="background1"/>
              <w:spacing w:before="11" w:line="256" w:lineRule="auto"/>
              <w:rPr>
                <w:sz w:val="26"/>
                <w:szCs w:val="26"/>
              </w:rPr>
            </w:pPr>
          </w:p>
          <w:p w:rsidR="007E45D9" w:rsidRPr="005C1ED0" w:rsidRDefault="007E45D9" w:rsidP="00DF7EE3">
            <w:pPr>
              <w:pStyle w:val="TableParagraph"/>
              <w:shd w:val="clear" w:color="auto" w:fill="FFFFFF" w:themeFill="background1"/>
              <w:spacing w:line="256" w:lineRule="auto"/>
              <w:ind w:left="856" w:right="1136"/>
              <w:jc w:val="center"/>
              <w:rPr>
                <w:b/>
                <w:sz w:val="26"/>
                <w:szCs w:val="26"/>
              </w:rPr>
            </w:pPr>
            <w:r>
              <w:rPr>
                <w:b/>
                <w:sz w:val="26"/>
                <w:szCs w:val="26"/>
              </w:rPr>
              <w:t xml:space="preserve">Kết </w:t>
            </w:r>
            <w:r w:rsidRPr="005C1ED0">
              <w:rPr>
                <w:b/>
                <w:sz w:val="26"/>
                <w:szCs w:val="26"/>
              </w:rPr>
              <w:t>luận</w:t>
            </w: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53" w:line="256" w:lineRule="auto"/>
              <w:ind w:left="105"/>
              <w:rPr>
                <w:sz w:val="26"/>
                <w:szCs w:val="26"/>
              </w:rPr>
            </w:pPr>
            <w:r w:rsidRPr="005C1ED0">
              <w:rPr>
                <w:sz w:val="26"/>
                <w:szCs w:val="26"/>
              </w:rPr>
              <w:t>Đạt tất cả các nội dung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220" w:line="256" w:lineRule="auto"/>
              <w:ind w:left="386"/>
              <w:rPr>
                <w:b/>
                <w:sz w:val="26"/>
                <w:szCs w:val="26"/>
              </w:rPr>
            </w:pPr>
            <w:r w:rsidRPr="005C1ED0">
              <w:rPr>
                <w:b/>
                <w:sz w:val="26"/>
                <w:szCs w:val="26"/>
              </w:rPr>
              <w:t>Đạt</w:t>
            </w:r>
          </w:p>
        </w:tc>
      </w:tr>
      <w:tr w:rsidR="007E45D9" w:rsidRPr="005C1ED0" w:rsidTr="00DF7EE3">
        <w:trPr>
          <w:trHeight w:val="765"/>
        </w:trPr>
        <w:tc>
          <w:tcPr>
            <w:tcW w:w="1860" w:type="pct"/>
            <w:vMerge/>
            <w:tcBorders>
              <w:top w:val="single" w:sz="4" w:space="0" w:color="000000"/>
              <w:left w:val="single" w:sz="4" w:space="0" w:color="000000"/>
              <w:bottom w:val="single" w:sz="4" w:space="0" w:color="000000"/>
              <w:right w:val="single" w:sz="4" w:space="0" w:color="000000"/>
            </w:tcBorders>
            <w:vAlign w:val="center"/>
            <w:hideMark/>
          </w:tcPr>
          <w:p w:rsidR="007E45D9" w:rsidRPr="005C1ED0" w:rsidRDefault="007E45D9" w:rsidP="00DF7EE3">
            <w:pPr>
              <w:jc w:val="left"/>
              <w:rPr>
                <w:b/>
                <w:sz w:val="26"/>
                <w:szCs w:val="26"/>
              </w:rPr>
            </w:pPr>
          </w:p>
        </w:tc>
        <w:tc>
          <w:tcPr>
            <w:tcW w:w="2448" w:type="pct"/>
            <w:gridSpan w:val="2"/>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line="315" w:lineRule="exact"/>
              <w:ind w:left="105"/>
              <w:rPr>
                <w:sz w:val="26"/>
                <w:szCs w:val="26"/>
              </w:rPr>
            </w:pPr>
            <w:r w:rsidRPr="005C1ED0">
              <w:rPr>
                <w:sz w:val="26"/>
                <w:szCs w:val="26"/>
              </w:rPr>
              <w:t>Không đạt 1 trong các nội dung trên.</w:t>
            </w:r>
          </w:p>
        </w:tc>
        <w:tc>
          <w:tcPr>
            <w:tcW w:w="692" w:type="pct"/>
            <w:tcBorders>
              <w:top w:val="single" w:sz="4" w:space="0" w:color="000000"/>
              <w:left w:val="single" w:sz="4" w:space="0" w:color="000000"/>
              <w:bottom w:val="single" w:sz="4" w:space="0" w:color="000000"/>
              <w:right w:val="single" w:sz="4" w:space="0" w:color="000000"/>
            </w:tcBorders>
            <w:hideMark/>
          </w:tcPr>
          <w:p w:rsidR="007E45D9" w:rsidRPr="005C1ED0" w:rsidRDefault="007E45D9" w:rsidP="00DF7EE3">
            <w:pPr>
              <w:pStyle w:val="TableParagraph"/>
              <w:shd w:val="clear" w:color="auto" w:fill="FFFFFF" w:themeFill="background1"/>
              <w:spacing w:before="121" w:line="322" w:lineRule="exact"/>
              <w:ind w:left="413" w:right="219" w:hanging="212"/>
              <w:rPr>
                <w:b/>
                <w:sz w:val="26"/>
                <w:szCs w:val="26"/>
              </w:rPr>
            </w:pPr>
            <w:r w:rsidRPr="005C1ED0">
              <w:rPr>
                <w:b/>
                <w:sz w:val="26"/>
                <w:szCs w:val="26"/>
              </w:rPr>
              <w:t>Không đạt</w:t>
            </w:r>
          </w:p>
        </w:tc>
      </w:tr>
    </w:tbl>
    <w:p w:rsidR="00316239" w:rsidRDefault="00316239"/>
    <w:sectPr w:rsidR="00316239" w:rsidSect="007E45D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52E6A"/>
    <w:multiLevelType w:val="hybridMultilevel"/>
    <w:tmpl w:val="CBD2CBD6"/>
    <w:lvl w:ilvl="0" w:tplc="86143552">
      <w:numFmt w:val="bullet"/>
      <w:lvlText w:val="-"/>
      <w:lvlJc w:val="left"/>
      <w:pPr>
        <w:ind w:left="52" w:hanging="209"/>
      </w:pPr>
      <w:rPr>
        <w:rFonts w:ascii="Times New Roman" w:eastAsia="Times New Roman" w:hAnsi="Times New Roman" w:cs="Times New Roman" w:hint="default"/>
        <w:w w:val="100"/>
        <w:sz w:val="28"/>
        <w:szCs w:val="28"/>
        <w:lang w:eastAsia="en-US" w:bidi="ar-SA"/>
      </w:rPr>
    </w:lvl>
    <w:lvl w:ilvl="1" w:tplc="D0F6FE66">
      <w:numFmt w:val="bullet"/>
      <w:lvlText w:val="•"/>
      <w:lvlJc w:val="left"/>
      <w:pPr>
        <w:ind w:left="494" w:hanging="209"/>
      </w:pPr>
      <w:rPr>
        <w:lang w:eastAsia="en-US" w:bidi="ar-SA"/>
      </w:rPr>
    </w:lvl>
    <w:lvl w:ilvl="2" w:tplc="5A5CECBC">
      <w:numFmt w:val="bullet"/>
      <w:lvlText w:val="•"/>
      <w:lvlJc w:val="left"/>
      <w:pPr>
        <w:ind w:left="928" w:hanging="209"/>
      </w:pPr>
      <w:rPr>
        <w:lang w:eastAsia="en-US" w:bidi="ar-SA"/>
      </w:rPr>
    </w:lvl>
    <w:lvl w:ilvl="3" w:tplc="A28A23A2">
      <w:numFmt w:val="bullet"/>
      <w:lvlText w:val="•"/>
      <w:lvlJc w:val="left"/>
      <w:pPr>
        <w:ind w:left="1362" w:hanging="209"/>
      </w:pPr>
      <w:rPr>
        <w:lang w:eastAsia="en-US" w:bidi="ar-SA"/>
      </w:rPr>
    </w:lvl>
    <w:lvl w:ilvl="4" w:tplc="582ABAF2">
      <w:numFmt w:val="bullet"/>
      <w:lvlText w:val="•"/>
      <w:lvlJc w:val="left"/>
      <w:pPr>
        <w:ind w:left="1796" w:hanging="209"/>
      </w:pPr>
      <w:rPr>
        <w:lang w:eastAsia="en-US" w:bidi="ar-SA"/>
      </w:rPr>
    </w:lvl>
    <w:lvl w:ilvl="5" w:tplc="80F0E6F8">
      <w:numFmt w:val="bullet"/>
      <w:lvlText w:val="•"/>
      <w:lvlJc w:val="left"/>
      <w:pPr>
        <w:ind w:left="2231" w:hanging="209"/>
      </w:pPr>
      <w:rPr>
        <w:lang w:eastAsia="en-US" w:bidi="ar-SA"/>
      </w:rPr>
    </w:lvl>
    <w:lvl w:ilvl="6" w:tplc="49D26F18">
      <w:numFmt w:val="bullet"/>
      <w:lvlText w:val="•"/>
      <w:lvlJc w:val="left"/>
      <w:pPr>
        <w:ind w:left="2665" w:hanging="209"/>
      </w:pPr>
      <w:rPr>
        <w:lang w:eastAsia="en-US" w:bidi="ar-SA"/>
      </w:rPr>
    </w:lvl>
    <w:lvl w:ilvl="7" w:tplc="555AB248">
      <w:numFmt w:val="bullet"/>
      <w:lvlText w:val="•"/>
      <w:lvlJc w:val="left"/>
      <w:pPr>
        <w:ind w:left="3099" w:hanging="209"/>
      </w:pPr>
      <w:rPr>
        <w:lang w:eastAsia="en-US" w:bidi="ar-SA"/>
      </w:rPr>
    </w:lvl>
    <w:lvl w:ilvl="8" w:tplc="EE4C5C50">
      <w:numFmt w:val="bullet"/>
      <w:lvlText w:val="•"/>
      <w:lvlJc w:val="left"/>
      <w:pPr>
        <w:ind w:left="3533" w:hanging="209"/>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8D"/>
    <w:rsid w:val="00316239"/>
    <w:rsid w:val="007E45D9"/>
    <w:rsid w:val="00BC608D"/>
    <w:rsid w:val="00B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3D341-408E-4092-9FEE-8C6D5894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D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E45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7E45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HUNG</dc:creator>
  <cp:keywords/>
  <dc:description/>
  <cp:lastModifiedBy>PHAM HUNG</cp:lastModifiedBy>
  <cp:revision>2</cp:revision>
  <dcterms:created xsi:type="dcterms:W3CDTF">2025-12-08T03:01:00Z</dcterms:created>
  <dcterms:modified xsi:type="dcterms:W3CDTF">2025-12-08T03:01:00Z</dcterms:modified>
</cp:coreProperties>
</file>