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898" w14:textId="77777777" w:rsidR="009549DB" w:rsidRPr="009549DB" w:rsidRDefault="009549DB" w:rsidP="009549DB">
      <w:pPr>
        <w:tabs>
          <w:tab w:val="right" w:leader="dot" w:pos="9062"/>
        </w:tabs>
        <w:spacing w:before="80" w:after="80" w:line="264" w:lineRule="auto"/>
        <w:ind w:firstLine="709"/>
        <w:jc w:val="both"/>
        <w:outlineLvl w:val="2"/>
        <w:rPr>
          <w:rFonts w:eastAsia="Batang" w:cs="Times New Roman"/>
          <w:b/>
          <w:bCs/>
          <w:iCs/>
          <w:noProof/>
          <w:kern w:val="36"/>
          <w:sz w:val="28"/>
          <w:szCs w:val="28"/>
          <w:lang w:val="nl-NL"/>
        </w:rPr>
      </w:pPr>
      <w:r w:rsidRPr="009549DB">
        <w:rPr>
          <w:rFonts w:eastAsia="Batang" w:cs="Times New Roman"/>
          <w:b/>
          <w:bCs/>
          <w:iCs/>
          <w:noProof/>
          <w:kern w:val="36"/>
          <w:sz w:val="28"/>
          <w:szCs w:val="28"/>
          <w:lang w:val="nl-NL"/>
        </w:rPr>
        <w:t xml:space="preserve">Mục </w:t>
      </w:r>
      <w:r w:rsidRPr="009549DB">
        <w:rPr>
          <w:rFonts w:eastAsia="Batang" w:cs="Times New Roman"/>
          <w:b/>
          <w:bCs/>
          <w:iCs/>
          <w:noProof/>
          <w:kern w:val="36"/>
          <w:sz w:val="28"/>
          <w:szCs w:val="28"/>
          <w:lang w:val="pl-PL"/>
        </w:rPr>
        <w:t>3</w:t>
      </w:r>
      <w:r w:rsidRPr="009549DB">
        <w:rPr>
          <w:rFonts w:eastAsia="Batang" w:cs="Times New Roman"/>
          <w:b/>
          <w:bCs/>
          <w:iCs/>
          <w:noProof/>
          <w:kern w:val="36"/>
          <w:sz w:val="28"/>
          <w:szCs w:val="28"/>
          <w:lang w:val="nl-NL"/>
        </w:rPr>
        <w:t>. Tiêu chuẩn đánh giá về kỹ thuật</w:t>
      </w:r>
    </w:p>
    <w:p w14:paraId="222F01E7" w14:textId="77777777" w:rsidR="009549DB" w:rsidRPr="009549DB" w:rsidRDefault="009549DB" w:rsidP="009549DB">
      <w:pPr>
        <w:spacing w:line="264" w:lineRule="auto"/>
        <w:ind w:firstLine="709"/>
        <w:jc w:val="both"/>
        <w:rPr>
          <w:rFonts w:eastAsia="Times New Roman" w:cs="Times New Roman"/>
          <w:b/>
          <w:szCs w:val="26"/>
          <w:lang w:val="es-ES"/>
        </w:rPr>
      </w:pPr>
      <w:r w:rsidRPr="009549DB">
        <w:rPr>
          <w:rFonts w:eastAsia="Times New Roman" w:cs="Times New Roman"/>
          <w:b/>
          <w:iCs/>
          <w:szCs w:val="26"/>
          <w:lang w:val="es-ES"/>
        </w:rPr>
        <w:t>Đánh giá theo tiêu chí Đạt/Không đạt</w:t>
      </w:r>
      <w:r w:rsidRPr="009549DB">
        <w:rPr>
          <w:rFonts w:eastAsia="Times New Roman" w:cs="Times New Roman"/>
          <w:b/>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624"/>
        <w:gridCol w:w="4424"/>
        <w:gridCol w:w="2014"/>
      </w:tblGrid>
      <w:tr w:rsidR="009549DB" w:rsidRPr="009549DB" w14:paraId="0E6600E0" w14:textId="77777777" w:rsidTr="00F4141D">
        <w:trPr>
          <w:trHeight w:val="602"/>
          <w:tblHeader/>
        </w:trPr>
        <w:tc>
          <w:tcPr>
            <w:tcW w:w="3889" w:type="pct"/>
            <w:gridSpan w:val="2"/>
            <w:vAlign w:val="center"/>
          </w:tcPr>
          <w:p w14:paraId="0068B6DD" w14:textId="77777777" w:rsidR="009549DB" w:rsidRPr="009549DB" w:rsidRDefault="009549DB" w:rsidP="009549DB">
            <w:pPr>
              <w:widowControl w:val="0"/>
              <w:spacing w:before="60" w:after="60"/>
              <w:jc w:val="center"/>
              <w:rPr>
                <w:rFonts w:eastAsia="SimSun" w:cs="Times New Roman"/>
                <w:b/>
                <w:kern w:val="2"/>
                <w:szCs w:val="26"/>
                <w:lang w:eastAsia="zh-CN"/>
              </w:rPr>
            </w:pPr>
            <w:bookmarkStart w:id="0" w:name="OLE_LINK27"/>
            <w:bookmarkStart w:id="1" w:name="OLE_LINK28"/>
            <w:r w:rsidRPr="009549DB">
              <w:rPr>
                <w:rFonts w:eastAsia="SimSun" w:cs="Times New Roman"/>
                <w:b/>
                <w:kern w:val="2"/>
                <w:szCs w:val="26"/>
                <w:lang w:eastAsia="zh-CN"/>
              </w:rPr>
              <w:t>Nội dung đánh giá</w:t>
            </w:r>
          </w:p>
        </w:tc>
        <w:tc>
          <w:tcPr>
            <w:tcW w:w="1111" w:type="pct"/>
            <w:vAlign w:val="center"/>
          </w:tcPr>
          <w:p w14:paraId="4C3BFBC0" w14:textId="77777777" w:rsidR="009549DB" w:rsidRPr="009549DB" w:rsidRDefault="009549DB" w:rsidP="009549DB">
            <w:pPr>
              <w:widowControl w:val="0"/>
              <w:spacing w:before="60" w:after="60"/>
              <w:jc w:val="center"/>
              <w:rPr>
                <w:rFonts w:eastAsia="SimSun" w:cs="Times New Roman"/>
                <w:b/>
                <w:kern w:val="2"/>
                <w:szCs w:val="26"/>
                <w:lang w:eastAsia="zh-CN"/>
              </w:rPr>
            </w:pPr>
            <w:r w:rsidRPr="009549DB">
              <w:rPr>
                <w:rFonts w:eastAsia="SimSun" w:cs="Times New Roman"/>
                <w:b/>
                <w:kern w:val="2"/>
                <w:szCs w:val="26"/>
                <w:lang w:eastAsia="zh-CN"/>
              </w:rPr>
              <w:t>Đánh giá</w:t>
            </w:r>
          </w:p>
          <w:p w14:paraId="3435C8D2" w14:textId="77777777" w:rsidR="009549DB" w:rsidRPr="009549DB" w:rsidRDefault="009549DB" w:rsidP="009549DB">
            <w:pPr>
              <w:widowControl w:val="0"/>
              <w:spacing w:before="60" w:after="60"/>
              <w:jc w:val="center"/>
              <w:rPr>
                <w:rFonts w:eastAsia="SimSun" w:cs="Times New Roman"/>
                <w:b/>
                <w:kern w:val="2"/>
                <w:szCs w:val="26"/>
                <w:lang w:eastAsia="zh-CN"/>
              </w:rPr>
            </w:pPr>
            <w:r w:rsidRPr="009549DB">
              <w:rPr>
                <w:rFonts w:eastAsia="SimSun" w:cs="Times New Roman"/>
                <w:b/>
                <w:kern w:val="2"/>
                <w:szCs w:val="26"/>
                <w:lang w:eastAsia="zh-CN"/>
              </w:rPr>
              <w:t>(đạt/không đạt)</w:t>
            </w:r>
          </w:p>
        </w:tc>
      </w:tr>
      <w:tr w:rsidR="009549DB" w:rsidRPr="009549DB" w14:paraId="75F087F1" w14:textId="77777777" w:rsidTr="00F4141D">
        <w:tc>
          <w:tcPr>
            <w:tcW w:w="5000" w:type="pct"/>
            <w:gridSpan w:val="3"/>
            <w:vAlign w:val="center"/>
          </w:tcPr>
          <w:p w14:paraId="7A3C4A04" w14:textId="77777777" w:rsidR="009549DB" w:rsidRPr="009549DB" w:rsidRDefault="009549DB" w:rsidP="009549DB">
            <w:pPr>
              <w:widowControl w:val="0"/>
              <w:spacing w:before="60" w:after="60"/>
              <w:jc w:val="both"/>
              <w:rPr>
                <w:rFonts w:eastAsia="SimSun" w:cs="Times New Roman"/>
                <w:b/>
                <w:kern w:val="2"/>
                <w:szCs w:val="26"/>
                <w:lang w:eastAsia="zh-CN"/>
              </w:rPr>
            </w:pPr>
            <w:r w:rsidRPr="009549DB">
              <w:rPr>
                <w:rFonts w:eastAsia="SimSun" w:cs="Times New Roman"/>
                <w:b/>
                <w:kern w:val="2"/>
                <w:szCs w:val="26"/>
                <w:lang w:eastAsia="zh-CN"/>
              </w:rPr>
              <w:t>1. Đặc tính, thông số kỹ thuật của hàng hóa</w:t>
            </w:r>
          </w:p>
        </w:tc>
      </w:tr>
      <w:tr w:rsidR="009549DB" w:rsidRPr="009549DB" w14:paraId="65068D76" w14:textId="77777777" w:rsidTr="00F4141D">
        <w:tc>
          <w:tcPr>
            <w:tcW w:w="1448" w:type="pct"/>
            <w:vMerge w:val="restart"/>
            <w:vAlign w:val="center"/>
          </w:tcPr>
          <w:p w14:paraId="279C1892"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a. Đặc tính, thông số kỹ thuật của hàng hóa</w:t>
            </w:r>
          </w:p>
        </w:tc>
        <w:tc>
          <w:tcPr>
            <w:tcW w:w="2441" w:type="pct"/>
            <w:vAlign w:val="center"/>
          </w:tcPr>
          <w:p w14:paraId="2A6761CC" w14:textId="77777777" w:rsidR="009549DB" w:rsidRPr="009549DB" w:rsidRDefault="009549DB" w:rsidP="009549DB">
            <w:pPr>
              <w:widowControl w:val="0"/>
              <w:spacing w:before="60" w:after="60"/>
              <w:jc w:val="both"/>
              <w:rPr>
                <w:rFonts w:eastAsia="SimSun" w:cs="Times New Roman"/>
                <w:kern w:val="2"/>
                <w:szCs w:val="26"/>
                <w:lang w:eastAsia="zh-CN"/>
              </w:rPr>
            </w:pPr>
            <w:bookmarkStart w:id="2" w:name="OLE_LINK123"/>
            <w:r w:rsidRPr="009549DB">
              <w:rPr>
                <w:rFonts w:eastAsia="SimSun" w:cs="Times New Roman"/>
                <w:kern w:val="2"/>
                <w:szCs w:val="26"/>
                <w:lang w:eastAsia="zh-CN"/>
              </w:rPr>
              <w:t>Đáp ứng đầy đủ theo yêu cầu của E-HSMT nêu tại Chương V E-HSMT.</w:t>
            </w:r>
            <w:bookmarkEnd w:id="2"/>
          </w:p>
        </w:tc>
        <w:tc>
          <w:tcPr>
            <w:tcW w:w="1111" w:type="pct"/>
            <w:vAlign w:val="center"/>
          </w:tcPr>
          <w:p w14:paraId="5B1F90E5" w14:textId="77777777" w:rsidR="009549DB" w:rsidRPr="009549DB" w:rsidRDefault="009549DB" w:rsidP="009549DB">
            <w:pPr>
              <w:widowControl w:val="0"/>
              <w:spacing w:before="60" w:after="60"/>
              <w:jc w:val="center"/>
              <w:rPr>
                <w:rFonts w:eastAsia="SimSun" w:cs="Times New Roman"/>
                <w:kern w:val="2"/>
                <w:szCs w:val="26"/>
                <w:lang w:eastAsia="zh-CN"/>
              </w:rPr>
            </w:pPr>
            <w:r w:rsidRPr="009549DB">
              <w:rPr>
                <w:rFonts w:eastAsia="SimSun" w:cs="Times New Roman"/>
                <w:kern w:val="2"/>
                <w:szCs w:val="26"/>
                <w:lang w:eastAsia="zh-CN"/>
              </w:rPr>
              <w:t>Đạt</w:t>
            </w:r>
          </w:p>
        </w:tc>
      </w:tr>
      <w:tr w:rsidR="009549DB" w:rsidRPr="009549DB" w14:paraId="39ADED01" w14:textId="77777777" w:rsidTr="00F4141D">
        <w:tc>
          <w:tcPr>
            <w:tcW w:w="1448" w:type="pct"/>
            <w:vMerge/>
          </w:tcPr>
          <w:p w14:paraId="476DD3C4" w14:textId="77777777" w:rsidR="009549DB" w:rsidRPr="009549DB" w:rsidRDefault="009549DB" w:rsidP="009549DB">
            <w:pPr>
              <w:widowControl w:val="0"/>
              <w:spacing w:before="60" w:after="60"/>
              <w:jc w:val="both"/>
              <w:rPr>
                <w:rFonts w:eastAsia="SimSun" w:cs="Times New Roman"/>
                <w:kern w:val="2"/>
                <w:szCs w:val="26"/>
                <w:lang w:eastAsia="zh-CN"/>
              </w:rPr>
            </w:pPr>
          </w:p>
        </w:tc>
        <w:tc>
          <w:tcPr>
            <w:tcW w:w="2441" w:type="pct"/>
            <w:vAlign w:val="center"/>
          </w:tcPr>
          <w:p w14:paraId="5B61CF42"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Không đáp ứng hoặc đáp ứng không đầy đủ theo yêu nêu tại Chương V E-HSMT</w:t>
            </w:r>
          </w:p>
        </w:tc>
        <w:tc>
          <w:tcPr>
            <w:tcW w:w="1111" w:type="pct"/>
            <w:vAlign w:val="center"/>
          </w:tcPr>
          <w:p w14:paraId="5258F4A3" w14:textId="77777777" w:rsidR="009549DB" w:rsidRPr="009549DB" w:rsidRDefault="009549DB" w:rsidP="009549DB">
            <w:pPr>
              <w:widowControl w:val="0"/>
              <w:spacing w:before="60" w:after="60"/>
              <w:jc w:val="center"/>
              <w:rPr>
                <w:rFonts w:eastAsia="SimSun" w:cs="Times New Roman"/>
                <w:kern w:val="2"/>
                <w:szCs w:val="26"/>
                <w:lang w:eastAsia="zh-CN"/>
              </w:rPr>
            </w:pPr>
            <w:r w:rsidRPr="009549DB">
              <w:rPr>
                <w:rFonts w:eastAsia="SimSun" w:cs="Times New Roman"/>
                <w:kern w:val="2"/>
                <w:szCs w:val="26"/>
                <w:lang w:eastAsia="zh-CN"/>
              </w:rPr>
              <w:t>Không đạt</w:t>
            </w:r>
          </w:p>
        </w:tc>
      </w:tr>
      <w:tr w:rsidR="009549DB" w:rsidRPr="009549DB" w14:paraId="15F9B6B9" w14:textId="77777777" w:rsidTr="00F4141D">
        <w:tc>
          <w:tcPr>
            <w:tcW w:w="1448" w:type="pct"/>
            <w:vMerge w:val="restart"/>
          </w:tcPr>
          <w:p w14:paraId="606A0665"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b. Tính hợp lệ của hàng hóa</w:t>
            </w:r>
          </w:p>
        </w:tc>
        <w:tc>
          <w:tcPr>
            <w:tcW w:w="2441" w:type="pct"/>
            <w:vAlign w:val="center"/>
          </w:tcPr>
          <w:p w14:paraId="5E843206"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Cung cấp đầy đủ tài liệu chứng minh tính hợp lệ của hàng hóa theo yêu cầu của E-HSMT nêu tại Chương V E-HSMT.</w:t>
            </w:r>
          </w:p>
        </w:tc>
        <w:tc>
          <w:tcPr>
            <w:tcW w:w="1111" w:type="pct"/>
            <w:vAlign w:val="center"/>
          </w:tcPr>
          <w:p w14:paraId="107FE826" w14:textId="77777777" w:rsidR="009549DB" w:rsidRPr="009549DB" w:rsidRDefault="009549DB" w:rsidP="009549DB">
            <w:pPr>
              <w:widowControl w:val="0"/>
              <w:spacing w:before="60" w:after="60"/>
              <w:jc w:val="center"/>
              <w:rPr>
                <w:rFonts w:eastAsia="SimSun" w:cs="Times New Roman"/>
                <w:kern w:val="2"/>
                <w:szCs w:val="26"/>
                <w:lang w:eastAsia="zh-CN"/>
              </w:rPr>
            </w:pPr>
            <w:r w:rsidRPr="009549DB">
              <w:rPr>
                <w:rFonts w:eastAsia="SimSun" w:cs="Times New Roman"/>
                <w:kern w:val="2"/>
                <w:szCs w:val="26"/>
                <w:lang w:eastAsia="zh-CN"/>
              </w:rPr>
              <w:t>Đạt</w:t>
            </w:r>
          </w:p>
        </w:tc>
      </w:tr>
      <w:tr w:rsidR="009549DB" w:rsidRPr="009549DB" w14:paraId="560CBEF9" w14:textId="77777777" w:rsidTr="00F4141D">
        <w:tc>
          <w:tcPr>
            <w:tcW w:w="1448" w:type="pct"/>
            <w:vMerge/>
          </w:tcPr>
          <w:p w14:paraId="27E3A489" w14:textId="77777777" w:rsidR="009549DB" w:rsidRPr="009549DB" w:rsidRDefault="009549DB" w:rsidP="009549DB">
            <w:pPr>
              <w:widowControl w:val="0"/>
              <w:spacing w:before="60" w:after="60"/>
              <w:jc w:val="both"/>
              <w:rPr>
                <w:rFonts w:eastAsia="SimSun" w:cs="Times New Roman"/>
                <w:kern w:val="2"/>
                <w:szCs w:val="26"/>
                <w:lang w:eastAsia="zh-CN"/>
              </w:rPr>
            </w:pPr>
          </w:p>
        </w:tc>
        <w:tc>
          <w:tcPr>
            <w:tcW w:w="2441" w:type="pct"/>
            <w:vAlign w:val="center"/>
          </w:tcPr>
          <w:p w14:paraId="632BE0A0"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Cung cấp không đầy đủ tài liệu chứng minh tính hợp lệ của hàng hóa theo yêu cầu của E-HSMT nêu tại Chương V E-HSMT.</w:t>
            </w:r>
          </w:p>
        </w:tc>
        <w:tc>
          <w:tcPr>
            <w:tcW w:w="1111" w:type="pct"/>
            <w:vAlign w:val="center"/>
          </w:tcPr>
          <w:p w14:paraId="2555578F" w14:textId="77777777" w:rsidR="009549DB" w:rsidRPr="009549DB" w:rsidRDefault="009549DB" w:rsidP="009549DB">
            <w:pPr>
              <w:widowControl w:val="0"/>
              <w:spacing w:before="60" w:after="60"/>
              <w:jc w:val="center"/>
              <w:rPr>
                <w:rFonts w:eastAsia="SimSun" w:cs="Times New Roman"/>
                <w:kern w:val="2"/>
                <w:szCs w:val="26"/>
                <w:lang w:eastAsia="zh-CN"/>
              </w:rPr>
            </w:pPr>
            <w:r w:rsidRPr="009549DB">
              <w:rPr>
                <w:rFonts w:eastAsia="SimSun" w:cs="Times New Roman"/>
                <w:kern w:val="2"/>
                <w:szCs w:val="26"/>
                <w:lang w:eastAsia="zh-CN"/>
              </w:rPr>
              <w:t>Không đạt</w:t>
            </w:r>
          </w:p>
        </w:tc>
      </w:tr>
      <w:tr w:rsidR="009549DB" w:rsidRPr="009549DB" w14:paraId="289E07BD" w14:textId="77777777" w:rsidTr="00F4141D">
        <w:trPr>
          <w:trHeight w:val="456"/>
        </w:trPr>
        <w:tc>
          <w:tcPr>
            <w:tcW w:w="5000" w:type="pct"/>
            <w:gridSpan w:val="3"/>
          </w:tcPr>
          <w:p w14:paraId="42072EDF" w14:textId="77777777" w:rsidR="009549DB" w:rsidRPr="009549DB" w:rsidRDefault="009549DB" w:rsidP="009549DB">
            <w:pPr>
              <w:widowControl w:val="0"/>
              <w:spacing w:before="60" w:after="60"/>
              <w:jc w:val="both"/>
              <w:rPr>
                <w:rFonts w:eastAsia="SimSun" w:cs="Times New Roman"/>
                <w:b/>
                <w:kern w:val="2"/>
                <w:szCs w:val="26"/>
                <w:lang w:eastAsia="zh-CN"/>
              </w:rPr>
            </w:pPr>
            <w:r w:rsidRPr="009549DB">
              <w:rPr>
                <w:rFonts w:eastAsia="SimSun" w:cs="Times New Roman"/>
                <w:b/>
                <w:kern w:val="2"/>
                <w:szCs w:val="26"/>
                <w:lang w:eastAsia="zh-CN"/>
              </w:rPr>
              <w:t>2. Tính hợp lý và hiệu quả kinh tế của các giải pháp kỹ thuật, biện pháp tổ chức cung cấp, lắp đặt hàng hóa, thực hiện các dịch vụ liên quan</w:t>
            </w:r>
          </w:p>
        </w:tc>
      </w:tr>
      <w:tr w:rsidR="009549DB" w:rsidRPr="009549DB" w14:paraId="058C8425" w14:textId="77777777" w:rsidTr="00F4141D">
        <w:tc>
          <w:tcPr>
            <w:tcW w:w="1448" w:type="pct"/>
            <w:vMerge w:val="restart"/>
            <w:vAlign w:val="center"/>
          </w:tcPr>
          <w:p w14:paraId="519BB89F"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Tính hợp lý của biện pháp tổ chức cung cấp hàng hóa</w:t>
            </w:r>
          </w:p>
        </w:tc>
        <w:tc>
          <w:tcPr>
            <w:tcW w:w="2441" w:type="pct"/>
            <w:vAlign w:val="center"/>
          </w:tcPr>
          <w:p w14:paraId="5E06993B"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Có biện pháp tổ chức thực hiện hợp lý, khả thi, phù hợp với thời gian thực hiện hợp đồng</w:t>
            </w:r>
          </w:p>
        </w:tc>
        <w:tc>
          <w:tcPr>
            <w:tcW w:w="1111" w:type="pct"/>
            <w:vAlign w:val="center"/>
          </w:tcPr>
          <w:p w14:paraId="3E3154BC" w14:textId="77777777" w:rsidR="009549DB" w:rsidRPr="009549DB" w:rsidRDefault="009549DB" w:rsidP="009549DB">
            <w:pPr>
              <w:widowControl w:val="0"/>
              <w:spacing w:before="60" w:after="60"/>
              <w:jc w:val="center"/>
              <w:rPr>
                <w:rFonts w:eastAsia="SimSun" w:cs="Times New Roman"/>
                <w:kern w:val="2"/>
                <w:szCs w:val="26"/>
                <w:lang w:eastAsia="zh-CN"/>
              </w:rPr>
            </w:pPr>
            <w:r w:rsidRPr="009549DB">
              <w:rPr>
                <w:rFonts w:eastAsia="SimSun" w:cs="Times New Roman"/>
                <w:kern w:val="2"/>
                <w:szCs w:val="26"/>
                <w:lang w:eastAsia="zh-CN"/>
              </w:rPr>
              <w:t>Đạt</w:t>
            </w:r>
          </w:p>
        </w:tc>
      </w:tr>
      <w:tr w:rsidR="009549DB" w:rsidRPr="009549DB" w14:paraId="3F44BCA0" w14:textId="77777777" w:rsidTr="00F4141D">
        <w:tc>
          <w:tcPr>
            <w:tcW w:w="1448" w:type="pct"/>
            <w:vMerge/>
          </w:tcPr>
          <w:p w14:paraId="7AB63CBB" w14:textId="77777777" w:rsidR="009549DB" w:rsidRPr="009549DB" w:rsidRDefault="009549DB" w:rsidP="009549DB">
            <w:pPr>
              <w:widowControl w:val="0"/>
              <w:spacing w:before="60" w:after="60"/>
              <w:jc w:val="both"/>
              <w:rPr>
                <w:rFonts w:eastAsia="SimSun" w:cs="Times New Roman"/>
                <w:kern w:val="2"/>
                <w:szCs w:val="26"/>
                <w:lang w:eastAsia="zh-CN"/>
              </w:rPr>
            </w:pPr>
          </w:p>
        </w:tc>
        <w:tc>
          <w:tcPr>
            <w:tcW w:w="2441" w:type="pct"/>
            <w:vAlign w:val="center"/>
          </w:tcPr>
          <w:p w14:paraId="3C44C21A"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spacing w:val="-6"/>
                <w:kern w:val="2"/>
                <w:szCs w:val="26"/>
                <w:lang w:eastAsia="zh-CN"/>
              </w:rPr>
              <w:t>Không có đề xuất biện pháp tổ chức cung cấp hàng hóa; hoặc có nhưng không hợp lý, khả thi; không phù hợp với thời gian thực hiện hợp đồng</w:t>
            </w:r>
          </w:p>
        </w:tc>
        <w:tc>
          <w:tcPr>
            <w:tcW w:w="1111" w:type="pct"/>
            <w:vAlign w:val="center"/>
          </w:tcPr>
          <w:p w14:paraId="34D73623" w14:textId="77777777" w:rsidR="009549DB" w:rsidRPr="009549DB" w:rsidRDefault="009549DB" w:rsidP="009549DB">
            <w:pPr>
              <w:widowControl w:val="0"/>
              <w:spacing w:before="60" w:after="60"/>
              <w:jc w:val="center"/>
              <w:rPr>
                <w:rFonts w:eastAsia="SimSun" w:cs="Times New Roman"/>
                <w:kern w:val="2"/>
                <w:szCs w:val="26"/>
                <w:lang w:eastAsia="zh-CN"/>
              </w:rPr>
            </w:pPr>
            <w:r w:rsidRPr="009549DB">
              <w:rPr>
                <w:rFonts w:eastAsia="SimSun" w:cs="Times New Roman"/>
                <w:kern w:val="2"/>
                <w:szCs w:val="26"/>
                <w:lang w:eastAsia="zh-CN"/>
              </w:rPr>
              <w:t>Không đạt</w:t>
            </w:r>
          </w:p>
        </w:tc>
      </w:tr>
      <w:tr w:rsidR="009549DB" w:rsidRPr="009549DB" w14:paraId="6E849F83" w14:textId="77777777" w:rsidTr="00F4141D">
        <w:tc>
          <w:tcPr>
            <w:tcW w:w="1448" w:type="pct"/>
            <w:vMerge w:val="restart"/>
            <w:vAlign w:val="center"/>
          </w:tcPr>
          <w:p w14:paraId="4B050CC8"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Tính hợp lý của biện pháp triển khai thực hiện các dịch vụ liên quan</w:t>
            </w:r>
          </w:p>
        </w:tc>
        <w:tc>
          <w:tcPr>
            <w:tcW w:w="2441" w:type="pct"/>
            <w:vAlign w:val="center"/>
          </w:tcPr>
          <w:p w14:paraId="1BC83983" w14:textId="77777777" w:rsidR="009549DB" w:rsidRPr="009549DB" w:rsidRDefault="009549DB" w:rsidP="009549DB">
            <w:pPr>
              <w:widowControl w:val="0"/>
              <w:spacing w:before="60" w:after="60"/>
              <w:jc w:val="both"/>
              <w:rPr>
                <w:rFonts w:eastAsia="SimSun" w:cs="Times New Roman"/>
                <w:spacing w:val="-6"/>
                <w:kern w:val="2"/>
                <w:szCs w:val="26"/>
                <w:lang w:eastAsia="zh-CN"/>
              </w:rPr>
            </w:pPr>
            <w:r w:rsidRPr="009549DB">
              <w:rPr>
                <w:rFonts w:eastAsia="SimSun" w:cs="Times New Roman"/>
                <w:kern w:val="2"/>
                <w:szCs w:val="26"/>
                <w:lang w:eastAsia="zh-CN"/>
              </w:rPr>
              <w:t>Có biện pháp tổ chức thực hiện hợp lý, khả thi, phù hợp với thời gian thực hiện hợp đồng</w:t>
            </w:r>
          </w:p>
        </w:tc>
        <w:tc>
          <w:tcPr>
            <w:tcW w:w="1111" w:type="pct"/>
            <w:vAlign w:val="center"/>
          </w:tcPr>
          <w:p w14:paraId="6B531CCC" w14:textId="77777777" w:rsidR="009549DB" w:rsidRPr="009549DB" w:rsidRDefault="009549DB" w:rsidP="009549DB">
            <w:pPr>
              <w:widowControl w:val="0"/>
              <w:spacing w:before="60" w:after="60"/>
              <w:jc w:val="center"/>
              <w:rPr>
                <w:rFonts w:eastAsia="SimSun" w:cs="Times New Roman"/>
                <w:kern w:val="2"/>
                <w:szCs w:val="26"/>
                <w:lang w:eastAsia="zh-CN"/>
              </w:rPr>
            </w:pPr>
            <w:r w:rsidRPr="009549DB">
              <w:rPr>
                <w:rFonts w:eastAsia="SimSun" w:cs="Times New Roman"/>
                <w:kern w:val="2"/>
                <w:szCs w:val="26"/>
                <w:lang w:eastAsia="zh-CN"/>
              </w:rPr>
              <w:t>Đạt</w:t>
            </w:r>
          </w:p>
        </w:tc>
      </w:tr>
      <w:tr w:rsidR="009549DB" w:rsidRPr="009549DB" w14:paraId="7F55631C" w14:textId="77777777" w:rsidTr="00F4141D">
        <w:tc>
          <w:tcPr>
            <w:tcW w:w="1448" w:type="pct"/>
            <w:vMerge/>
          </w:tcPr>
          <w:p w14:paraId="70E869E2" w14:textId="77777777" w:rsidR="009549DB" w:rsidRPr="009549DB" w:rsidRDefault="009549DB" w:rsidP="009549DB">
            <w:pPr>
              <w:widowControl w:val="0"/>
              <w:spacing w:before="60" w:after="60"/>
              <w:jc w:val="both"/>
              <w:rPr>
                <w:rFonts w:eastAsia="SimSun" w:cs="Times New Roman"/>
                <w:kern w:val="2"/>
                <w:szCs w:val="26"/>
                <w:lang w:eastAsia="zh-CN"/>
              </w:rPr>
            </w:pPr>
          </w:p>
        </w:tc>
        <w:tc>
          <w:tcPr>
            <w:tcW w:w="2441" w:type="pct"/>
            <w:vAlign w:val="center"/>
          </w:tcPr>
          <w:p w14:paraId="1F3308B3" w14:textId="77777777" w:rsidR="009549DB" w:rsidRPr="009549DB" w:rsidRDefault="009549DB" w:rsidP="009549DB">
            <w:pPr>
              <w:widowControl w:val="0"/>
              <w:spacing w:before="60" w:after="60"/>
              <w:jc w:val="both"/>
              <w:rPr>
                <w:rFonts w:eastAsia="SimSun" w:cs="Times New Roman"/>
                <w:spacing w:val="-6"/>
                <w:kern w:val="2"/>
                <w:szCs w:val="26"/>
                <w:lang w:eastAsia="zh-CN"/>
              </w:rPr>
            </w:pPr>
            <w:r w:rsidRPr="009549DB">
              <w:rPr>
                <w:rFonts w:eastAsia="SimSun" w:cs="Times New Roman"/>
                <w:spacing w:val="-6"/>
                <w:kern w:val="2"/>
                <w:szCs w:val="26"/>
                <w:lang w:eastAsia="zh-CN"/>
              </w:rPr>
              <w:t>Không có đề xuất biện pháp tổ chức cung cấp hàng hóa; hoặc có nhưng không hợp lý, khả thi; không phù hợp với thời gian thực hiện hợp đồng</w:t>
            </w:r>
          </w:p>
        </w:tc>
        <w:tc>
          <w:tcPr>
            <w:tcW w:w="1111" w:type="pct"/>
            <w:vAlign w:val="center"/>
          </w:tcPr>
          <w:p w14:paraId="03E18FC6" w14:textId="77777777" w:rsidR="009549DB" w:rsidRPr="009549DB" w:rsidRDefault="009549DB" w:rsidP="009549DB">
            <w:pPr>
              <w:widowControl w:val="0"/>
              <w:spacing w:before="60" w:after="60"/>
              <w:jc w:val="center"/>
              <w:rPr>
                <w:rFonts w:eastAsia="SimSun" w:cs="Times New Roman"/>
                <w:kern w:val="2"/>
                <w:szCs w:val="26"/>
                <w:lang w:eastAsia="zh-CN"/>
              </w:rPr>
            </w:pPr>
            <w:r w:rsidRPr="009549DB">
              <w:rPr>
                <w:rFonts w:eastAsia="SimSun" w:cs="Times New Roman"/>
                <w:kern w:val="2"/>
                <w:szCs w:val="26"/>
                <w:lang w:eastAsia="zh-CN"/>
              </w:rPr>
              <w:t>Không đạt</w:t>
            </w:r>
          </w:p>
        </w:tc>
      </w:tr>
      <w:tr w:rsidR="009549DB" w:rsidRPr="009549DB" w14:paraId="60974639" w14:textId="77777777" w:rsidTr="00F4141D">
        <w:tc>
          <w:tcPr>
            <w:tcW w:w="5000" w:type="pct"/>
            <w:gridSpan w:val="3"/>
            <w:vAlign w:val="center"/>
          </w:tcPr>
          <w:p w14:paraId="09C8349E" w14:textId="77777777" w:rsidR="009549DB" w:rsidRPr="009549DB" w:rsidRDefault="009549DB" w:rsidP="009549DB">
            <w:pPr>
              <w:widowControl w:val="0"/>
              <w:spacing w:before="60" w:after="60"/>
              <w:jc w:val="both"/>
              <w:rPr>
                <w:rFonts w:eastAsia="SimSun" w:cs="Times New Roman"/>
                <w:b/>
                <w:kern w:val="2"/>
                <w:szCs w:val="26"/>
                <w:lang w:eastAsia="zh-CN"/>
              </w:rPr>
            </w:pPr>
            <w:r w:rsidRPr="009549DB">
              <w:rPr>
                <w:rFonts w:eastAsia="SimSun" w:cs="Times New Roman"/>
                <w:b/>
                <w:kern w:val="2"/>
                <w:szCs w:val="26"/>
                <w:lang w:eastAsia="zh-CN"/>
              </w:rPr>
              <w:t>3. Tiến độ cung cấp hàng hóa</w:t>
            </w:r>
          </w:p>
        </w:tc>
      </w:tr>
      <w:tr w:rsidR="009549DB" w:rsidRPr="009549DB" w14:paraId="5BD8CE37" w14:textId="77777777" w:rsidTr="00F4141D">
        <w:tc>
          <w:tcPr>
            <w:tcW w:w="1448" w:type="pct"/>
            <w:vMerge w:val="restart"/>
            <w:vAlign w:val="center"/>
          </w:tcPr>
          <w:p w14:paraId="266DD4B9"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Tiến độ cung cấp hàng hóa</w:t>
            </w:r>
          </w:p>
        </w:tc>
        <w:tc>
          <w:tcPr>
            <w:tcW w:w="2441" w:type="pct"/>
          </w:tcPr>
          <w:p w14:paraId="5E8672C7"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 10 ngày kể từ ngày hợp đồng mua sắm tài sản có hiệu lực</w:t>
            </w:r>
          </w:p>
        </w:tc>
        <w:tc>
          <w:tcPr>
            <w:tcW w:w="1111" w:type="pct"/>
            <w:vAlign w:val="center"/>
          </w:tcPr>
          <w:p w14:paraId="66EE379F" w14:textId="77777777" w:rsidR="009549DB" w:rsidRPr="009549DB" w:rsidRDefault="009549DB" w:rsidP="009549DB">
            <w:pPr>
              <w:widowControl w:val="0"/>
              <w:spacing w:before="60" w:after="60"/>
              <w:jc w:val="center"/>
              <w:rPr>
                <w:rFonts w:eastAsia="SimSun" w:cs="Times New Roman"/>
                <w:kern w:val="2"/>
                <w:szCs w:val="26"/>
                <w:lang w:eastAsia="zh-CN"/>
              </w:rPr>
            </w:pPr>
            <w:r w:rsidRPr="009549DB">
              <w:rPr>
                <w:rFonts w:eastAsia="SimSun" w:cs="Times New Roman"/>
                <w:kern w:val="2"/>
                <w:szCs w:val="26"/>
                <w:lang w:eastAsia="zh-CN"/>
              </w:rPr>
              <w:t>Đạt</w:t>
            </w:r>
          </w:p>
        </w:tc>
      </w:tr>
      <w:tr w:rsidR="009549DB" w:rsidRPr="009549DB" w14:paraId="17B23DD0" w14:textId="77777777" w:rsidTr="00F4141D">
        <w:trPr>
          <w:trHeight w:val="563"/>
        </w:trPr>
        <w:tc>
          <w:tcPr>
            <w:tcW w:w="1448" w:type="pct"/>
            <w:vMerge/>
          </w:tcPr>
          <w:p w14:paraId="276BECB3" w14:textId="77777777" w:rsidR="009549DB" w:rsidRPr="009549DB" w:rsidRDefault="009549DB" w:rsidP="009549DB">
            <w:pPr>
              <w:widowControl w:val="0"/>
              <w:spacing w:before="60" w:after="60"/>
              <w:jc w:val="both"/>
              <w:rPr>
                <w:rFonts w:eastAsia="SimSun" w:cs="Times New Roman"/>
                <w:kern w:val="2"/>
                <w:szCs w:val="26"/>
                <w:lang w:eastAsia="zh-CN"/>
              </w:rPr>
            </w:pPr>
          </w:p>
        </w:tc>
        <w:tc>
          <w:tcPr>
            <w:tcW w:w="2441" w:type="pct"/>
            <w:vAlign w:val="center"/>
          </w:tcPr>
          <w:p w14:paraId="726444E6"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&gt; 10 ngày kể từ ngày hợp đồng mua sắm tài sản có hiệu lực</w:t>
            </w:r>
          </w:p>
        </w:tc>
        <w:tc>
          <w:tcPr>
            <w:tcW w:w="1111" w:type="pct"/>
            <w:vAlign w:val="center"/>
          </w:tcPr>
          <w:p w14:paraId="0BB41C66" w14:textId="77777777" w:rsidR="009549DB" w:rsidRPr="009549DB" w:rsidRDefault="009549DB" w:rsidP="009549DB">
            <w:pPr>
              <w:widowControl w:val="0"/>
              <w:spacing w:before="60" w:after="60"/>
              <w:jc w:val="center"/>
              <w:rPr>
                <w:rFonts w:eastAsia="SimSun" w:cs="Times New Roman"/>
                <w:kern w:val="2"/>
                <w:szCs w:val="26"/>
                <w:lang w:eastAsia="zh-CN"/>
              </w:rPr>
            </w:pPr>
            <w:r w:rsidRPr="009549DB">
              <w:rPr>
                <w:rFonts w:eastAsia="SimSun" w:cs="Times New Roman"/>
                <w:kern w:val="2"/>
                <w:szCs w:val="26"/>
                <w:lang w:eastAsia="zh-CN"/>
              </w:rPr>
              <w:t>Không đạt</w:t>
            </w:r>
          </w:p>
        </w:tc>
      </w:tr>
      <w:tr w:rsidR="009549DB" w:rsidRPr="009549DB" w14:paraId="3438409B" w14:textId="77777777" w:rsidTr="00F4141D">
        <w:trPr>
          <w:trHeight w:val="77"/>
        </w:trPr>
        <w:tc>
          <w:tcPr>
            <w:tcW w:w="5000" w:type="pct"/>
            <w:gridSpan w:val="3"/>
          </w:tcPr>
          <w:p w14:paraId="2BFA165A" w14:textId="77777777" w:rsidR="009549DB" w:rsidRPr="009549DB" w:rsidRDefault="009549DB" w:rsidP="009549DB">
            <w:pPr>
              <w:widowControl w:val="0"/>
              <w:spacing w:before="60" w:after="60"/>
              <w:jc w:val="both"/>
              <w:rPr>
                <w:rFonts w:eastAsia="SimSun" w:cs="Times New Roman"/>
                <w:b/>
                <w:kern w:val="2"/>
                <w:szCs w:val="26"/>
                <w:lang w:eastAsia="zh-CN"/>
              </w:rPr>
            </w:pPr>
            <w:r w:rsidRPr="009549DB">
              <w:rPr>
                <w:rFonts w:eastAsia="SimSun" w:cs="Times New Roman"/>
                <w:b/>
                <w:kern w:val="2"/>
                <w:szCs w:val="26"/>
                <w:lang w:eastAsia="zh-CN"/>
              </w:rPr>
              <w:t>4. Mức độ đáp ứng các yêu cầu về bảo hành, bảo trì</w:t>
            </w:r>
          </w:p>
        </w:tc>
      </w:tr>
      <w:tr w:rsidR="009549DB" w:rsidRPr="009549DB" w14:paraId="36D78944" w14:textId="77777777" w:rsidTr="00F4141D">
        <w:tc>
          <w:tcPr>
            <w:tcW w:w="1448" w:type="pct"/>
            <w:vMerge w:val="restart"/>
          </w:tcPr>
          <w:p w14:paraId="6D133FD7"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a. Thời gian bảo hành</w:t>
            </w:r>
          </w:p>
        </w:tc>
        <w:tc>
          <w:tcPr>
            <w:tcW w:w="2441" w:type="pct"/>
          </w:tcPr>
          <w:p w14:paraId="16850A87"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 xml:space="preserve">Cam kết thời gian bảo hành hàng hóa đáp ứng theo yêu cầu của từng loại hàng hóa </w:t>
            </w:r>
            <w:r w:rsidRPr="009549DB">
              <w:rPr>
                <w:rFonts w:eastAsia="SimSun" w:cs="Times New Roman"/>
                <w:kern w:val="2"/>
                <w:szCs w:val="26"/>
                <w:lang w:eastAsia="zh-CN"/>
              </w:rPr>
              <w:lastRenderedPageBreak/>
              <w:t>được quy định tại Chương V E-HSMT. Thời gian bảo hành tính từ ngày hàng hóa được nghiệm thu, bàn giao đưa vào sử dụng.</w:t>
            </w:r>
          </w:p>
        </w:tc>
        <w:tc>
          <w:tcPr>
            <w:tcW w:w="1111" w:type="pct"/>
            <w:vAlign w:val="center"/>
          </w:tcPr>
          <w:p w14:paraId="08F1946B" w14:textId="77777777" w:rsidR="009549DB" w:rsidRPr="009549DB" w:rsidRDefault="009549DB" w:rsidP="009549DB">
            <w:pPr>
              <w:widowControl w:val="0"/>
              <w:spacing w:before="60" w:after="60"/>
              <w:jc w:val="center"/>
              <w:rPr>
                <w:rFonts w:eastAsia="SimSun" w:cs="Times New Roman"/>
                <w:kern w:val="2"/>
                <w:szCs w:val="26"/>
                <w:lang w:eastAsia="zh-CN"/>
              </w:rPr>
            </w:pPr>
            <w:r w:rsidRPr="009549DB">
              <w:rPr>
                <w:rFonts w:eastAsia="SimSun" w:cs="Times New Roman"/>
                <w:kern w:val="2"/>
                <w:szCs w:val="26"/>
                <w:lang w:eastAsia="zh-CN"/>
              </w:rPr>
              <w:lastRenderedPageBreak/>
              <w:t>Đạt</w:t>
            </w:r>
          </w:p>
        </w:tc>
      </w:tr>
      <w:tr w:rsidR="009549DB" w:rsidRPr="009549DB" w14:paraId="3F4C0345" w14:textId="77777777" w:rsidTr="00F4141D">
        <w:tc>
          <w:tcPr>
            <w:tcW w:w="1448" w:type="pct"/>
            <w:vMerge/>
          </w:tcPr>
          <w:p w14:paraId="05B9B89E" w14:textId="77777777" w:rsidR="009549DB" w:rsidRPr="009549DB" w:rsidRDefault="009549DB" w:rsidP="009549DB">
            <w:pPr>
              <w:widowControl w:val="0"/>
              <w:spacing w:before="60" w:after="60"/>
              <w:jc w:val="both"/>
              <w:rPr>
                <w:rFonts w:eastAsia="SimSun" w:cs="Times New Roman"/>
                <w:kern w:val="2"/>
                <w:szCs w:val="26"/>
                <w:lang w:eastAsia="zh-CN"/>
              </w:rPr>
            </w:pPr>
          </w:p>
        </w:tc>
        <w:tc>
          <w:tcPr>
            <w:tcW w:w="2441" w:type="pct"/>
          </w:tcPr>
          <w:p w14:paraId="40EC40BE"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Không đáp ứng yêu cầu theo tiêu chí đánh giá “đạt”</w:t>
            </w:r>
          </w:p>
        </w:tc>
        <w:tc>
          <w:tcPr>
            <w:tcW w:w="1111" w:type="pct"/>
            <w:vAlign w:val="center"/>
          </w:tcPr>
          <w:p w14:paraId="427C8D78" w14:textId="77777777" w:rsidR="009549DB" w:rsidRPr="009549DB" w:rsidRDefault="009549DB" w:rsidP="009549DB">
            <w:pPr>
              <w:widowControl w:val="0"/>
              <w:spacing w:before="60" w:after="60"/>
              <w:jc w:val="center"/>
              <w:rPr>
                <w:rFonts w:eastAsia="SimSun" w:cs="Times New Roman"/>
                <w:kern w:val="2"/>
                <w:szCs w:val="26"/>
                <w:lang w:eastAsia="zh-CN"/>
              </w:rPr>
            </w:pPr>
            <w:r w:rsidRPr="009549DB">
              <w:rPr>
                <w:rFonts w:eastAsia="SimSun" w:cs="Times New Roman"/>
                <w:kern w:val="2"/>
                <w:szCs w:val="26"/>
                <w:lang w:eastAsia="zh-CN"/>
              </w:rPr>
              <w:t>Không đạt</w:t>
            </w:r>
          </w:p>
        </w:tc>
      </w:tr>
      <w:tr w:rsidR="009549DB" w:rsidRPr="009549DB" w14:paraId="78FD6669" w14:textId="77777777" w:rsidTr="00F4141D">
        <w:tc>
          <w:tcPr>
            <w:tcW w:w="1448" w:type="pct"/>
            <w:vMerge w:val="restart"/>
          </w:tcPr>
          <w:p w14:paraId="62263D44"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b. Kế hoạch cung cấp dịch vụ bảo hành</w:t>
            </w:r>
          </w:p>
        </w:tc>
        <w:tc>
          <w:tcPr>
            <w:tcW w:w="2441" w:type="pct"/>
          </w:tcPr>
          <w:p w14:paraId="70093351"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 xml:space="preserve">Trình bày đầy đủ, hợp lý, khả thi; đúng quy trình, quy phạm và yêu cầu kỹ thuật của các loại hàng hóa thuộc phạm vi gói thầu, thể hiện chi tiết các bước tiến hành, công việc bảo hành, bảo trì. Có đầy đủ thông tin liên hệ, cam kết trong vòng 24h sẽ cử cán bộ để kiểm tra đánh giá hư hỏng khi nhận được thông báo (qua văn bản, email, điện thoại) của Chủ đầu tư </w:t>
            </w:r>
          </w:p>
        </w:tc>
        <w:tc>
          <w:tcPr>
            <w:tcW w:w="1111" w:type="pct"/>
            <w:vAlign w:val="center"/>
          </w:tcPr>
          <w:p w14:paraId="2C028D8F" w14:textId="77777777" w:rsidR="009549DB" w:rsidRPr="009549DB" w:rsidRDefault="009549DB" w:rsidP="009549DB">
            <w:pPr>
              <w:widowControl w:val="0"/>
              <w:spacing w:before="60" w:after="60"/>
              <w:jc w:val="center"/>
              <w:rPr>
                <w:rFonts w:eastAsia="SimSun" w:cs="Times New Roman"/>
                <w:kern w:val="2"/>
                <w:szCs w:val="26"/>
                <w:lang w:eastAsia="zh-CN"/>
              </w:rPr>
            </w:pPr>
            <w:r w:rsidRPr="009549DB">
              <w:rPr>
                <w:rFonts w:eastAsia="SimSun" w:cs="Times New Roman"/>
                <w:kern w:val="2"/>
                <w:szCs w:val="26"/>
                <w:lang w:eastAsia="zh-CN"/>
              </w:rPr>
              <w:t>Đạt</w:t>
            </w:r>
          </w:p>
        </w:tc>
      </w:tr>
      <w:tr w:rsidR="009549DB" w:rsidRPr="009549DB" w14:paraId="13C06B82" w14:textId="77777777" w:rsidTr="00F4141D">
        <w:tc>
          <w:tcPr>
            <w:tcW w:w="1448" w:type="pct"/>
            <w:vMerge/>
          </w:tcPr>
          <w:p w14:paraId="2C4EC494" w14:textId="77777777" w:rsidR="009549DB" w:rsidRPr="009549DB" w:rsidRDefault="009549DB" w:rsidP="009549DB">
            <w:pPr>
              <w:widowControl w:val="0"/>
              <w:spacing w:before="60" w:after="60"/>
              <w:jc w:val="both"/>
              <w:rPr>
                <w:rFonts w:eastAsia="SimSun" w:cs="Times New Roman"/>
                <w:kern w:val="2"/>
                <w:szCs w:val="26"/>
                <w:lang w:eastAsia="zh-CN"/>
              </w:rPr>
            </w:pPr>
          </w:p>
        </w:tc>
        <w:tc>
          <w:tcPr>
            <w:tcW w:w="2441" w:type="pct"/>
          </w:tcPr>
          <w:p w14:paraId="64D8341C"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Không đáp ứng yêu cầu theo tiêu chí đánh giá “đạt”</w:t>
            </w:r>
          </w:p>
        </w:tc>
        <w:tc>
          <w:tcPr>
            <w:tcW w:w="1111" w:type="pct"/>
            <w:vAlign w:val="center"/>
          </w:tcPr>
          <w:p w14:paraId="555407E9" w14:textId="77777777" w:rsidR="009549DB" w:rsidRPr="009549DB" w:rsidRDefault="009549DB" w:rsidP="009549DB">
            <w:pPr>
              <w:widowControl w:val="0"/>
              <w:spacing w:before="60" w:after="60"/>
              <w:jc w:val="center"/>
              <w:rPr>
                <w:rFonts w:eastAsia="SimSun" w:cs="Times New Roman"/>
                <w:kern w:val="2"/>
                <w:szCs w:val="26"/>
                <w:lang w:eastAsia="zh-CN"/>
              </w:rPr>
            </w:pPr>
            <w:r w:rsidRPr="009549DB">
              <w:rPr>
                <w:rFonts w:eastAsia="SimSun" w:cs="Times New Roman"/>
                <w:kern w:val="2"/>
                <w:szCs w:val="26"/>
                <w:lang w:eastAsia="zh-CN"/>
              </w:rPr>
              <w:t>Không đạt</w:t>
            </w:r>
          </w:p>
        </w:tc>
      </w:tr>
      <w:tr w:rsidR="009549DB" w:rsidRPr="009549DB" w14:paraId="1CCABAF0" w14:textId="77777777" w:rsidTr="00F4141D">
        <w:tc>
          <w:tcPr>
            <w:tcW w:w="1448" w:type="pct"/>
            <w:vMerge w:val="restart"/>
          </w:tcPr>
          <w:p w14:paraId="57E9295A"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c. Chính sách bảo hành</w:t>
            </w:r>
          </w:p>
        </w:tc>
        <w:tc>
          <w:tcPr>
            <w:tcW w:w="2441" w:type="pct"/>
          </w:tcPr>
          <w:p w14:paraId="26E43458"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Có cam kết việc bảo hành cho hàng hóa cung cấp được thực hiện theo chính sách của Nhà sản xuất, cung cấp linh kiện thay thế chính hãng trong thời hạn bảo hành.</w:t>
            </w:r>
          </w:p>
        </w:tc>
        <w:tc>
          <w:tcPr>
            <w:tcW w:w="1111" w:type="pct"/>
            <w:vAlign w:val="center"/>
          </w:tcPr>
          <w:p w14:paraId="1BB8D4DC" w14:textId="77777777" w:rsidR="009549DB" w:rsidRPr="009549DB" w:rsidRDefault="009549DB" w:rsidP="009549DB">
            <w:pPr>
              <w:widowControl w:val="0"/>
              <w:spacing w:before="60" w:after="60"/>
              <w:jc w:val="center"/>
              <w:rPr>
                <w:rFonts w:eastAsia="SimSun" w:cs="Times New Roman"/>
                <w:kern w:val="2"/>
                <w:szCs w:val="26"/>
                <w:lang w:eastAsia="zh-CN"/>
              </w:rPr>
            </w:pPr>
            <w:r w:rsidRPr="009549DB">
              <w:rPr>
                <w:rFonts w:eastAsia="SimSun" w:cs="Times New Roman"/>
                <w:kern w:val="2"/>
                <w:szCs w:val="26"/>
                <w:lang w:eastAsia="zh-CN"/>
              </w:rPr>
              <w:t>Đạt</w:t>
            </w:r>
          </w:p>
        </w:tc>
      </w:tr>
      <w:tr w:rsidR="009549DB" w:rsidRPr="009549DB" w14:paraId="5AE119CC" w14:textId="77777777" w:rsidTr="00F4141D">
        <w:tc>
          <w:tcPr>
            <w:tcW w:w="1448" w:type="pct"/>
            <w:vMerge/>
          </w:tcPr>
          <w:p w14:paraId="287259D0" w14:textId="77777777" w:rsidR="009549DB" w:rsidRPr="009549DB" w:rsidRDefault="009549DB" w:rsidP="009549DB">
            <w:pPr>
              <w:widowControl w:val="0"/>
              <w:spacing w:before="60" w:after="60"/>
              <w:jc w:val="both"/>
              <w:rPr>
                <w:rFonts w:eastAsia="SimSun" w:cs="Times New Roman"/>
                <w:kern w:val="2"/>
                <w:szCs w:val="26"/>
                <w:lang w:eastAsia="zh-CN"/>
              </w:rPr>
            </w:pPr>
          </w:p>
        </w:tc>
        <w:tc>
          <w:tcPr>
            <w:tcW w:w="2441" w:type="pct"/>
          </w:tcPr>
          <w:p w14:paraId="45EC451F" w14:textId="77777777" w:rsidR="009549DB" w:rsidRPr="009549DB" w:rsidRDefault="009549DB" w:rsidP="009549DB">
            <w:pPr>
              <w:widowControl w:val="0"/>
              <w:spacing w:before="60" w:after="60"/>
              <w:jc w:val="both"/>
              <w:rPr>
                <w:rFonts w:eastAsia="SimSun" w:cs="Times New Roman"/>
                <w:kern w:val="2"/>
                <w:szCs w:val="26"/>
                <w:lang w:eastAsia="zh-CN"/>
              </w:rPr>
            </w:pPr>
            <w:r w:rsidRPr="009549DB">
              <w:rPr>
                <w:rFonts w:eastAsia="SimSun" w:cs="Times New Roman"/>
                <w:kern w:val="2"/>
                <w:szCs w:val="26"/>
                <w:lang w:eastAsia="zh-CN"/>
              </w:rPr>
              <w:t>Không đáp ứng yêu cầu theo tiêu chí đánh giá “đạt”</w:t>
            </w:r>
          </w:p>
        </w:tc>
        <w:tc>
          <w:tcPr>
            <w:tcW w:w="1111" w:type="pct"/>
            <w:vAlign w:val="center"/>
          </w:tcPr>
          <w:p w14:paraId="142497D2" w14:textId="77777777" w:rsidR="009549DB" w:rsidRPr="009549DB" w:rsidRDefault="009549DB" w:rsidP="009549DB">
            <w:pPr>
              <w:widowControl w:val="0"/>
              <w:spacing w:before="60" w:after="60"/>
              <w:jc w:val="center"/>
              <w:rPr>
                <w:rFonts w:eastAsia="SimSun" w:cs="Times New Roman"/>
                <w:kern w:val="2"/>
                <w:szCs w:val="26"/>
                <w:lang w:eastAsia="zh-CN"/>
              </w:rPr>
            </w:pPr>
            <w:r w:rsidRPr="009549DB">
              <w:rPr>
                <w:rFonts w:eastAsia="SimSun" w:cs="Times New Roman"/>
                <w:kern w:val="2"/>
                <w:szCs w:val="26"/>
                <w:lang w:eastAsia="zh-CN"/>
              </w:rPr>
              <w:t>Không đạt</w:t>
            </w:r>
          </w:p>
        </w:tc>
      </w:tr>
      <w:tr w:rsidR="009549DB" w:rsidRPr="009549DB" w14:paraId="09D96071" w14:textId="77777777" w:rsidTr="00F4141D">
        <w:trPr>
          <w:trHeight w:val="1318"/>
        </w:trPr>
        <w:tc>
          <w:tcPr>
            <w:tcW w:w="1448" w:type="pct"/>
            <w:vMerge w:val="restart"/>
            <w:vAlign w:val="center"/>
          </w:tcPr>
          <w:p w14:paraId="08A77E08" w14:textId="77777777" w:rsidR="009549DB" w:rsidRPr="009549DB" w:rsidRDefault="009549DB" w:rsidP="009549DB">
            <w:pPr>
              <w:widowControl w:val="0"/>
              <w:tabs>
                <w:tab w:val="left" w:pos="851"/>
              </w:tabs>
              <w:spacing w:before="60" w:after="60"/>
              <w:jc w:val="center"/>
              <w:rPr>
                <w:rFonts w:eastAsia="Times New Roman" w:cs="Times New Roman"/>
                <w:b/>
                <w:szCs w:val="26"/>
                <w:lang w:val="nl-NL"/>
              </w:rPr>
            </w:pPr>
            <w:r w:rsidRPr="009549DB">
              <w:rPr>
                <w:rFonts w:eastAsia="Times New Roman" w:cs="Times New Roman"/>
                <w:b/>
                <w:szCs w:val="26"/>
                <w:lang w:val="nl-NL"/>
              </w:rPr>
              <w:t>Kết luận</w:t>
            </w:r>
          </w:p>
        </w:tc>
        <w:tc>
          <w:tcPr>
            <w:tcW w:w="2441" w:type="pct"/>
            <w:vAlign w:val="center"/>
          </w:tcPr>
          <w:p w14:paraId="1C9AA0FF" w14:textId="77777777" w:rsidR="009549DB" w:rsidRPr="009549DB" w:rsidRDefault="009549DB" w:rsidP="009549DB">
            <w:pPr>
              <w:widowControl w:val="0"/>
              <w:spacing w:before="60" w:after="60"/>
              <w:jc w:val="both"/>
              <w:rPr>
                <w:rFonts w:eastAsia="Times New Roman" w:cs="Times New Roman"/>
                <w:szCs w:val="26"/>
                <w:lang w:val="nl-NL"/>
              </w:rPr>
            </w:pPr>
            <w:r w:rsidRPr="009549DB">
              <w:rPr>
                <w:rFonts w:eastAsia="Times New Roman" w:cs="Times New Roman"/>
                <w:b/>
                <w:szCs w:val="26"/>
                <w:lang w:val="nl-NL"/>
              </w:rPr>
              <w:t>Tất cả các tiêu chí nêu trên được xác định là đạt (mỗi tiêu chuẩn được xác định là đạt khi  tất cả các chi tiết yêu cầu trong đó được đánh giá là đạt)</w:t>
            </w:r>
          </w:p>
        </w:tc>
        <w:tc>
          <w:tcPr>
            <w:tcW w:w="1111" w:type="pct"/>
            <w:vAlign w:val="center"/>
          </w:tcPr>
          <w:p w14:paraId="731F10EE" w14:textId="77777777" w:rsidR="009549DB" w:rsidRPr="009549DB" w:rsidRDefault="009549DB" w:rsidP="009549DB">
            <w:pPr>
              <w:widowControl w:val="0"/>
              <w:spacing w:before="60" w:after="60"/>
              <w:jc w:val="center"/>
              <w:rPr>
                <w:rFonts w:eastAsia="Times New Roman" w:cs="Times New Roman"/>
                <w:b/>
                <w:bCs/>
                <w:szCs w:val="26"/>
                <w:lang w:val="nl-NL"/>
              </w:rPr>
            </w:pPr>
            <w:r w:rsidRPr="009549DB">
              <w:rPr>
                <w:rFonts w:eastAsia="Times New Roman" w:cs="Times New Roman"/>
                <w:b/>
                <w:szCs w:val="26"/>
                <w:lang w:val="nl-NL"/>
              </w:rPr>
              <w:t>Đạt</w:t>
            </w:r>
          </w:p>
        </w:tc>
      </w:tr>
      <w:tr w:rsidR="009549DB" w:rsidRPr="009549DB" w14:paraId="38E1B68B" w14:textId="77777777" w:rsidTr="00F4141D">
        <w:trPr>
          <w:trHeight w:val="477"/>
        </w:trPr>
        <w:tc>
          <w:tcPr>
            <w:tcW w:w="1448" w:type="pct"/>
            <w:vMerge/>
          </w:tcPr>
          <w:p w14:paraId="73558AC4" w14:textId="77777777" w:rsidR="009549DB" w:rsidRPr="009549DB" w:rsidRDefault="009549DB" w:rsidP="009549DB">
            <w:pPr>
              <w:widowControl w:val="0"/>
              <w:tabs>
                <w:tab w:val="left" w:pos="851"/>
              </w:tabs>
              <w:spacing w:before="60" w:after="60"/>
              <w:jc w:val="both"/>
              <w:rPr>
                <w:rFonts w:eastAsia="Times New Roman" w:cs="Times New Roman"/>
                <w:b/>
                <w:szCs w:val="26"/>
                <w:lang w:val="nl-NL"/>
              </w:rPr>
            </w:pPr>
          </w:p>
        </w:tc>
        <w:tc>
          <w:tcPr>
            <w:tcW w:w="2441" w:type="pct"/>
            <w:vAlign w:val="center"/>
          </w:tcPr>
          <w:p w14:paraId="33B9787D" w14:textId="77777777" w:rsidR="009549DB" w:rsidRPr="009549DB" w:rsidRDefault="009549DB" w:rsidP="009549DB">
            <w:pPr>
              <w:widowControl w:val="0"/>
              <w:spacing w:before="60" w:after="60"/>
              <w:jc w:val="both"/>
              <w:rPr>
                <w:rFonts w:eastAsia="Times New Roman" w:cs="Times New Roman"/>
                <w:b/>
                <w:szCs w:val="26"/>
                <w:lang w:val="nl-NL"/>
              </w:rPr>
            </w:pPr>
            <w:r w:rsidRPr="009549DB">
              <w:rPr>
                <w:rFonts w:eastAsia="Times New Roman" w:cs="Times New Roman"/>
                <w:b/>
                <w:szCs w:val="26"/>
                <w:lang w:val="nl-NL"/>
              </w:rPr>
              <w:t>Có tối thiểu 01 tiêu chí nêu trên được đánh giá là không đạt</w:t>
            </w:r>
          </w:p>
        </w:tc>
        <w:tc>
          <w:tcPr>
            <w:tcW w:w="1111" w:type="pct"/>
            <w:vAlign w:val="center"/>
          </w:tcPr>
          <w:p w14:paraId="6D5033D7" w14:textId="77777777" w:rsidR="009549DB" w:rsidRPr="009549DB" w:rsidRDefault="009549DB" w:rsidP="009549DB">
            <w:pPr>
              <w:widowControl w:val="0"/>
              <w:spacing w:before="60" w:after="60"/>
              <w:jc w:val="center"/>
              <w:rPr>
                <w:rFonts w:eastAsia="Times New Roman" w:cs="Times New Roman"/>
                <w:b/>
                <w:bCs/>
                <w:szCs w:val="26"/>
                <w:lang w:val="nl-NL"/>
              </w:rPr>
            </w:pPr>
            <w:r w:rsidRPr="009549DB">
              <w:rPr>
                <w:rFonts w:eastAsia="Times New Roman" w:cs="Times New Roman"/>
                <w:b/>
                <w:szCs w:val="26"/>
                <w:lang w:val="nl-NL"/>
              </w:rPr>
              <w:t>Không đạt</w:t>
            </w:r>
          </w:p>
        </w:tc>
      </w:tr>
      <w:bookmarkEnd w:id="0"/>
      <w:bookmarkEnd w:id="1"/>
    </w:tbl>
    <w:p w14:paraId="0B543D12" w14:textId="77777777" w:rsidR="00DA7F12" w:rsidRDefault="00DA7F12"/>
    <w:sectPr w:rsidR="00DA7F12" w:rsidSect="0020217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DB"/>
    <w:rsid w:val="000D5E2B"/>
    <w:rsid w:val="0020217F"/>
    <w:rsid w:val="00765551"/>
    <w:rsid w:val="009549DB"/>
    <w:rsid w:val="00DA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C1AC"/>
  <w15:chartTrackingRefBased/>
  <w15:docId w15:val="{59D4E93A-1E35-41FC-AA57-122BCE29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2025-12-08T07:35:00Z</dcterms:created>
  <dcterms:modified xsi:type="dcterms:W3CDTF">2025-12-08T07:35:00Z</dcterms:modified>
</cp:coreProperties>
</file>