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07C" w:rsidRPr="00BB75EB" w:rsidRDefault="008E507C" w:rsidP="008E507C">
      <w:pPr>
        <w:spacing w:before="120" w:after="120"/>
        <w:jc w:val="center"/>
        <w:outlineLvl w:val="0"/>
        <w:rPr>
          <w:b/>
          <w:bCs/>
          <w:sz w:val="28"/>
          <w:szCs w:val="28"/>
          <w:lang w:val="nl-NL"/>
        </w:rPr>
      </w:pPr>
      <w:bookmarkStart w:id="0" w:name="_Toc104800534"/>
      <w:r w:rsidRPr="00BB75EB">
        <w:rPr>
          <w:b/>
          <w:bCs/>
          <w:sz w:val="28"/>
          <w:szCs w:val="28"/>
          <w:lang w:val="nl-NL"/>
        </w:rPr>
        <w:t>Phần 2. YÊU CẦU VỀ KỸ THUẬT</w:t>
      </w:r>
      <w:bookmarkEnd w:id="0"/>
    </w:p>
    <w:p w:rsidR="008E507C" w:rsidRPr="00BB75EB" w:rsidRDefault="008E507C" w:rsidP="008E507C">
      <w:pPr>
        <w:spacing w:before="120" w:after="120"/>
        <w:jc w:val="center"/>
        <w:outlineLvl w:val="0"/>
        <w:rPr>
          <w:b/>
          <w:bCs/>
          <w:sz w:val="28"/>
          <w:szCs w:val="28"/>
          <w:lang w:val="nl-NL"/>
        </w:rPr>
      </w:pPr>
      <w:bookmarkStart w:id="1" w:name="_Toc104800535"/>
      <w:r w:rsidRPr="00BB75EB">
        <w:rPr>
          <w:b/>
          <w:bCs/>
          <w:sz w:val="28"/>
          <w:szCs w:val="28"/>
          <w:lang w:val="nl-NL"/>
        </w:rPr>
        <w:t>Chương V. YÊU CẦU VỀ KỸ THUẬT</w:t>
      </w:r>
      <w:bookmarkEnd w:id="1"/>
    </w:p>
    <w:p w:rsidR="008E507C" w:rsidRPr="00BB75EB" w:rsidRDefault="008E507C" w:rsidP="008E507C">
      <w:pPr>
        <w:spacing w:before="120" w:after="120"/>
        <w:ind w:firstLine="709"/>
        <w:rPr>
          <w:b/>
          <w:sz w:val="28"/>
          <w:szCs w:val="28"/>
          <w:lang w:val="nl-NL"/>
        </w:rPr>
      </w:pPr>
      <w:r w:rsidRPr="00BB75EB">
        <w:rPr>
          <w:b/>
          <w:sz w:val="28"/>
          <w:szCs w:val="28"/>
          <w:lang w:val="nl-NL"/>
        </w:rPr>
        <w:t>1. Giới thiệu chung về dự án/dự toán mua sắm, gói thầu:</w:t>
      </w:r>
    </w:p>
    <w:p w:rsidR="008E507C" w:rsidRPr="00BB75EB" w:rsidRDefault="008E507C" w:rsidP="008E507C">
      <w:pPr>
        <w:spacing w:before="120" w:after="120"/>
        <w:ind w:firstLine="709"/>
        <w:rPr>
          <w:sz w:val="28"/>
          <w:szCs w:val="28"/>
          <w:lang w:val="nl-NL"/>
        </w:rPr>
      </w:pPr>
      <w:r w:rsidRPr="00BB75EB">
        <w:rPr>
          <w:bCs/>
          <w:sz w:val="28"/>
          <w:szCs w:val="28"/>
          <w:lang w:val="nl-NL"/>
        </w:rPr>
        <w:t xml:space="preserve">Gói thầu: </w:t>
      </w:r>
      <w:r w:rsidRPr="00BB75EB">
        <w:rPr>
          <w:sz w:val="28"/>
          <w:szCs w:val="28"/>
          <w:lang w:val="nl-NL"/>
        </w:rPr>
        <w:t>Đo quan trắc lập báo cáo giám sát môi trường năm 2026 của Bệnh viện Y dược cổ truyền Trà Vinh</w:t>
      </w:r>
    </w:p>
    <w:p w:rsidR="008E507C" w:rsidRPr="00BB75EB" w:rsidRDefault="008E507C" w:rsidP="008E507C">
      <w:pPr>
        <w:spacing w:before="120" w:after="120"/>
        <w:ind w:firstLine="709"/>
        <w:rPr>
          <w:sz w:val="28"/>
          <w:szCs w:val="28"/>
          <w:lang w:val="nl-NL"/>
        </w:rPr>
      </w:pPr>
      <w:r w:rsidRPr="00BB75EB">
        <w:rPr>
          <w:sz w:val="28"/>
          <w:szCs w:val="28"/>
          <w:lang w:val="nl-NL"/>
        </w:rPr>
        <w:t xml:space="preserve">Chủ đầu tư: </w:t>
      </w:r>
      <w:r w:rsidRPr="00BB75EB">
        <w:rPr>
          <w:sz w:val="28"/>
          <w:szCs w:val="28"/>
          <w:lang w:val="es-PA"/>
        </w:rPr>
        <w:t>Bệnh viện Y dược cổ truyền Trà Vinh</w:t>
      </w:r>
      <w:r w:rsidRPr="00BB75EB">
        <w:rPr>
          <w:sz w:val="28"/>
          <w:szCs w:val="28"/>
          <w:lang w:val="nl-NL"/>
        </w:rPr>
        <w:t>.</w:t>
      </w:r>
    </w:p>
    <w:p w:rsidR="008E507C" w:rsidRPr="00BB75EB" w:rsidRDefault="008E507C" w:rsidP="008E507C">
      <w:pPr>
        <w:spacing w:before="120" w:after="120"/>
        <w:ind w:firstLine="709"/>
        <w:rPr>
          <w:b/>
          <w:sz w:val="28"/>
          <w:szCs w:val="28"/>
          <w:lang w:val="nl-NL"/>
        </w:rPr>
      </w:pPr>
      <w:r w:rsidRPr="00BB75EB">
        <w:rPr>
          <w:sz w:val="28"/>
          <w:szCs w:val="28"/>
          <w:lang w:val="nl-NL"/>
        </w:rPr>
        <w:t>Nguồn vốn: Nguồn thu từ dịch vụ khám bệnh, chữa bệnh của Bệnh viện Y dược cổ truyền Trà Vinh</w:t>
      </w:r>
      <w:r w:rsidRPr="00BB75EB">
        <w:rPr>
          <w:b/>
          <w:sz w:val="28"/>
          <w:szCs w:val="28"/>
          <w:lang w:val="nl-NL"/>
        </w:rPr>
        <w:t xml:space="preserve"> </w:t>
      </w:r>
    </w:p>
    <w:p w:rsidR="008E507C" w:rsidRPr="00BB75EB" w:rsidRDefault="008E507C" w:rsidP="008E507C">
      <w:pPr>
        <w:spacing w:before="120" w:after="120"/>
        <w:ind w:firstLine="709"/>
        <w:rPr>
          <w:b/>
          <w:sz w:val="28"/>
          <w:szCs w:val="28"/>
          <w:lang w:val="nl-NL"/>
        </w:rPr>
      </w:pPr>
      <w:r w:rsidRPr="00BB75EB">
        <w:rPr>
          <w:b/>
          <w:sz w:val="28"/>
          <w:szCs w:val="28"/>
          <w:lang w:val="nl-NL"/>
        </w:rPr>
        <w:t>2. Mục tiêu công việc:</w:t>
      </w:r>
    </w:p>
    <w:p w:rsidR="008E507C" w:rsidRPr="00BB75EB" w:rsidRDefault="008E507C" w:rsidP="008E507C">
      <w:pPr>
        <w:spacing w:before="120" w:after="120"/>
        <w:ind w:firstLine="709"/>
        <w:rPr>
          <w:i/>
          <w:spacing w:val="-4"/>
          <w:sz w:val="28"/>
          <w:szCs w:val="28"/>
          <w:lang w:val="nl-NL"/>
        </w:rPr>
      </w:pPr>
      <w:r w:rsidRPr="00BB75EB">
        <w:rPr>
          <w:bCs/>
          <w:sz w:val="28"/>
          <w:szCs w:val="28"/>
          <w:lang w:val="es-PA"/>
        </w:rPr>
        <w:t>Đo quan trắc lập báo cáo giám sát môi trường năm 2026 phục vụ công tác bảo vệ môi trường tại Bệnh viện Y dược cổ truyền Trà Vinh</w:t>
      </w:r>
      <w:r w:rsidRPr="00BB75EB">
        <w:rPr>
          <w:i/>
          <w:spacing w:val="-4"/>
          <w:sz w:val="28"/>
          <w:szCs w:val="28"/>
          <w:lang w:val="nl-NL"/>
        </w:rPr>
        <w:t xml:space="preserve">. </w:t>
      </w:r>
    </w:p>
    <w:p w:rsidR="008E507C" w:rsidRPr="00BB75EB" w:rsidRDefault="008E507C" w:rsidP="008E507C">
      <w:pPr>
        <w:spacing w:before="120" w:after="120"/>
        <w:ind w:firstLine="709"/>
        <w:rPr>
          <w:b/>
          <w:sz w:val="28"/>
          <w:szCs w:val="28"/>
          <w:lang w:val="nl-NL"/>
        </w:rPr>
      </w:pPr>
      <w:r w:rsidRPr="00BB75EB">
        <w:rPr>
          <w:b/>
          <w:sz w:val="28"/>
          <w:szCs w:val="28"/>
          <w:lang w:val="nl-NL"/>
        </w:rPr>
        <w:t>3. Yêu cầu kỹ thuật của gói thầu:</w:t>
      </w:r>
      <w:bookmarkStart w:id="2" w:name="_GoBack"/>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614"/>
        <w:gridCol w:w="4268"/>
        <w:gridCol w:w="1707"/>
        <w:gridCol w:w="1707"/>
        <w:gridCol w:w="1660"/>
      </w:tblGrid>
      <w:tr w:rsidR="00BB75EB" w:rsidRPr="00BB75EB" w:rsidTr="00577CDE">
        <w:trPr>
          <w:trHeight w:val="622"/>
          <w:tblHeader/>
          <w:jc w:val="center"/>
        </w:trPr>
        <w:tc>
          <w:tcPr>
            <w:tcW w:w="371" w:type="pct"/>
            <w:shd w:val="clear" w:color="auto" w:fill="auto"/>
            <w:vAlign w:val="center"/>
          </w:tcPr>
          <w:p w:rsidR="008E507C" w:rsidRPr="00BB75EB" w:rsidRDefault="008E507C" w:rsidP="001631FE">
            <w:pPr>
              <w:jc w:val="center"/>
              <w:rPr>
                <w:rFonts w:eastAsia="Calibri"/>
                <w:b/>
                <w:sz w:val="25"/>
                <w:szCs w:val="25"/>
              </w:rPr>
            </w:pPr>
            <w:r w:rsidRPr="00BB75EB">
              <w:rPr>
                <w:rFonts w:eastAsia="Calibri"/>
                <w:b/>
                <w:sz w:val="25"/>
                <w:szCs w:val="25"/>
              </w:rPr>
              <w:lastRenderedPageBreak/>
              <w:t>STT</w:t>
            </w:r>
          </w:p>
        </w:tc>
        <w:tc>
          <w:tcPr>
            <w:tcW w:w="1291" w:type="pct"/>
            <w:shd w:val="clear" w:color="auto" w:fill="auto"/>
            <w:vAlign w:val="center"/>
          </w:tcPr>
          <w:p w:rsidR="008E507C" w:rsidRPr="00BB75EB" w:rsidRDefault="008E507C" w:rsidP="001631FE">
            <w:pPr>
              <w:jc w:val="center"/>
              <w:rPr>
                <w:rFonts w:eastAsia="Calibri"/>
                <w:b/>
                <w:sz w:val="25"/>
                <w:szCs w:val="25"/>
              </w:rPr>
            </w:pPr>
            <w:r w:rsidRPr="00BB75EB">
              <w:rPr>
                <w:rFonts w:eastAsia="Calibri"/>
                <w:b/>
                <w:sz w:val="25"/>
                <w:szCs w:val="25"/>
              </w:rPr>
              <w:t>Chỉ tiêu</w:t>
            </w:r>
          </w:p>
        </w:tc>
        <w:tc>
          <w:tcPr>
            <w:tcW w:w="1525" w:type="pct"/>
          </w:tcPr>
          <w:p w:rsidR="008E507C" w:rsidRPr="00BB75EB" w:rsidRDefault="008E507C" w:rsidP="001631FE">
            <w:pPr>
              <w:jc w:val="center"/>
              <w:rPr>
                <w:rFonts w:eastAsia="Calibri"/>
                <w:b/>
                <w:sz w:val="25"/>
                <w:szCs w:val="25"/>
              </w:rPr>
            </w:pPr>
            <w:r w:rsidRPr="00BB75EB">
              <w:rPr>
                <w:rFonts w:eastAsia="Calibri"/>
                <w:b/>
                <w:bCs/>
                <w:sz w:val="28"/>
                <w:szCs w:val="26"/>
              </w:rPr>
              <w:t>Yêu cầu chung</w:t>
            </w:r>
          </w:p>
        </w:tc>
        <w:tc>
          <w:tcPr>
            <w:tcW w:w="610" w:type="pct"/>
            <w:shd w:val="clear" w:color="auto" w:fill="auto"/>
          </w:tcPr>
          <w:p w:rsidR="008E507C" w:rsidRPr="00BB75EB" w:rsidRDefault="008E507C" w:rsidP="001631FE">
            <w:pPr>
              <w:jc w:val="center"/>
              <w:rPr>
                <w:rFonts w:eastAsia="Calibri"/>
                <w:b/>
                <w:sz w:val="25"/>
                <w:szCs w:val="25"/>
              </w:rPr>
            </w:pPr>
            <w:r w:rsidRPr="00BB75EB">
              <w:rPr>
                <w:rFonts w:eastAsia="Calibri"/>
                <w:b/>
                <w:sz w:val="25"/>
                <w:szCs w:val="25"/>
              </w:rPr>
              <w:t>Đơn vị tính</w:t>
            </w:r>
          </w:p>
        </w:tc>
        <w:tc>
          <w:tcPr>
            <w:tcW w:w="610" w:type="pct"/>
            <w:shd w:val="clear" w:color="auto" w:fill="auto"/>
            <w:vAlign w:val="center"/>
          </w:tcPr>
          <w:p w:rsidR="008E507C" w:rsidRPr="00BB75EB" w:rsidRDefault="008E507C" w:rsidP="001631FE">
            <w:pPr>
              <w:jc w:val="center"/>
              <w:rPr>
                <w:rFonts w:eastAsia="Calibri"/>
                <w:b/>
                <w:sz w:val="25"/>
                <w:szCs w:val="25"/>
              </w:rPr>
            </w:pPr>
            <w:r w:rsidRPr="00BB75EB">
              <w:rPr>
                <w:rFonts w:eastAsia="Calibri"/>
                <w:b/>
                <w:sz w:val="25"/>
                <w:szCs w:val="25"/>
              </w:rPr>
              <w:t>Số lượng mẫu</w:t>
            </w:r>
          </w:p>
        </w:tc>
        <w:tc>
          <w:tcPr>
            <w:tcW w:w="594" w:type="pct"/>
            <w:shd w:val="clear" w:color="auto" w:fill="auto"/>
            <w:vAlign w:val="center"/>
          </w:tcPr>
          <w:p w:rsidR="008E507C" w:rsidRPr="00BB75EB" w:rsidRDefault="008E507C" w:rsidP="001631FE">
            <w:pPr>
              <w:jc w:val="center"/>
              <w:rPr>
                <w:rFonts w:eastAsia="Calibri"/>
                <w:b/>
                <w:sz w:val="25"/>
                <w:szCs w:val="25"/>
              </w:rPr>
            </w:pPr>
            <w:r w:rsidRPr="00BB75EB">
              <w:rPr>
                <w:rFonts w:eastAsia="Calibri"/>
                <w:b/>
                <w:sz w:val="25"/>
                <w:szCs w:val="25"/>
              </w:rPr>
              <w:t>Ghi chú</w:t>
            </w:r>
          </w:p>
        </w:tc>
      </w:tr>
      <w:tr w:rsidR="00BB75EB" w:rsidRPr="00BB75EB" w:rsidTr="00577CDE">
        <w:trPr>
          <w:trHeight w:val="455"/>
          <w:tblHeader/>
          <w:jc w:val="center"/>
        </w:trPr>
        <w:tc>
          <w:tcPr>
            <w:tcW w:w="5000" w:type="pct"/>
            <w:gridSpan w:val="6"/>
          </w:tcPr>
          <w:p w:rsidR="008E507C" w:rsidRPr="00BB75EB" w:rsidRDefault="008E507C" w:rsidP="001631FE">
            <w:pPr>
              <w:rPr>
                <w:rFonts w:eastAsia="Calibri"/>
                <w:b/>
                <w:iCs/>
                <w:sz w:val="26"/>
                <w:szCs w:val="26"/>
              </w:rPr>
            </w:pPr>
            <w:r w:rsidRPr="00BB75EB">
              <w:rPr>
                <w:rFonts w:eastAsia="Calibri"/>
                <w:b/>
                <w:i/>
                <w:sz w:val="26"/>
                <w:szCs w:val="26"/>
              </w:rPr>
              <w:t>Giám sát chất lượng nước thải đầu vào tại vị trí hố thu gom</w:t>
            </w: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PH</w:t>
            </w:r>
          </w:p>
        </w:tc>
        <w:tc>
          <w:tcPr>
            <w:tcW w:w="1525" w:type="pct"/>
            <w:vMerge w:val="restart"/>
          </w:tcPr>
          <w:p w:rsidR="008E507C" w:rsidRPr="00BB75EB" w:rsidRDefault="008E507C" w:rsidP="001631FE">
            <w:pPr>
              <w:spacing w:before="120" w:after="120"/>
              <w:jc w:val="left"/>
              <w:rPr>
                <w:sz w:val="26"/>
                <w:szCs w:val="24"/>
                <w:lang w:val="nl-NL"/>
              </w:rPr>
            </w:pPr>
            <w:r w:rsidRPr="00BB75EB">
              <w:rPr>
                <w:rFonts w:eastAsia="Calibri"/>
                <w:bCs/>
                <w:sz w:val="26"/>
                <w:szCs w:val="24"/>
              </w:rPr>
              <w:t>Báo cáo đánh giá</w:t>
            </w:r>
            <w:r w:rsidRPr="00BB75EB">
              <w:rPr>
                <w:rFonts w:eastAsia="Calibri"/>
                <w:b/>
                <w:bCs/>
                <w:sz w:val="26"/>
                <w:szCs w:val="24"/>
              </w:rPr>
              <w:t xml:space="preserve"> </w:t>
            </w:r>
            <w:r w:rsidRPr="00BB75EB">
              <w:rPr>
                <w:sz w:val="26"/>
                <w:szCs w:val="24"/>
                <w:lang w:val="nl-NL"/>
              </w:rPr>
              <w:t xml:space="preserve">Thực hiện 01 quý 01 lần/mẫu </w:t>
            </w:r>
          </w:p>
          <w:p w:rsidR="008E507C" w:rsidRPr="00BB75EB" w:rsidRDefault="008E507C" w:rsidP="001631FE">
            <w:pPr>
              <w:spacing w:before="120" w:after="120"/>
              <w:jc w:val="left"/>
              <w:rPr>
                <w:rFonts w:eastAsia="Calibri"/>
                <w:sz w:val="28"/>
                <w:szCs w:val="28"/>
                <w:lang w:val="nl-NL"/>
              </w:rPr>
            </w:pPr>
            <w:r w:rsidRPr="00BB75EB">
              <w:rPr>
                <w:sz w:val="26"/>
                <w:szCs w:val="24"/>
                <w:lang w:val="nl-NL"/>
              </w:rPr>
              <w:t>Đáp ứng yêu cầu về bảo vệ mội trường và quy chuẩn kỹ thuật môi trường</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BOD</w:t>
            </w:r>
            <w:r w:rsidRPr="00BB75EB">
              <w:rPr>
                <w:rFonts w:eastAsia="Calibri"/>
                <w:sz w:val="26"/>
                <w:szCs w:val="26"/>
                <w:vertAlign w:val="subscript"/>
              </w:rPr>
              <w:t xml:space="preserve">5 </w:t>
            </w:r>
            <w:r w:rsidRPr="00BB75EB">
              <w:rPr>
                <w:rFonts w:eastAsia="Calibri"/>
                <w:sz w:val="26"/>
                <w:szCs w:val="26"/>
              </w:rPr>
              <w:t>(20</w:t>
            </w:r>
            <w:r w:rsidRPr="00BB75EB">
              <w:rPr>
                <w:rFonts w:eastAsia="Calibri"/>
                <w:sz w:val="26"/>
                <w:szCs w:val="26"/>
                <w:vertAlign w:val="superscript"/>
              </w:rPr>
              <w:t>0</w:t>
            </w:r>
            <w:r w:rsidRPr="00BB75EB">
              <w:rPr>
                <w:rFonts w:eastAsia="Calibri"/>
                <w:sz w:val="26"/>
                <w:szCs w:val="26"/>
              </w:rPr>
              <w:t>C)</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3</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COD</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Tổng chất rắn lơ lửng ( TSS)</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5</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Sulfua ( tính theo H</w:t>
            </w:r>
            <w:r w:rsidRPr="00BB75EB">
              <w:rPr>
                <w:rFonts w:eastAsia="Calibri"/>
                <w:sz w:val="26"/>
                <w:szCs w:val="26"/>
                <w:vertAlign w:val="subscript"/>
              </w:rPr>
              <w:t>2</w:t>
            </w:r>
            <w:r w:rsidRPr="00BB75EB">
              <w:rPr>
                <w:rFonts w:eastAsia="Calibri"/>
                <w:sz w:val="26"/>
                <w:szCs w:val="26"/>
              </w:rPr>
              <w:t>S)</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6</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NH</w:t>
            </w:r>
            <w:r w:rsidRPr="00BB75EB">
              <w:rPr>
                <w:rFonts w:eastAsia="Calibri"/>
                <w:sz w:val="26"/>
                <w:szCs w:val="26"/>
                <w:vertAlign w:val="subscript"/>
              </w:rPr>
              <w:t xml:space="preserve">4 </w:t>
            </w:r>
            <w:r w:rsidRPr="00BB75EB">
              <w:rPr>
                <w:rFonts w:eastAsia="Calibri"/>
                <w:sz w:val="26"/>
                <w:szCs w:val="26"/>
                <w:vertAlign w:val="superscript"/>
              </w:rPr>
              <w:t xml:space="preserve">+ </w:t>
            </w:r>
            <w:r w:rsidRPr="00BB75EB">
              <w:rPr>
                <w:rFonts w:eastAsia="Calibri"/>
                <w:sz w:val="26"/>
                <w:szCs w:val="26"/>
              </w:rPr>
              <w:t>(tính theo N)</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7</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NO</w:t>
            </w:r>
            <w:r w:rsidRPr="00BB75EB">
              <w:rPr>
                <w:rFonts w:eastAsia="Calibri"/>
                <w:sz w:val="26"/>
                <w:szCs w:val="26"/>
                <w:vertAlign w:val="subscript"/>
              </w:rPr>
              <w:t>3</w:t>
            </w:r>
            <w:r w:rsidRPr="00BB75EB">
              <w:rPr>
                <w:rFonts w:eastAsia="Calibri"/>
                <w:sz w:val="26"/>
                <w:szCs w:val="26"/>
                <w:vertAlign w:val="superscript"/>
              </w:rPr>
              <w:t>-</w:t>
            </w:r>
            <w:r w:rsidRPr="00BB75EB">
              <w:rPr>
                <w:rFonts w:eastAsia="Calibri"/>
                <w:sz w:val="26"/>
                <w:szCs w:val="26"/>
              </w:rPr>
              <w:t xml:space="preserve">  ( theo N)</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8</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PO</w:t>
            </w:r>
            <w:r w:rsidRPr="00BB75EB">
              <w:rPr>
                <w:rFonts w:eastAsia="Calibri"/>
                <w:sz w:val="26"/>
                <w:szCs w:val="26"/>
                <w:vertAlign w:val="subscript"/>
              </w:rPr>
              <w:t xml:space="preserve">4 </w:t>
            </w:r>
            <w:r w:rsidRPr="00BB75EB">
              <w:rPr>
                <w:rFonts w:eastAsia="Calibri"/>
                <w:sz w:val="26"/>
                <w:szCs w:val="26"/>
                <w:vertAlign w:val="superscript"/>
              </w:rPr>
              <w:t xml:space="preserve">3- </w:t>
            </w:r>
            <w:r w:rsidRPr="00BB75EB">
              <w:rPr>
                <w:rFonts w:eastAsia="Calibri"/>
                <w:sz w:val="26"/>
                <w:szCs w:val="26"/>
              </w:rPr>
              <w:t>( tính theo P)</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9</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Dầu mỡ động thực vật</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10</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 xml:space="preserve">Tổng hoạt độ phóng xạ </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vAlign w:val="center"/>
          </w:tcPr>
          <w:p w:rsidR="008E507C" w:rsidRPr="00BB75EB" w:rsidRDefault="008E507C" w:rsidP="001631FE">
            <w:pPr>
              <w:spacing w:before="120" w:after="120"/>
              <w:jc w:val="center"/>
              <w:rPr>
                <w:rFonts w:eastAsia="Calibri"/>
                <w:sz w:val="26"/>
                <w:szCs w:val="26"/>
              </w:rPr>
            </w:pPr>
            <w:r w:rsidRPr="00BB75EB">
              <w:rPr>
                <w:rFonts w:eastAsia="Calibri"/>
                <w:sz w:val="26"/>
                <w:szCs w:val="26"/>
              </w:rPr>
              <w:t>11</w:t>
            </w:r>
          </w:p>
        </w:tc>
        <w:tc>
          <w:tcPr>
            <w:tcW w:w="1291" w:type="pct"/>
            <w:shd w:val="clear" w:color="auto" w:fill="auto"/>
            <w:vAlign w:val="center"/>
          </w:tcPr>
          <w:p w:rsidR="008E507C" w:rsidRPr="00BB75EB" w:rsidRDefault="008E507C" w:rsidP="001631FE">
            <w:pPr>
              <w:spacing w:before="120" w:after="120"/>
              <w:rPr>
                <w:rFonts w:eastAsia="Calibri"/>
                <w:sz w:val="26"/>
                <w:szCs w:val="26"/>
              </w:rPr>
            </w:pPr>
            <w:r w:rsidRPr="00BB75EB">
              <w:rPr>
                <w:rFonts w:eastAsia="Calibri"/>
                <w:sz w:val="26"/>
                <w:szCs w:val="26"/>
              </w:rPr>
              <w:t>Tổng hoạt độ phóng xạ</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vAlign w:val="center"/>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vAlign w:val="center"/>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vAlign w:val="center"/>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12</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Tổng coliforms</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13</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Salmanella</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14</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Shigella</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15</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Vibrio Cholerae</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5000" w:type="pct"/>
            <w:gridSpan w:val="6"/>
          </w:tcPr>
          <w:p w:rsidR="008E507C" w:rsidRPr="00BB75EB" w:rsidRDefault="008E507C" w:rsidP="001631FE">
            <w:pPr>
              <w:jc w:val="center"/>
              <w:rPr>
                <w:rFonts w:eastAsia="Calibri"/>
                <w:b/>
                <w:iCs/>
                <w:sz w:val="26"/>
                <w:szCs w:val="26"/>
              </w:rPr>
            </w:pPr>
            <w:r w:rsidRPr="00BB75EB">
              <w:rPr>
                <w:rFonts w:eastAsia="Calibri"/>
                <w:b/>
                <w:i/>
                <w:sz w:val="26"/>
                <w:szCs w:val="26"/>
              </w:rPr>
              <w:lastRenderedPageBreak/>
              <w:t>Giám sát chất lượng nước thải  tại hố tiếp nhận nước thải sau xử lý</w:t>
            </w: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16</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PH</w:t>
            </w:r>
          </w:p>
        </w:tc>
        <w:tc>
          <w:tcPr>
            <w:tcW w:w="1525" w:type="pct"/>
            <w:vMerge w:val="restart"/>
          </w:tcPr>
          <w:p w:rsidR="008E507C" w:rsidRPr="00BB75EB" w:rsidRDefault="008E507C" w:rsidP="001631FE">
            <w:pPr>
              <w:spacing w:before="120" w:after="120"/>
              <w:jc w:val="left"/>
              <w:rPr>
                <w:sz w:val="26"/>
                <w:szCs w:val="24"/>
                <w:lang w:val="nl-NL"/>
              </w:rPr>
            </w:pPr>
            <w:r w:rsidRPr="00BB75EB">
              <w:rPr>
                <w:rFonts w:eastAsia="Calibri"/>
                <w:bCs/>
                <w:sz w:val="26"/>
                <w:szCs w:val="24"/>
              </w:rPr>
              <w:t>Báo cáo đánh giá</w:t>
            </w:r>
            <w:r w:rsidRPr="00BB75EB">
              <w:rPr>
                <w:rFonts w:eastAsia="Calibri"/>
                <w:b/>
                <w:bCs/>
                <w:sz w:val="26"/>
                <w:szCs w:val="24"/>
              </w:rPr>
              <w:t xml:space="preserve"> </w:t>
            </w:r>
            <w:r w:rsidRPr="00BB75EB">
              <w:rPr>
                <w:sz w:val="26"/>
                <w:szCs w:val="24"/>
                <w:lang w:val="nl-NL"/>
              </w:rPr>
              <w:t xml:space="preserve">Thực hiện 01 quý 01 lần/mẫu </w:t>
            </w:r>
          </w:p>
          <w:p w:rsidR="008E507C" w:rsidRPr="00BB75EB" w:rsidRDefault="008E507C" w:rsidP="001631FE">
            <w:pPr>
              <w:spacing w:before="120" w:after="120"/>
              <w:jc w:val="left"/>
              <w:rPr>
                <w:rFonts w:eastAsia="Calibri"/>
                <w:sz w:val="26"/>
                <w:szCs w:val="26"/>
                <w:lang w:val="nl-NL"/>
              </w:rPr>
            </w:pPr>
            <w:r w:rsidRPr="00BB75EB">
              <w:rPr>
                <w:sz w:val="26"/>
                <w:szCs w:val="24"/>
                <w:lang w:val="nl-NL"/>
              </w:rPr>
              <w:t>Đáp ứng yêu cầu về bảo vệ mội trường và quy chuẩn kỹ thuật môi trường</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17</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BOD</w:t>
            </w:r>
            <w:r w:rsidRPr="00BB75EB">
              <w:rPr>
                <w:rFonts w:eastAsia="Calibri"/>
                <w:sz w:val="26"/>
                <w:szCs w:val="26"/>
                <w:vertAlign w:val="subscript"/>
              </w:rPr>
              <w:t xml:space="preserve">5 </w:t>
            </w:r>
            <w:r w:rsidRPr="00BB75EB">
              <w:rPr>
                <w:rFonts w:eastAsia="Calibri"/>
                <w:sz w:val="26"/>
                <w:szCs w:val="26"/>
              </w:rPr>
              <w:t>(20</w:t>
            </w:r>
            <w:r w:rsidRPr="00BB75EB">
              <w:rPr>
                <w:rFonts w:eastAsia="Calibri"/>
                <w:sz w:val="26"/>
                <w:szCs w:val="26"/>
                <w:vertAlign w:val="superscript"/>
              </w:rPr>
              <w:t>0</w:t>
            </w:r>
            <w:r w:rsidRPr="00BB75EB">
              <w:rPr>
                <w:rFonts w:eastAsia="Calibri"/>
                <w:sz w:val="26"/>
                <w:szCs w:val="26"/>
              </w:rPr>
              <w:t>C)</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18</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COD</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19</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Tổng chất rắn lơ lửng (TSS)</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20</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Sulfua ( tính theo H</w:t>
            </w:r>
            <w:r w:rsidRPr="00BB75EB">
              <w:rPr>
                <w:rFonts w:eastAsia="Calibri"/>
                <w:sz w:val="26"/>
                <w:szCs w:val="26"/>
                <w:vertAlign w:val="subscript"/>
              </w:rPr>
              <w:t>2</w:t>
            </w:r>
            <w:r w:rsidRPr="00BB75EB">
              <w:rPr>
                <w:rFonts w:eastAsia="Calibri"/>
                <w:sz w:val="26"/>
                <w:szCs w:val="26"/>
              </w:rPr>
              <w:t>S)</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21</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NH</w:t>
            </w:r>
            <w:r w:rsidRPr="00BB75EB">
              <w:rPr>
                <w:rFonts w:eastAsia="Calibri"/>
                <w:sz w:val="26"/>
                <w:szCs w:val="26"/>
                <w:vertAlign w:val="subscript"/>
              </w:rPr>
              <w:t xml:space="preserve">4 </w:t>
            </w:r>
            <w:r w:rsidRPr="00BB75EB">
              <w:rPr>
                <w:rFonts w:eastAsia="Calibri"/>
                <w:sz w:val="26"/>
                <w:szCs w:val="26"/>
                <w:vertAlign w:val="superscript"/>
              </w:rPr>
              <w:t xml:space="preserve">+ </w:t>
            </w:r>
            <w:r w:rsidRPr="00BB75EB">
              <w:rPr>
                <w:rFonts w:eastAsia="Calibri"/>
                <w:sz w:val="26"/>
                <w:szCs w:val="26"/>
              </w:rPr>
              <w:t>(tính theo N)</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22</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NO</w:t>
            </w:r>
            <w:r w:rsidRPr="00BB75EB">
              <w:rPr>
                <w:rFonts w:eastAsia="Calibri"/>
                <w:sz w:val="26"/>
                <w:szCs w:val="26"/>
                <w:vertAlign w:val="subscript"/>
              </w:rPr>
              <w:t>3</w:t>
            </w:r>
            <w:r w:rsidRPr="00BB75EB">
              <w:rPr>
                <w:rFonts w:eastAsia="Calibri"/>
                <w:sz w:val="26"/>
                <w:szCs w:val="26"/>
                <w:vertAlign w:val="superscript"/>
              </w:rPr>
              <w:t>-</w:t>
            </w:r>
            <w:r w:rsidRPr="00BB75EB">
              <w:rPr>
                <w:rFonts w:eastAsia="Calibri"/>
                <w:sz w:val="26"/>
                <w:szCs w:val="26"/>
              </w:rPr>
              <w:t xml:space="preserve">  ( theo N)</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23</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PO</w:t>
            </w:r>
            <w:r w:rsidRPr="00BB75EB">
              <w:rPr>
                <w:rFonts w:eastAsia="Calibri"/>
                <w:sz w:val="26"/>
                <w:szCs w:val="26"/>
                <w:vertAlign w:val="subscript"/>
              </w:rPr>
              <w:t xml:space="preserve">4 </w:t>
            </w:r>
            <w:r w:rsidRPr="00BB75EB">
              <w:rPr>
                <w:rFonts w:eastAsia="Calibri"/>
                <w:sz w:val="26"/>
                <w:szCs w:val="26"/>
                <w:vertAlign w:val="superscript"/>
              </w:rPr>
              <w:t xml:space="preserve">3- </w:t>
            </w:r>
            <w:r w:rsidRPr="00BB75EB">
              <w:rPr>
                <w:rFonts w:eastAsia="Calibri"/>
                <w:sz w:val="26"/>
                <w:szCs w:val="26"/>
              </w:rPr>
              <w:t>( tính theo P)</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24</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Dầu mỡ động thực vật</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25</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 xml:space="preserve">Tổng hoạt độ phóng xạ </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26</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Tổng hoạt độ phóng xạ</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27</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Tổng coliforms</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28</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Salmanella</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29</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Shigella</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30</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Vibrio Cholerae</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Mẫu</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31</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Chi phí nhân công lấy mẫu</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Lần</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vAlign w:val="center"/>
          </w:tcPr>
          <w:p w:rsidR="008E507C" w:rsidRPr="00BB75EB" w:rsidRDefault="008E507C" w:rsidP="001631FE">
            <w:pPr>
              <w:spacing w:before="120" w:after="120"/>
              <w:jc w:val="center"/>
              <w:rPr>
                <w:rFonts w:eastAsia="Calibri"/>
                <w:sz w:val="26"/>
                <w:szCs w:val="26"/>
              </w:rPr>
            </w:pPr>
            <w:r w:rsidRPr="00BB75EB">
              <w:rPr>
                <w:rFonts w:eastAsia="Calibri"/>
                <w:sz w:val="26"/>
                <w:szCs w:val="26"/>
              </w:rPr>
              <w:lastRenderedPageBreak/>
              <w:t>32</w:t>
            </w:r>
          </w:p>
        </w:tc>
        <w:tc>
          <w:tcPr>
            <w:tcW w:w="1291" w:type="pct"/>
            <w:shd w:val="clear" w:color="auto" w:fill="auto"/>
            <w:vAlign w:val="center"/>
          </w:tcPr>
          <w:p w:rsidR="008E507C" w:rsidRPr="00BB75EB" w:rsidRDefault="008E507C" w:rsidP="001631FE">
            <w:pPr>
              <w:spacing w:before="120" w:after="120"/>
              <w:rPr>
                <w:rFonts w:eastAsia="Calibri"/>
                <w:sz w:val="26"/>
                <w:szCs w:val="26"/>
              </w:rPr>
            </w:pPr>
            <w:r w:rsidRPr="00BB75EB">
              <w:rPr>
                <w:rFonts w:eastAsia="Calibri"/>
                <w:sz w:val="26"/>
                <w:szCs w:val="26"/>
              </w:rPr>
              <w:t>Chi phí vận chuyển và bảo quản mẫu</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vAlign w:val="center"/>
          </w:tcPr>
          <w:p w:rsidR="008E507C" w:rsidRPr="00BB75EB" w:rsidRDefault="008E507C" w:rsidP="001631FE">
            <w:pPr>
              <w:spacing w:before="120" w:after="120"/>
              <w:jc w:val="center"/>
              <w:rPr>
                <w:rFonts w:eastAsia="Calibri"/>
                <w:sz w:val="26"/>
                <w:szCs w:val="26"/>
              </w:rPr>
            </w:pPr>
            <w:r w:rsidRPr="00BB75EB">
              <w:rPr>
                <w:rFonts w:eastAsia="Calibri"/>
                <w:sz w:val="26"/>
                <w:szCs w:val="26"/>
              </w:rPr>
              <w:t>Lần</w:t>
            </w:r>
          </w:p>
        </w:tc>
        <w:tc>
          <w:tcPr>
            <w:tcW w:w="610" w:type="pct"/>
            <w:shd w:val="clear" w:color="auto" w:fill="auto"/>
            <w:vAlign w:val="center"/>
          </w:tcPr>
          <w:p w:rsidR="008E507C" w:rsidRPr="00BB75EB" w:rsidRDefault="008E507C" w:rsidP="001631FE">
            <w:pPr>
              <w:spacing w:before="120" w:after="120"/>
              <w:jc w:val="center"/>
              <w:rPr>
                <w:rFonts w:eastAsia="Calibri"/>
                <w:sz w:val="26"/>
                <w:szCs w:val="26"/>
              </w:rPr>
            </w:pPr>
            <w:r w:rsidRPr="00BB75EB">
              <w:rPr>
                <w:rFonts w:eastAsia="Calibri"/>
                <w:sz w:val="26"/>
                <w:szCs w:val="26"/>
              </w:rPr>
              <w:t>4</w:t>
            </w:r>
          </w:p>
        </w:tc>
        <w:tc>
          <w:tcPr>
            <w:tcW w:w="594" w:type="pct"/>
            <w:shd w:val="clear" w:color="auto" w:fill="auto"/>
            <w:vAlign w:val="center"/>
          </w:tcPr>
          <w:p w:rsidR="008E507C" w:rsidRPr="00BB75EB" w:rsidRDefault="008E507C" w:rsidP="001631FE">
            <w:pPr>
              <w:spacing w:before="120" w:after="120"/>
              <w:jc w:val="center"/>
              <w:rPr>
                <w:rFonts w:eastAsia="Calibri"/>
                <w:sz w:val="26"/>
                <w:szCs w:val="26"/>
              </w:rPr>
            </w:pPr>
          </w:p>
        </w:tc>
      </w:tr>
      <w:tr w:rsidR="00BB75EB" w:rsidRPr="00BB75EB" w:rsidTr="00577CDE">
        <w:trPr>
          <w:trHeight w:val="455"/>
          <w:tblHeader/>
          <w:jc w:val="center"/>
        </w:trPr>
        <w:tc>
          <w:tcPr>
            <w:tcW w:w="371"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lastRenderedPageBreak/>
              <w:t>33</w:t>
            </w:r>
          </w:p>
        </w:tc>
        <w:tc>
          <w:tcPr>
            <w:tcW w:w="1291" w:type="pct"/>
            <w:shd w:val="clear" w:color="auto" w:fill="auto"/>
          </w:tcPr>
          <w:p w:rsidR="008E507C" w:rsidRPr="00BB75EB" w:rsidRDefault="008E507C" w:rsidP="001631FE">
            <w:pPr>
              <w:spacing w:before="120" w:after="120"/>
              <w:rPr>
                <w:rFonts w:eastAsia="Calibri"/>
                <w:sz w:val="26"/>
                <w:szCs w:val="26"/>
              </w:rPr>
            </w:pPr>
            <w:r w:rsidRPr="00BB75EB">
              <w:rPr>
                <w:rFonts w:eastAsia="Calibri"/>
                <w:sz w:val="26"/>
                <w:szCs w:val="26"/>
              </w:rPr>
              <w:t>Chi phí viết báo cáo</w:t>
            </w:r>
          </w:p>
        </w:tc>
        <w:tc>
          <w:tcPr>
            <w:tcW w:w="1525" w:type="pct"/>
            <w:vMerge/>
          </w:tcPr>
          <w:p w:rsidR="008E507C" w:rsidRPr="00BB75EB" w:rsidRDefault="008E507C" w:rsidP="001631FE">
            <w:pPr>
              <w:spacing w:before="120" w:after="120"/>
              <w:jc w:val="center"/>
              <w:rPr>
                <w:rFonts w:eastAsia="Calibri"/>
                <w:sz w:val="26"/>
                <w:szCs w:val="26"/>
              </w:rPr>
            </w:pP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Quyển</w:t>
            </w:r>
          </w:p>
        </w:tc>
        <w:tc>
          <w:tcPr>
            <w:tcW w:w="610" w:type="pct"/>
            <w:shd w:val="clear" w:color="auto" w:fill="auto"/>
          </w:tcPr>
          <w:p w:rsidR="008E507C" w:rsidRPr="00BB75EB" w:rsidRDefault="008E507C" w:rsidP="001631FE">
            <w:pPr>
              <w:spacing w:before="120" w:after="120"/>
              <w:jc w:val="center"/>
              <w:rPr>
                <w:rFonts w:eastAsia="Calibri"/>
                <w:sz w:val="26"/>
                <w:szCs w:val="26"/>
              </w:rPr>
            </w:pPr>
            <w:r w:rsidRPr="00BB75EB">
              <w:rPr>
                <w:rFonts w:eastAsia="Calibri"/>
                <w:sz w:val="26"/>
                <w:szCs w:val="26"/>
              </w:rPr>
              <w:t>12</w:t>
            </w:r>
          </w:p>
        </w:tc>
        <w:tc>
          <w:tcPr>
            <w:tcW w:w="594" w:type="pct"/>
            <w:shd w:val="clear" w:color="auto" w:fill="auto"/>
          </w:tcPr>
          <w:p w:rsidR="008E507C" w:rsidRPr="00BB75EB" w:rsidRDefault="008E507C" w:rsidP="001631FE">
            <w:pPr>
              <w:spacing w:before="120" w:after="120"/>
              <w:jc w:val="center"/>
              <w:rPr>
                <w:rFonts w:eastAsia="Calibri"/>
                <w:sz w:val="26"/>
                <w:szCs w:val="26"/>
              </w:rPr>
            </w:pPr>
          </w:p>
        </w:tc>
      </w:tr>
    </w:tbl>
    <w:p w:rsidR="008E507C" w:rsidRPr="00BB75EB" w:rsidRDefault="008E507C" w:rsidP="008E507C">
      <w:pPr>
        <w:spacing w:before="120" w:after="120"/>
        <w:ind w:firstLine="709"/>
        <w:rPr>
          <w:b/>
          <w:sz w:val="28"/>
          <w:szCs w:val="28"/>
          <w:lang w:val="nl-NL"/>
        </w:rPr>
      </w:pPr>
      <w:r w:rsidRPr="00BB75EB">
        <w:rPr>
          <w:i/>
          <w:spacing w:val="-2"/>
          <w:sz w:val="28"/>
          <w:szCs w:val="28"/>
          <w:lang w:val="nl-NL"/>
        </w:rPr>
        <w:t xml:space="preserve"> </w:t>
      </w:r>
      <w:r w:rsidRPr="00BB75EB">
        <w:rPr>
          <w:b/>
          <w:sz w:val="28"/>
          <w:szCs w:val="28"/>
          <w:lang w:val="nl-NL"/>
        </w:rPr>
        <w:t>4. Giải pháp và phương pháp luận:</w:t>
      </w:r>
    </w:p>
    <w:p w:rsidR="008E507C" w:rsidRPr="00BB75EB" w:rsidRDefault="008E507C" w:rsidP="008E507C">
      <w:pPr>
        <w:spacing w:before="120" w:after="120"/>
        <w:ind w:firstLine="709"/>
        <w:rPr>
          <w:rStyle w:val="fontstyle01"/>
          <w:color w:val="auto"/>
          <w:sz w:val="28"/>
          <w:szCs w:val="28"/>
          <w:lang w:val="nl-NL"/>
        </w:rPr>
      </w:pPr>
      <w:r w:rsidRPr="00BB75EB">
        <w:rPr>
          <w:rStyle w:val="fontstyle01"/>
          <w:color w:val="auto"/>
          <w:sz w:val="28"/>
          <w:szCs w:val="28"/>
          <w:lang w:val="nl-NL"/>
        </w:rPr>
        <w:t>Nhà thầu nộp cùng E-HSDT bản trình bày về giải pháp và phương pháp luận để</w:t>
      </w:r>
      <w:r w:rsidRPr="00BB75EB">
        <w:rPr>
          <w:sz w:val="28"/>
          <w:szCs w:val="28"/>
          <w:lang w:val="nl-NL"/>
        </w:rPr>
        <w:t xml:space="preserve"> </w:t>
      </w:r>
      <w:r w:rsidRPr="00BB75EB">
        <w:rPr>
          <w:rStyle w:val="fontstyle01"/>
          <w:color w:val="auto"/>
          <w:sz w:val="28"/>
          <w:szCs w:val="28"/>
          <w:lang w:val="nl-NL"/>
        </w:rPr>
        <w:t>thực hiện dịch vụ phi tư vấn tối thiểu bao gồm các nội dung dưới đây:</w:t>
      </w:r>
    </w:p>
    <w:p w:rsidR="008E507C" w:rsidRPr="00BB75EB" w:rsidRDefault="008E507C" w:rsidP="008E507C">
      <w:pPr>
        <w:spacing w:before="120" w:after="120"/>
        <w:ind w:firstLine="709"/>
        <w:rPr>
          <w:rStyle w:val="fontstyle01"/>
          <w:color w:val="auto"/>
          <w:sz w:val="28"/>
          <w:szCs w:val="28"/>
          <w:lang w:val="nl-NL"/>
        </w:rPr>
      </w:pPr>
      <w:r w:rsidRPr="00BB75EB">
        <w:rPr>
          <w:rStyle w:val="fontstyle01"/>
          <w:color w:val="auto"/>
          <w:sz w:val="28"/>
          <w:szCs w:val="28"/>
          <w:lang w:val="nl-NL"/>
        </w:rPr>
        <w:t>- Phạm vi và tiến độ cung cấp dịch vụ trong đó nhà thầu đề xuất đầy đủ, cụ thể các các nội dung yêu cầu tại mục 3. Yêu cầu kỹ thuật của gói thầu.</w:t>
      </w:r>
    </w:p>
    <w:p w:rsidR="008E507C" w:rsidRPr="00BB75EB" w:rsidRDefault="008E507C" w:rsidP="008E507C">
      <w:pPr>
        <w:spacing w:before="120" w:after="120"/>
        <w:ind w:firstLine="709"/>
        <w:rPr>
          <w:rStyle w:val="fontstyle01"/>
          <w:color w:val="auto"/>
          <w:sz w:val="28"/>
          <w:szCs w:val="28"/>
          <w:lang w:val="nl-NL"/>
        </w:rPr>
      </w:pPr>
      <w:r w:rsidRPr="00BB75EB">
        <w:rPr>
          <w:rStyle w:val="fontstyle01"/>
          <w:color w:val="auto"/>
          <w:sz w:val="28"/>
          <w:szCs w:val="28"/>
          <w:lang w:val="nl-NL"/>
        </w:rPr>
        <w:t>- Phương án, kế hoạch chi tiết tối thiểu có các công việc sau: Phương án triển khai công việc, thời gian thực hiện công việc...</w:t>
      </w:r>
    </w:p>
    <w:p w:rsidR="008E507C" w:rsidRPr="00BB75EB" w:rsidRDefault="008E507C" w:rsidP="008E507C">
      <w:pPr>
        <w:spacing w:before="120" w:after="120"/>
        <w:ind w:firstLine="709"/>
        <w:rPr>
          <w:rStyle w:val="fontstyle01"/>
          <w:color w:val="auto"/>
          <w:sz w:val="28"/>
          <w:szCs w:val="28"/>
          <w:lang w:val="nl-NL"/>
        </w:rPr>
      </w:pPr>
      <w:r w:rsidRPr="00BB75EB">
        <w:rPr>
          <w:rStyle w:val="fontstyle01"/>
          <w:color w:val="auto"/>
          <w:sz w:val="28"/>
          <w:szCs w:val="28"/>
          <w:lang w:val="nl-NL"/>
        </w:rPr>
        <w:t>- Phương án bố trí nhân sự thực hiện dịch vụ: Xây dựng kế hoạch về nhân sự phù hợp với công việc mà gói thầu yêu cầu</w:t>
      </w:r>
    </w:p>
    <w:p w:rsidR="008E507C" w:rsidRPr="00BB75EB" w:rsidRDefault="008E507C" w:rsidP="008E507C">
      <w:pPr>
        <w:spacing w:before="120" w:after="120"/>
        <w:ind w:firstLine="709"/>
        <w:rPr>
          <w:b/>
          <w:sz w:val="28"/>
          <w:szCs w:val="28"/>
          <w:lang w:val="nl-NL"/>
        </w:rPr>
      </w:pPr>
      <w:r w:rsidRPr="00BB75EB">
        <w:rPr>
          <w:rStyle w:val="fontstyle01"/>
          <w:color w:val="auto"/>
          <w:sz w:val="28"/>
          <w:szCs w:val="28"/>
          <w:lang w:val="nl-NL"/>
        </w:rPr>
        <w:t>- Giải pháp khắc phục trong trường hợp xảy ra sự cố…</w:t>
      </w:r>
    </w:p>
    <w:p w:rsidR="008E507C" w:rsidRPr="00BB75EB" w:rsidRDefault="008E507C" w:rsidP="008E507C">
      <w:pPr>
        <w:spacing w:before="120" w:after="120"/>
        <w:ind w:firstLine="709"/>
        <w:rPr>
          <w:b/>
          <w:sz w:val="28"/>
          <w:szCs w:val="28"/>
          <w:lang w:val="nl-NL"/>
        </w:rPr>
      </w:pPr>
      <w:r w:rsidRPr="00BB75EB">
        <w:rPr>
          <w:b/>
          <w:sz w:val="28"/>
          <w:szCs w:val="28"/>
          <w:lang w:val="nl-NL"/>
        </w:rPr>
        <w:t>5. Quy định về kiểm tra, nghiệm thu sản phẩm:</w:t>
      </w:r>
    </w:p>
    <w:p w:rsidR="008E507C" w:rsidRPr="00BB75EB" w:rsidRDefault="008E507C" w:rsidP="008E507C">
      <w:pPr>
        <w:spacing w:before="120" w:after="120"/>
        <w:ind w:firstLine="709"/>
        <w:rPr>
          <w:bCs/>
          <w:sz w:val="28"/>
          <w:szCs w:val="28"/>
          <w:lang w:val="nl-NL"/>
        </w:rPr>
      </w:pPr>
      <w:r w:rsidRPr="00BB75EB">
        <w:rPr>
          <w:bCs/>
          <w:sz w:val="28"/>
          <w:szCs w:val="28"/>
          <w:lang w:val="nl-NL"/>
        </w:rPr>
        <w:t>Sản phẩm: Báo cáo đánh giá phải đảm bảo trung thực, khách quan, chính xác</w:t>
      </w:r>
    </w:p>
    <w:p w:rsidR="00467F4A" w:rsidRPr="00BB75EB" w:rsidRDefault="00577CDE">
      <w:pPr>
        <w:rPr>
          <w:lang w:val="nl-NL"/>
        </w:rPr>
      </w:pPr>
    </w:p>
    <w:sectPr w:rsidR="00467F4A" w:rsidRPr="00BB75EB" w:rsidSect="00577CDE">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7C"/>
    <w:rsid w:val="00577CDE"/>
    <w:rsid w:val="00871651"/>
    <w:rsid w:val="008E507C"/>
    <w:rsid w:val="00913E24"/>
    <w:rsid w:val="00BB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411D5-EA02-4526-890E-BEF5163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7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8E507C"/>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2025-12-08T08:52:00Z</dcterms:created>
  <dcterms:modified xsi:type="dcterms:W3CDTF">2025-12-16T08:25:00Z</dcterms:modified>
</cp:coreProperties>
</file>