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A2770D" w:rsidRPr="004D1049" w:rsidRDefault="00A2770D" w:rsidP="00A2770D">
      <w:pPr>
        <w:jc w:val="center"/>
        <w:outlineLvl w:val="0"/>
        <w:rPr>
          <w:b/>
          <w:sz w:val="28"/>
          <w:szCs w:val="28"/>
          <w:lang w:val="nl-NL"/>
        </w:rPr>
      </w:pPr>
      <w:r w:rsidRPr="004D1049">
        <w:rPr>
          <w:b/>
          <w:sz w:val="28"/>
          <w:szCs w:val="28"/>
          <w:lang w:val="nl-NL"/>
        </w:rPr>
        <w:t>Phần 2. YÊU CẦU VỀ KỸ THUẬT</w:t>
      </w:r>
    </w:p>
    <w:p w:rsidR="00A2770D" w:rsidRPr="004D1049" w:rsidRDefault="00A2770D" w:rsidP="00A2770D">
      <w:pPr>
        <w:widowControl w:val="0"/>
        <w:spacing w:before="120" w:after="120" w:line="264" w:lineRule="auto"/>
        <w:jc w:val="center"/>
        <w:outlineLvl w:val="1"/>
        <w:rPr>
          <w:sz w:val="28"/>
          <w:szCs w:val="28"/>
          <w:lang w:val="nl-NL"/>
        </w:rPr>
      </w:pPr>
      <w:r w:rsidRPr="004D1049">
        <w:rPr>
          <w:b/>
          <w:sz w:val="28"/>
          <w:szCs w:val="28"/>
          <w:lang w:val="nl-NL"/>
        </w:rPr>
        <w:t>Chương V. YÊU CẦU VỀ KỸ THUẬT</w:t>
      </w:r>
    </w:p>
    <w:p w:rsidR="00A2770D" w:rsidRPr="004D1049" w:rsidRDefault="00A2770D" w:rsidP="00A2770D">
      <w:pPr>
        <w:widowControl w:val="0"/>
        <w:spacing w:before="120" w:after="120" w:line="264" w:lineRule="auto"/>
        <w:ind w:firstLine="709"/>
        <w:rPr>
          <w:b/>
          <w:i/>
          <w:sz w:val="28"/>
          <w:szCs w:val="28"/>
          <w:lang w:val="nl-NL"/>
        </w:rPr>
      </w:pPr>
      <w:r w:rsidRPr="004D1049">
        <w:rPr>
          <w:b/>
          <w:i/>
          <w:sz w:val="28"/>
          <w:szCs w:val="28"/>
          <w:lang w:val="nl-NL"/>
        </w:rPr>
        <w:t>.1. Giới thiệu chung về dự án/</w:t>
      </w:r>
      <w:r w:rsidRPr="004D1049">
        <w:rPr>
          <w:b/>
          <w:i/>
          <w:sz w:val="28"/>
          <w:szCs w:val="28"/>
        </w:rPr>
        <w:t>dự toán mua sắm</w:t>
      </w:r>
      <w:r w:rsidRPr="004D1049">
        <w:rPr>
          <w:b/>
          <w:i/>
          <w:sz w:val="28"/>
          <w:szCs w:val="28"/>
          <w:lang w:val="nl-NL"/>
        </w:rPr>
        <w:t>, gói thầu</w:t>
      </w:r>
    </w:p>
    <w:p w:rsidR="00A2770D" w:rsidRPr="004D1049" w:rsidRDefault="00A2770D" w:rsidP="00A2770D">
      <w:pPr>
        <w:spacing w:before="120" w:line="264" w:lineRule="auto"/>
        <w:ind w:firstLine="454"/>
        <w:rPr>
          <w:sz w:val="26"/>
          <w:lang w:val="nl-NL"/>
        </w:rPr>
      </w:pPr>
      <w:r w:rsidRPr="004D1049">
        <w:rPr>
          <w:sz w:val="26"/>
          <w:lang w:val="nl-NL"/>
        </w:rPr>
        <w:t xml:space="preserve">Quyết định số </w:t>
      </w:r>
      <w:r>
        <w:rPr>
          <w:sz w:val="26"/>
          <w:lang w:val="nl-NL"/>
        </w:rPr>
        <w:t>49</w:t>
      </w:r>
      <w:r w:rsidRPr="004D1049">
        <w:rPr>
          <w:sz w:val="26"/>
          <w:lang w:val="nl-NL"/>
        </w:rPr>
        <w:t xml:space="preserve">7/QĐ-BV ngày 09/10/2025 của Bệnh viện Đa khoa khu vực Quảng Nam về việc Phê duyệt kế hoạch lựa chọn nhà thầu, gói thầu: </w:t>
      </w:r>
      <w:r>
        <w:rPr>
          <w:sz w:val="26"/>
          <w:lang w:val="nl-NL"/>
        </w:rPr>
        <w:t>Thuê dịch vụ in ấn hồ sơ biểu mẫu bệnh án năm 2026.</w:t>
      </w:r>
    </w:p>
    <w:p w:rsidR="00A2770D" w:rsidRPr="004D1049" w:rsidRDefault="00A2770D" w:rsidP="00A2770D">
      <w:pPr>
        <w:spacing w:before="120" w:line="264" w:lineRule="auto"/>
        <w:ind w:firstLine="454"/>
        <w:rPr>
          <w:sz w:val="26"/>
          <w:szCs w:val="26"/>
          <w:lang w:val="nl-NL"/>
        </w:rPr>
      </w:pPr>
      <w:r w:rsidRPr="004D1049">
        <w:rPr>
          <w:sz w:val="26"/>
          <w:szCs w:val="26"/>
          <w:lang w:val="nl-NL"/>
        </w:rPr>
        <w:t xml:space="preserve">1. Tên gói thầu: </w:t>
      </w:r>
      <w:r>
        <w:rPr>
          <w:sz w:val="26"/>
          <w:szCs w:val="26"/>
          <w:lang w:val="nl-NL"/>
        </w:rPr>
        <w:t>Thuê dịch vụ in ấn hồ sơ biểu mẫu bệnh án năm 2026</w:t>
      </w:r>
    </w:p>
    <w:p w:rsidR="00A2770D" w:rsidRPr="004D1049" w:rsidRDefault="00A2770D" w:rsidP="00A2770D">
      <w:pPr>
        <w:spacing w:before="120" w:line="264" w:lineRule="auto"/>
        <w:ind w:firstLine="454"/>
        <w:rPr>
          <w:sz w:val="26"/>
          <w:szCs w:val="26"/>
          <w:lang w:val="nl-NL"/>
        </w:rPr>
      </w:pPr>
      <w:r w:rsidRPr="004D1049">
        <w:rPr>
          <w:sz w:val="26"/>
          <w:szCs w:val="26"/>
          <w:lang w:val="nl-NL"/>
        </w:rPr>
        <w:t xml:space="preserve">2. Giá gói thầu: </w:t>
      </w:r>
      <w:r w:rsidRPr="00DB4ECE">
        <w:rPr>
          <w:b/>
          <w:bCs/>
          <w:sz w:val="26"/>
          <w:szCs w:val="26"/>
          <w:lang w:val="nl-NL"/>
        </w:rPr>
        <w:t>240.814.000 VND</w:t>
      </w:r>
    </w:p>
    <w:p w:rsidR="00A2770D" w:rsidRDefault="00A2770D" w:rsidP="00A2770D">
      <w:pPr>
        <w:spacing w:before="120" w:line="264" w:lineRule="auto"/>
        <w:ind w:firstLine="454"/>
        <w:rPr>
          <w:b/>
          <w:bCs/>
          <w:i/>
          <w:iCs/>
          <w:sz w:val="26"/>
          <w:szCs w:val="26"/>
          <w:lang w:val="nl-NL"/>
        </w:rPr>
      </w:pPr>
      <w:r w:rsidRPr="00DB4ECE">
        <w:rPr>
          <w:b/>
          <w:bCs/>
          <w:i/>
          <w:iCs/>
          <w:sz w:val="26"/>
          <w:szCs w:val="26"/>
          <w:lang w:val="nl-NL"/>
        </w:rPr>
        <w:t>(Bằng chữ: Hai trăm bốn mươi triệu tám trăm mười bốn ngàn đồng y)</w:t>
      </w:r>
    </w:p>
    <w:p w:rsidR="00A2770D" w:rsidRPr="004D1049" w:rsidRDefault="00A2770D" w:rsidP="00A2770D">
      <w:pPr>
        <w:spacing w:before="120" w:line="264" w:lineRule="auto"/>
        <w:ind w:firstLine="454"/>
        <w:rPr>
          <w:sz w:val="26"/>
          <w:szCs w:val="26"/>
          <w:lang w:val="nl-NL"/>
        </w:rPr>
      </w:pPr>
      <w:r w:rsidRPr="004D1049">
        <w:rPr>
          <w:sz w:val="26"/>
          <w:szCs w:val="26"/>
          <w:lang w:val="nl-NL"/>
        </w:rPr>
        <w:t>Giá trên đã bao gồm các loại thuế theo qui định, chi phí vận chuyển, bàn giao và các chi phí khác.</w:t>
      </w:r>
    </w:p>
    <w:p w:rsidR="00A2770D" w:rsidRPr="004D1049" w:rsidRDefault="00A2770D" w:rsidP="00A2770D">
      <w:pPr>
        <w:spacing w:before="120" w:line="264" w:lineRule="auto"/>
        <w:ind w:firstLine="454"/>
        <w:rPr>
          <w:sz w:val="26"/>
          <w:szCs w:val="26"/>
          <w:lang w:val="nl-NL"/>
        </w:rPr>
      </w:pPr>
      <w:r w:rsidRPr="004D1049">
        <w:rPr>
          <w:sz w:val="26"/>
          <w:szCs w:val="26"/>
          <w:lang w:val="nl-NL"/>
        </w:rPr>
        <w:t>3. Đơn vị mua sắm: Bệnh viện đa khoa Khu vực Quảng Nam</w:t>
      </w:r>
    </w:p>
    <w:p w:rsidR="00A2770D" w:rsidRPr="004D1049" w:rsidRDefault="00A2770D" w:rsidP="00A2770D">
      <w:pPr>
        <w:spacing w:before="120" w:line="264" w:lineRule="auto"/>
        <w:ind w:firstLine="454"/>
        <w:rPr>
          <w:sz w:val="26"/>
          <w:szCs w:val="26"/>
          <w:lang w:val="nl-NL"/>
        </w:rPr>
      </w:pPr>
      <w:r w:rsidRPr="004D1049">
        <w:rPr>
          <w:sz w:val="26"/>
          <w:szCs w:val="26"/>
          <w:lang w:val="nl-NL"/>
        </w:rPr>
        <w:t>4. Hình thức lựa chọn nhà thầu: Chào hàng cạnh tranh qua mạng.</w:t>
      </w:r>
    </w:p>
    <w:p w:rsidR="00A2770D" w:rsidRPr="004D1049" w:rsidRDefault="00A2770D" w:rsidP="00A2770D">
      <w:pPr>
        <w:spacing w:before="120" w:line="264" w:lineRule="auto"/>
        <w:ind w:firstLine="454"/>
        <w:rPr>
          <w:sz w:val="26"/>
          <w:szCs w:val="26"/>
          <w:lang w:val="nl-NL"/>
        </w:rPr>
      </w:pPr>
      <w:r w:rsidRPr="004D1049">
        <w:rPr>
          <w:sz w:val="26"/>
          <w:szCs w:val="26"/>
          <w:lang w:val="nl-NL"/>
        </w:rPr>
        <w:t>5. Phương thức lựa chọn nhà thầu: 01 giai đoạn, 01 túi hồ sơ</w:t>
      </w:r>
    </w:p>
    <w:p w:rsidR="00A2770D" w:rsidRPr="004D1049" w:rsidRDefault="00A2770D" w:rsidP="00A2770D">
      <w:pPr>
        <w:spacing w:before="120" w:line="264" w:lineRule="auto"/>
        <w:ind w:firstLine="454"/>
        <w:rPr>
          <w:sz w:val="26"/>
          <w:szCs w:val="26"/>
          <w:lang w:val="nl-NL"/>
        </w:rPr>
      </w:pPr>
      <w:r w:rsidRPr="004D1049">
        <w:rPr>
          <w:sz w:val="26"/>
          <w:szCs w:val="26"/>
          <w:lang w:val="nl-NL"/>
        </w:rPr>
        <w:t>6. Thời gian bắt đầu tổ chức lựa chọn nhà thầu: Quí IV/2025</w:t>
      </w:r>
    </w:p>
    <w:p w:rsidR="00A2770D" w:rsidRPr="004D1049" w:rsidRDefault="00A2770D" w:rsidP="00A2770D">
      <w:pPr>
        <w:spacing w:before="120" w:line="264" w:lineRule="auto"/>
        <w:ind w:firstLine="454"/>
        <w:rPr>
          <w:sz w:val="26"/>
          <w:szCs w:val="26"/>
          <w:lang w:val="nl-NL"/>
        </w:rPr>
      </w:pPr>
      <w:r w:rsidRPr="004D1049">
        <w:rPr>
          <w:sz w:val="26"/>
          <w:szCs w:val="26"/>
          <w:lang w:val="nl-NL"/>
        </w:rPr>
        <w:t>7. Loại hợp đồng: Hợp đồng trọn gói</w:t>
      </w:r>
    </w:p>
    <w:p w:rsidR="00A2770D" w:rsidRPr="004D1049" w:rsidRDefault="00A2770D" w:rsidP="00A2770D">
      <w:pPr>
        <w:spacing w:before="120" w:line="264" w:lineRule="auto"/>
        <w:ind w:firstLine="454"/>
        <w:rPr>
          <w:sz w:val="26"/>
          <w:szCs w:val="26"/>
          <w:lang w:val="nl-NL"/>
        </w:rPr>
      </w:pPr>
      <w:r w:rsidRPr="004D1049">
        <w:rPr>
          <w:sz w:val="26"/>
          <w:szCs w:val="26"/>
          <w:lang w:val="nl-NL"/>
        </w:rPr>
        <w:t>8. Nguồn vốn: Nguồn thu dịch vụ khám chữa bệnh của đơn vị.</w:t>
      </w:r>
    </w:p>
    <w:p w:rsidR="00A2770D" w:rsidRPr="004D1049" w:rsidRDefault="00A2770D" w:rsidP="00A2770D">
      <w:pPr>
        <w:spacing w:before="120" w:line="264" w:lineRule="auto"/>
        <w:ind w:firstLine="454"/>
        <w:rPr>
          <w:sz w:val="26"/>
          <w:szCs w:val="26"/>
          <w:lang w:val="nl-NL"/>
        </w:rPr>
      </w:pPr>
      <w:r w:rsidRPr="004D1049">
        <w:rPr>
          <w:sz w:val="26"/>
          <w:szCs w:val="26"/>
          <w:lang w:val="nl-NL"/>
        </w:rPr>
        <w:t>9. Thời gian thực hiện hợp đồng: 12 tháng kể từ ngày hợp đồng được ký kết</w:t>
      </w:r>
    </w:p>
    <w:p w:rsidR="00A2770D" w:rsidRPr="004D1049" w:rsidRDefault="00A2770D" w:rsidP="00A2770D">
      <w:pPr>
        <w:widowControl w:val="0"/>
        <w:spacing w:before="120" w:after="120" w:line="264" w:lineRule="auto"/>
        <w:ind w:firstLine="709"/>
        <w:rPr>
          <w:b/>
          <w:i/>
          <w:sz w:val="28"/>
          <w:szCs w:val="28"/>
          <w:lang w:val="nl-NL"/>
        </w:rPr>
      </w:pPr>
      <w:r w:rsidRPr="004D1049">
        <w:rPr>
          <w:b/>
          <w:i/>
          <w:sz w:val="28"/>
          <w:szCs w:val="28"/>
          <w:lang w:val="nl-NL"/>
        </w:rPr>
        <w:t>1.2. Yêu cầu về kỹ thuật</w:t>
      </w:r>
    </w:p>
    <w:p w:rsidR="00A2770D" w:rsidRPr="004D1049" w:rsidRDefault="00A2770D" w:rsidP="00A2770D">
      <w:pPr>
        <w:spacing w:before="120" w:line="360" w:lineRule="auto"/>
        <w:ind w:firstLine="454"/>
        <w:rPr>
          <w:i/>
          <w:iCs/>
          <w:sz w:val="26"/>
          <w:szCs w:val="26"/>
          <w:lang w:val="nl-NL"/>
        </w:rPr>
      </w:pPr>
      <w:r w:rsidRPr="004D1049">
        <w:rPr>
          <w:iCs/>
          <w:sz w:val="26"/>
          <w:szCs w:val="26"/>
          <w:lang w:val="nl-NL"/>
        </w:rPr>
        <w:t xml:space="preserve">Tóm tắt thông số kỹ thuật của hàng hóa và các dịch vụ liên quan phải tuân thủ các yêu cầu sau đây: </w:t>
      </w:r>
      <w:r w:rsidRPr="004D1049">
        <w:rPr>
          <w:i/>
          <w:iCs/>
          <w:sz w:val="26"/>
          <w:szCs w:val="26"/>
          <w:lang w:val="nl-NL"/>
        </w:rPr>
        <w:t xml:space="preserve"> </w:t>
      </w:r>
    </w:p>
    <w:tbl>
      <w:tblPr>
        <w:tblW w:w="10774" w:type="dxa"/>
        <w:tblInd w:w="-9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2"/>
        <w:gridCol w:w="2382"/>
        <w:gridCol w:w="3428"/>
        <w:gridCol w:w="1009"/>
        <w:gridCol w:w="876"/>
        <w:gridCol w:w="1132"/>
        <w:gridCol w:w="1275"/>
      </w:tblGrid>
      <w:tr w:rsidR="00A2770D" w:rsidRPr="00833535" w:rsidTr="007B606E">
        <w:trPr>
          <w:trHeight w:val="850"/>
        </w:trPr>
        <w:tc>
          <w:tcPr>
            <w:tcW w:w="672" w:type="dxa"/>
            <w:noWrap/>
            <w:vAlign w:val="center"/>
            <w:hideMark/>
          </w:tcPr>
          <w:p w:rsidR="00A2770D" w:rsidRPr="00833535" w:rsidRDefault="00A2770D" w:rsidP="007B606E">
            <w:pPr>
              <w:tabs>
                <w:tab w:val="left" w:pos="2100"/>
              </w:tabs>
              <w:jc w:val="center"/>
              <w:rPr>
                <w:b/>
                <w:bCs/>
                <w:iCs/>
              </w:rPr>
            </w:pPr>
            <w:r w:rsidRPr="00833535">
              <w:rPr>
                <w:b/>
                <w:bCs/>
                <w:iCs/>
              </w:rPr>
              <w:t>STT</w:t>
            </w:r>
          </w:p>
        </w:tc>
        <w:tc>
          <w:tcPr>
            <w:tcW w:w="2391" w:type="dxa"/>
            <w:vAlign w:val="center"/>
            <w:hideMark/>
          </w:tcPr>
          <w:p w:rsidR="00A2770D" w:rsidRPr="00833535" w:rsidRDefault="00A2770D" w:rsidP="007B606E">
            <w:pPr>
              <w:tabs>
                <w:tab w:val="left" w:pos="2100"/>
              </w:tabs>
              <w:jc w:val="center"/>
              <w:rPr>
                <w:b/>
                <w:bCs/>
                <w:iCs/>
              </w:rPr>
            </w:pPr>
            <w:r w:rsidRPr="00833535">
              <w:rPr>
                <w:b/>
                <w:bCs/>
                <w:iCs/>
              </w:rPr>
              <w:t>Nội dung</w:t>
            </w:r>
          </w:p>
        </w:tc>
        <w:tc>
          <w:tcPr>
            <w:tcW w:w="3441" w:type="dxa"/>
            <w:vAlign w:val="center"/>
            <w:hideMark/>
          </w:tcPr>
          <w:p w:rsidR="00A2770D" w:rsidRPr="00833535" w:rsidRDefault="00A2770D" w:rsidP="007B606E">
            <w:pPr>
              <w:tabs>
                <w:tab w:val="left" w:pos="2100"/>
              </w:tabs>
              <w:jc w:val="center"/>
              <w:rPr>
                <w:b/>
                <w:bCs/>
                <w:iCs/>
              </w:rPr>
            </w:pPr>
            <w:r w:rsidRPr="00833535">
              <w:rPr>
                <w:b/>
                <w:bCs/>
                <w:iCs/>
              </w:rPr>
              <w:t>Kỹ thuật in</w:t>
            </w:r>
          </w:p>
        </w:tc>
        <w:tc>
          <w:tcPr>
            <w:tcW w:w="1010" w:type="dxa"/>
            <w:vAlign w:val="center"/>
            <w:hideMark/>
          </w:tcPr>
          <w:p w:rsidR="00A2770D" w:rsidRPr="00833535" w:rsidRDefault="00A2770D" w:rsidP="007B606E">
            <w:pPr>
              <w:tabs>
                <w:tab w:val="left" w:pos="2100"/>
              </w:tabs>
              <w:jc w:val="center"/>
              <w:rPr>
                <w:b/>
                <w:bCs/>
                <w:iCs/>
              </w:rPr>
            </w:pPr>
            <w:r w:rsidRPr="00833535">
              <w:rPr>
                <w:b/>
                <w:bCs/>
                <w:iCs/>
              </w:rPr>
              <w:t>Đơn vị tính</w:t>
            </w:r>
          </w:p>
        </w:tc>
        <w:tc>
          <w:tcPr>
            <w:tcW w:w="850" w:type="dxa"/>
            <w:vAlign w:val="center"/>
            <w:hideMark/>
          </w:tcPr>
          <w:p w:rsidR="00A2770D" w:rsidRPr="00833535" w:rsidRDefault="00A2770D" w:rsidP="007B606E">
            <w:pPr>
              <w:tabs>
                <w:tab w:val="left" w:pos="2100"/>
              </w:tabs>
              <w:jc w:val="center"/>
              <w:rPr>
                <w:b/>
                <w:bCs/>
                <w:iCs/>
              </w:rPr>
            </w:pPr>
            <w:r w:rsidRPr="00833535">
              <w:rPr>
                <w:b/>
                <w:bCs/>
                <w:iCs/>
              </w:rPr>
              <w:t>Số lượng</w:t>
            </w:r>
          </w:p>
        </w:tc>
        <w:tc>
          <w:tcPr>
            <w:tcW w:w="1134" w:type="dxa"/>
            <w:vAlign w:val="center"/>
          </w:tcPr>
          <w:p w:rsidR="00A2770D" w:rsidRPr="00833535" w:rsidRDefault="00A2770D" w:rsidP="007B606E">
            <w:pPr>
              <w:tabs>
                <w:tab w:val="left" w:pos="2100"/>
              </w:tabs>
              <w:jc w:val="center"/>
              <w:rPr>
                <w:b/>
                <w:bCs/>
                <w:iCs/>
              </w:rPr>
            </w:pPr>
            <w:r>
              <w:rPr>
                <w:b/>
                <w:bCs/>
                <w:iCs/>
              </w:rPr>
              <w:t>ĐẠT</w:t>
            </w:r>
          </w:p>
        </w:tc>
        <w:tc>
          <w:tcPr>
            <w:tcW w:w="1276" w:type="dxa"/>
            <w:vAlign w:val="center"/>
          </w:tcPr>
          <w:p w:rsidR="00A2770D" w:rsidRPr="00833535" w:rsidRDefault="00A2770D" w:rsidP="007B606E">
            <w:pPr>
              <w:tabs>
                <w:tab w:val="left" w:pos="2100"/>
              </w:tabs>
              <w:jc w:val="center"/>
              <w:rPr>
                <w:b/>
                <w:bCs/>
                <w:iCs/>
              </w:rPr>
            </w:pPr>
            <w:r>
              <w:rPr>
                <w:b/>
                <w:bCs/>
                <w:iCs/>
              </w:rPr>
              <w:t>KHÔNG ĐẠT</w:t>
            </w:r>
          </w:p>
        </w:tc>
      </w:tr>
      <w:tr w:rsidR="00A2770D" w:rsidRPr="00833535" w:rsidTr="007B606E">
        <w:trPr>
          <w:trHeight w:val="993"/>
        </w:trPr>
        <w:tc>
          <w:tcPr>
            <w:tcW w:w="672" w:type="dxa"/>
            <w:noWrap/>
            <w:vAlign w:val="center"/>
            <w:hideMark/>
          </w:tcPr>
          <w:p w:rsidR="00A2770D" w:rsidRPr="00833535" w:rsidRDefault="00A2770D" w:rsidP="007B606E">
            <w:pPr>
              <w:tabs>
                <w:tab w:val="left" w:pos="2100"/>
              </w:tabs>
              <w:jc w:val="center"/>
              <w:rPr>
                <w:iCs/>
              </w:rPr>
            </w:pPr>
            <w:r w:rsidRPr="00833535">
              <w:rPr>
                <w:iCs/>
              </w:rPr>
              <w:t>1</w:t>
            </w:r>
          </w:p>
        </w:tc>
        <w:tc>
          <w:tcPr>
            <w:tcW w:w="2391" w:type="dxa"/>
            <w:vAlign w:val="center"/>
            <w:hideMark/>
          </w:tcPr>
          <w:p w:rsidR="00A2770D" w:rsidRPr="00833535" w:rsidRDefault="00A2770D" w:rsidP="007B606E">
            <w:pPr>
              <w:tabs>
                <w:tab w:val="left" w:pos="2100"/>
              </w:tabs>
              <w:rPr>
                <w:iCs/>
              </w:rPr>
            </w:pPr>
            <w:r w:rsidRPr="00833535">
              <w:rPr>
                <w:iCs/>
              </w:rPr>
              <w:t>Bì CT</w:t>
            </w:r>
          </w:p>
        </w:tc>
        <w:tc>
          <w:tcPr>
            <w:tcW w:w="3441" w:type="dxa"/>
            <w:vAlign w:val="center"/>
            <w:hideMark/>
          </w:tcPr>
          <w:p w:rsidR="00A2770D" w:rsidRPr="00833535" w:rsidRDefault="00A2770D" w:rsidP="007B606E">
            <w:pPr>
              <w:tabs>
                <w:tab w:val="left" w:pos="2100"/>
              </w:tabs>
              <w:jc w:val="left"/>
              <w:rPr>
                <w:iCs/>
              </w:rPr>
            </w:pPr>
            <w:r w:rsidRPr="00833535">
              <w:rPr>
                <w:iCs/>
              </w:rPr>
              <w:t>Khổ: 52x41cm; In 1 mặt trước, chữ màu đen, chất liệu: nylon, màu xanh</w:t>
            </w:r>
          </w:p>
        </w:tc>
        <w:tc>
          <w:tcPr>
            <w:tcW w:w="1010" w:type="dxa"/>
            <w:vAlign w:val="center"/>
            <w:hideMark/>
          </w:tcPr>
          <w:p w:rsidR="00A2770D" w:rsidRPr="00833535" w:rsidRDefault="00A2770D" w:rsidP="007B606E">
            <w:pPr>
              <w:tabs>
                <w:tab w:val="left" w:pos="2100"/>
              </w:tabs>
              <w:jc w:val="center"/>
              <w:rPr>
                <w:iCs/>
              </w:rPr>
            </w:pPr>
            <w:r w:rsidRPr="00833535">
              <w:rPr>
                <w:iCs/>
              </w:rPr>
              <w:t>Bì</w:t>
            </w:r>
          </w:p>
        </w:tc>
        <w:tc>
          <w:tcPr>
            <w:tcW w:w="850" w:type="dxa"/>
            <w:vAlign w:val="center"/>
            <w:hideMark/>
          </w:tcPr>
          <w:p w:rsidR="00A2770D" w:rsidRPr="00833535" w:rsidRDefault="00A2770D" w:rsidP="007B606E">
            <w:pPr>
              <w:tabs>
                <w:tab w:val="left" w:pos="2100"/>
              </w:tabs>
              <w:jc w:val="center"/>
              <w:rPr>
                <w:iCs/>
              </w:rPr>
            </w:pPr>
            <w:r w:rsidRPr="00833535">
              <w:rPr>
                <w:iCs/>
              </w:rPr>
              <w:t>13.000</w:t>
            </w:r>
          </w:p>
        </w:tc>
        <w:tc>
          <w:tcPr>
            <w:tcW w:w="1134" w:type="dxa"/>
            <w:vAlign w:val="center"/>
          </w:tcPr>
          <w:p w:rsidR="00A2770D" w:rsidRPr="00833535" w:rsidRDefault="00A2770D" w:rsidP="007B606E">
            <w:pPr>
              <w:tabs>
                <w:tab w:val="left" w:pos="2100"/>
              </w:tabs>
              <w:jc w:val="center"/>
              <w:rPr>
                <w:iCs/>
              </w:rPr>
            </w:pPr>
          </w:p>
        </w:tc>
        <w:tc>
          <w:tcPr>
            <w:tcW w:w="1276" w:type="dxa"/>
            <w:vAlign w:val="center"/>
          </w:tcPr>
          <w:p w:rsidR="00A2770D" w:rsidRPr="00833535" w:rsidRDefault="00A2770D" w:rsidP="007B606E">
            <w:pPr>
              <w:tabs>
                <w:tab w:val="left" w:pos="2100"/>
              </w:tabs>
              <w:jc w:val="center"/>
              <w:rPr>
                <w:iCs/>
              </w:rPr>
            </w:pPr>
          </w:p>
        </w:tc>
      </w:tr>
      <w:tr w:rsidR="00A2770D" w:rsidRPr="00833535" w:rsidTr="007B606E">
        <w:trPr>
          <w:trHeight w:val="979"/>
        </w:trPr>
        <w:tc>
          <w:tcPr>
            <w:tcW w:w="672" w:type="dxa"/>
            <w:noWrap/>
            <w:vAlign w:val="center"/>
            <w:hideMark/>
          </w:tcPr>
          <w:p w:rsidR="00A2770D" w:rsidRPr="00833535" w:rsidRDefault="00A2770D" w:rsidP="007B606E">
            <w:pPr>
              <w:tabs>
                <w:tab w:val="left" w:pos="2100"/>
              </w:tabs>
              <w:jc w:val="center"/>
              <w:rPr>
                <w:iCs/>
              </w:rPr>
            </w:pPr>
            <w:r w:rsidRPr="00833535">
              <w:rPr>
                <w:iCs/>
              </w:rPr>
              <w:t>2</w:t>
            </w:r>
          </w:p>
        </w:tc>
        <w:tc>
          <w:tcPr>
            <w:tcW w:w="2391" w:type="dxa"/>
            <w:vAlign w:val="center"/>
            <w:hideMark/>
          </w:tcPr>
          <w:p w:rsidR="00A2770D" w:rsidRPr="00833535" w:rsidRDefault="00A2770D" w:rsidP="007B606E">
            <w:pPr>
              <w:tabs>
                <w:tab w:val="left" w:pos="2100"/>
              </w:tabs>
              <w:rPr>
                <w:iCs/>
              </w:rPr>
            </w:pPr>
            <w:r w:rsidRPr="00833535">
              <w:rPr>
                <w:iCs/>
              </w:rPr>
              <w:t>Bì Xquang</w:t>
            </w:r>
          </w:p>
        </w:tc>
        <w:tc>
          <w:tcPr>
            <w:tcW w:w="3441" w:type="dxa"/>
            <w:vAlign w:val="center"/>
            <w:hideMark/>
          </w:tcPr>
          <w:p w:rsidR="00A2770D" w:rsidRPr="00833535" w:rsidRDefault="00A2770D" w:rsidP="007B606E">
            <w:pPr>
              <w:tabs>
                <w:tab w:val="left" w:pos="2100"/>
              </w:tabs>
              <w:jc w:val="left"/>
              <w:rPr>
                <w:iCs/>
              </w:rPr>
            </w:pPr>
            <w:r w:rsidRPr="00833535">
              <w:rPr>
                <w:iCs/>
              </w:rPr>
              <w:t>Giấy bãi bằng màu trắng, khổ giấy 26 x33cm, in 1 mặt trước, chữ màu xanh</w:t>
            </w:r>
          </w:p>
        </w:tc>
        <w:tc>
          <w:tcPr>
            <w:tcW w:w="1010" w:type="dxa"/>
            <w:vAlign w:val="center"/>
            <w:hideMark/>
          </w:tcPr>
          <w:p w:rsidR="00A2770D" w:rsidRPr="00833535" w:rsidRDefault="00A2770D" w:rsidP="007B606E">
            <w:pPr>
              <w:tabs>
                <w:tab w:val="left" w:pos="2100"/>
              </w:tabs>
              <w:jc w:val="center"/>
              <w:rPr>
                <w:iCs/>
              </w:rPr>
            </w:pPr>
            <w:r w:rsidRPr="00833535">
              <w:rPr>
                <w:iCs/>
              </w:rPr>
              <w:t>Bì</w:t>
            </w:r>
          </w:p>
        </w:tc>
        <w:tc>
          <w:tcPr>
            <w:tcW w:w="850" w:type="dxa"/>
            <w:vAlign w:val="center"/>
            <w:hideMark/>
          </w:tcPr>
          <w:p w:rsidR="00A2770D" w:rsidRPr="00833535" w:rsidRDefault="00A2770D" w:rsidP="007B606E">
            <w:pPr>
              <w:tabs>
                <w:tab w:val="left" w:pos="2100"/>
              </w:tabs>
              <w:jc w:val="center"/>
              <w:rPr>
                <w:iCs/>
              </w:rPr>
            </w:pPr>
            <w:r w:rsidRPr="00833535">
              <w:rPr>
                <w:iCs/>
              </w:rPr>
              <w:t>78.500</w:t>
            </w:r>
          </w:p>
        </w:tc>
        <w:tc>
          <w:tcPr>
            <w:tcW w:w="1134" w:type="dxa"/>
            <w:vAlign w:val="center"/>
          </w:tcPr>
          <w:p w:rsidR="00A2770D" w:rsidRPr="00833535" w:rsidRDefault="00A2770D" w:rsidP="007B606E">
            <w:pPr>
              <w:tabs>
                <w:tab w:val="left" w:pos="2100"/>
              </w:tabs>
              <w:jc w:val="center"/>
              <w:rPr>
                <w:iCs/>
              </w:rPr>
            </w:pPr>
          </w:p>
        </w:tc>
        <w:tc>
          <w:tcPr>
            <w:tcW w:w="1276" w:type="dxa"/>
            <w:vAlign w:val="center"/>
          </w:tcPr>
          <w:p w:rsidR="00A2770D" w:rsidRPr="00833535" w:rsidRDefault="00A2770D" w:rsidP="007B606E">
            <w:pPr>
              <w:tabs>
                <w:tab w:val="left" w:pos="2100"/>
              </w:tabs>
              <w:jc w:val="center"/>
              <w:rPr>
                <w:iCs/>
              </w:rPr>
            </w:pPr>
          </w:p>
        </w:tc>
      </w:tr>
      <w:tr w:rsidR="00A2770D" w:rsidRPr="00833535" w:rsidTr="007B606E">
        <w:trPr>
          <w:trHeight w:val="978"/>
        </w:trPr>
        <w:tc>
          <w:tcPr>
            <w:tcW w:w="672" w:type="dxa"/>
            <w:noWrap/>
            <w:vAlign w:val="center"/>
            <w:hideMark/>
          </w:tcPr>
          <w:p w:rsidR="00A2770D" w:rsidRPr="00833535" w:rsidRDefault="00A2770D" w:rsidP="007B606E">
            <w:pPr>
              <w:tabs>
                <w:tab w:val="left" w:pos="2100"/>
              </w:tabs>
              <w:jc w:val="center"/>
              <w:rPr>
                <w:iCs/>
              </w:rPr>
            </w:pPr>
            <w:r w:rsidRPr="00833535">
              <w:rPr>
                <w:iCs/>
              </w:rPr>
              <w:t>3</w:t>
            </w:r>
          </w:p>
        </w:tc>
        <w:tc>
          <w:tcPr>
            <w:tcW w:w="2391" w:type="dxa"/>
            <w:vAlign w:val="center"/>
            <w:hideMark/>
          </w:tcPr>
          <w:p w:rsidR="00A2770D" w:rsidRPr="00833535" w:rsidRDefault="00A2770D" w:rsidP="007B606E">
            <w:pPr>
              <w:tabs>
                <w:tab w:val="left" w:pos="2100"/>
              </w:tabs>
              <w:rPr>
                <w:iCs/>
              </w:rPr>
            </w:pPr>
            <w:r w:rsidRPr="00833535">
              <w:rPr>
                <w:iCs/>
              </w:rPr>
              <w:t>Bì MRI</w:t>
            </w:r>
          </w:p>
        </w:tc>
        <w:tc>
          <w:tcPr>
            <w:tcW w:w="3441" w:type="dxa"/>
            <w:vAlign w:val="center"/>
            <w:hideMark/>
          </w:tcPr>
          <w:p w:rsidR="00A2770D" w:rsidRPr="00833535" w:rsidRDefault="00A2770D" w:rsidP="007B606E">
            <w:pPr>
              <w:tabs>
                <w:tab w:val="left" w:pos="2100"/>
              </w:tabs>
              <w:jc w:val="left"/>
              <w:rPr>
                <w:iCs/>
              </w:rPr>
            </w:pPr>
            <w:r w:rsidRPr="00833535">
              <w:rPr>
                <w:iCs/>
              </w:rPr>
              <w:t>Khổ: 52x41cm; In 2 mặt trước sau, chữ màu xanh, chất liệu: nylon, màu trắng</w:t>
            </w:r>
          </w:p>
        </w:tc>
        <w:tc>
          <w:tcPr>
            <w:tcW w:w="1010" w:type="dxa"/>
            <w:vAlign w:val="center"/>
            <w:hideMark/>
          </w:tcPr>
          <w:p w:rsidR="00A2770D" w:rsidRPr="00833535" w:rsidRDefault="00A2770D" w:rsidP="007B606E">
            <w:pPr>
              <w:tabs>
                <w:tab w:val="left" w:pos="2100"/>
              </w:tabs>
              <w:jc w:val="center"/>
              <w:rPr>
                <w:iCs/>
              </w:rPr>
            </w:pPr>
            <w:r w:rsidRPr="00833535">
              <w:rPr>
                <w:iCs/>
              </w:rPr>
              <w:t>Bì</w:t>
            </w:r>
          </w:p>
        </w:tc>
        <w:tc>
          <w:tcPr>
            <w:tcW w:w="850" w:type="dxa"/>
            <w:vAlign w:val="center"/>
            <w:hideMark/>
          </w:tcPr>
          <w:p w:rsidR="00A2770D" w:rsidRPr="00833535" w:rsidRDefault="00A2770D" w:rsidP="007B606E">
            <w:pPr>
              <w:tabs>
                <w:tab w:val="left" w:pos="2100"/>
              </w:tabs>
              <w:jc w:val="center"/>
              <w:rPr>
                <w:iCs/>
              </w:rPr>
            </w:pPr>
            <w:r w:rsidRPr="00833535">
              <w:rPr>
                <w:iCs/>
              </w:rPr>
              <w:t>6.350</w:t>
            </w:r>
          </w:p>
        </w:tc>
        <w:tc>
          <w:tcPr>
            <w:tcW w:w="1134" w:type="dxa"/>
            <w:vAlign w:val="center"/>
          </w:tcPr>
          <w:p w:rsidR="00A2770D" w:rsidRPr="00833535" w:rsidRDefault="00A2770D" w:rsidP="007B606E">
            <w:pPr>
              <w:tabs>
                <w:tab w:val="left" w:pos="2100"/>
              </w:tabs>
              <w:jc w:val="center"/>
              <w:rPr>
                <w:iCs/>
              </w:rPr>
            </w:pPr>
          </w:p>
        </w:tc>
        <w:tc>
          <w:tcPr>
            <w:tcW w:w="1276" w:type="dxa"/>
            <w:vAlign w:val="center"/>
          </w:tcPr>
          <w:p w:rsidR="00A2770D" w:rsidRPr="00833535" w:rsidRDefault="00A2770D" w:rsidP="007B606E">
            <w:pPr>
              <w:tabs>
                <w:tab w:val="left" w:pos="2100"/>
              </w:tabs>
              <w:jc w:val="center"/>
              <w:rPr>
                <w:iCs/>
              </w:rPr>
            </w:pPr>
          </w:p>
        </w:tc>
      </w:tr>
      <w:tr w:rsidR="00A2770D" w:rsidRPr="00833535" w:rsidTr="007B606E">
        <w:trPr>
          <w:trHeight w:val="1276"/>
        </w:trPr>
        <w:tc>
          <w:tcPr>
            <w:tcW w:w="672" w:type="dxa"/>
            <w:noWrap/>
            <w:vAlign w:val="center"/>
            <w:hideMark/>
          </w:tcPr>
          <w:p w:rsidR="00A2770D" w:rsidRPr="00833535" w:rsidRDefault="00A2770D" w:rsidP="007B606E">
            <w:pPr>
              <w:tabs>
                <w:tab w:val="left" w:pos="2100"/>
              </w:tabs>
              <w:jc w:val="center"/>
              <w:rPr>
                <w:iCs/>
              </w:rPr>
            </w:pPr>
            <w:r w:rsidRPr="00833535">
              <w:rPr>
                <w:iCs/>
              </w:rPr>
              <w:t>4</w:t>
            </w:r>
          </w:p>
        </w:tc>
        <w:tc>
          <w:tcPr>
            <w:tcW w:w="2391" w:type="dxa"/>
            <w:vAlign w:val="center"/>
            <w:hideMark/>
          </w:tcPr>
          <w:p w:rsidR="00A2770D" w:rsidRPr="00833535" w:rsidRDefault="00A2770D" w:rsidP="007B606E">
            <w:pPr>
              <w:tabs>
                <w:tab w:val="left" w:pos="2100"/>
              </w:tabs>
              <w:rPr>
                <w:iCs/>
              </w:rPr>
            </w:pPr>
            <w:r w:rsidRPr="00833535">
              <w:rPr>
                <w:iCs/>
              </w:rPr>
              <w:t>Bìa bệnh án thường</w:t>
            </w:r>
          </w:p>
        </w:tc>
        <w:tc>
          <w:tcPr>
            <w:tcW w:w="3441" w:type="dxa"/>
            <w:vAlign w:val="center"/>
            <w:hideMark/>
          </w:tcPr>
          <w:p w:rsidR="00A2770D" w:rsidRPr="00833535" w:rsidRDefault="00A2770D" w:rsidP="007B606E">
            <w:pPr>
              <w:tabs>
                <w:tab w:val="left" w:pos="2100"/>
              </w:tabs>
              <w:jc w:val="left"/>
              <w:rPr>
                <w:iCs/>
              </w:rPr>
            </w:pPr>
            <w:r w:rsidRPr="00833535">
              <w:rPr>
                <w:iCs/>
              </w:rPr>
              <w:t>Bìa: Giấy Duplex, khổ giấy 32x42cm, in 2 mặt chữ màu đen</w:t>
            </w:r>
            <w:r w:rsidRPr="00833535">
              <w:rPr>
                <w:iCs/>
              </w:rPr>
              <w:br/>
              <w:t>Gáy: Giấy bãi bằng, khổ giấy 5x30cm x30 tờ</w:t>
            </w:r>
          </w:p>
        </w:tc>
        <w:tc>
          <w:tcPr>
            <w:tcW w:w="1010" w:type="dxa"/>
            <w:vAlign w:val="center"/>
            <w:hideMark/>
          </w:tcPr>
          <w:p w:rsidR="00A2770D" w:rsidRPr="00833535" w:rsidRDefault="00A2770D" w:rsidP="007B606E">
            <w:pPr>
              <w:tabs>
                <w:tab w:val="left" w:pos="2100"/>
              </w:tabs>
              <w:jc w:val="center"/>
              <w:rPr>
                <w:iCs/>
              </w:rPr>
            </w:pPr>
            <w:r w:rsidRPr="00833535">
              <w:rPr>
                <w:iCs/>
              </w:rPr>
              <w:t>Bìa</w:t>
            </w:r>
          </w:p>
        </w:tc>
        <w:tc>
          <w:tcPr>
            <w:tcW w:w="850" w:type="dxa"/>
            <w:vAlign w:val="center"/>
            <w:hideMark/>
          </w:tcPr>
          <w:p w:rsidR="00A2770D" w:rsidRPr="00833535" w:rsidRDefault="00A2770D" w:rsidP="007B606E">
            <w:pPr>
              <w:tabs>
                <w:tab w:val="left" w:pos="2100"/>
              </w:tabs>
              <w:jc w:val="center"/>
              <w:rPr>
                <w:iCs/>
              </w:rPr>
            </w:pPr>
            <w:r w:rsidRPr="00833535">
              <w:rPr>
                <w:iCs/>
              </w:rPr>
              <w:t>56.000</w:t>
            </w:r>
          </w:p>
        </w:tc>
        <w:tc>
          <w:tcPr>
            <w:tcW w:w="1134" w:type="dxa"/>
            <w:vAlign w:val="center"/>
          </w:tcPr>
          <w:p w:rsidR="00A2770D" w:rsidRPr="00833535" w:rsidRDefault="00A2770D" w:rsidP="007B606E">
            <w:pPr>
              <w:tabs>
                <w:tab w:val="left" w:pos="2100"/>
              </w:tabs>
              <w:jc w:val="center"/>
              <w:rPr>
                <w:iCs/>
              </w:rPr>
            </w:pPr>
          </w:p>
        </w:tc>
        <w:tc>
          <w:tcPr>
            <w:tcW w:w="1276" w:type="dxa"/>
            <w:vAlign w:val="center"/>
          </w:tcPr>
          <w:p w:rsidR="00A2770D" w:rsidRPr="00833535" w:rsidRDefault="00A2770D" w:rsidP="007B606E">
            <w:pPr>
              <w:tabs>
                <w:tab w:val="left" w:pos="2100"/>
              </w:tabs>
              <w:jc w:val="center"/>
              <w:rPr>
                <w:iCs/>
              </w:rPr>
            </w:pPr>
          </w:p>
        </w:tc>
      </w:tr>
      <w:tr w:rsidR="00A2770D" w:rsidRPr="00833535" w:rsidTr="007B606E">
        <w:trPr>
          <w:trHeight w:val="1266"/>
        </w:trPr>
        <w:tc>
          <w:tcPr>
            <w:tcW w:w="672" w:type="dxa"/>
            <w:noWrap/>
            <w:vAlign w:val="center"/>
            <w:hideMark/>
          </w:tcPr>
          <w:p w:rsidR="00A2770D" w:rsidRPr="00833535" w:rsidRDefault="00A2770D" w:rsidP="007B606E">
            <w:pPr>
              <w:tabs>
                <w:tab w:val="left" w:pos="2100"/>
              </w:tabs>
              <w:jc w:val="center"/>
              <w:rPr>
                <w:iCs/>
              </w:rPr>
            </w:pPr>
            <w:r w:rsidRPr="00833535">
              <w:rPr>
                <w:iCs/>
              </w:rPr>
              <w:lastRenderedPageBreak/>
              <w:t>5</w:t>
            </w:r>
          </w:p>
        </w:tc>
        <w:tc>
          <w:tcPr>
            <w:tcW w:w="2391" w:type="dxa"/>
            <w:vAlign w:val="center"/>
            <w:hideMark/>
          </w:tcPr>
          <w:p w:rsidR="00A2770D" w:rsidRPr="00833535" w:rsidRDefault="00A2770D" w:rsidP="007B606E">
            <w:pPr>
              <w:tabs>
                <w:tab w:val="left" w:pos="2100"/>
              </w:tabs>
              <w:rPr>
                <w:iCs/>
              </w:rPr>
            </w:pPr>
            <w:r w:rsidRPr="00833535">
              <w:rPr>
                <w:iCs/>
              </w:rPr>
              <w:t>Bìa bệnh án YHCT</w:t>
            </w:r>
          </w:p>
        </w:tc>
        <w:tc>
          <w:tcPr>
            <w:tcW w:w="3441" w:type="dxa"/>
            <w:vAlign w:val="center"/>
            <w:hideMark/>
          </w:tcPr>
          <w:p w:rsidR="00A2770D" w:rsidRPr="00833535" w:rsidRDefault="00A2770D" w:rsidP="007B606E">
            <w:pPr>
              <w:tabs>
                <w:tab w:val="left" w:pos="2100"/>
              </w:tabs>
              <w:jc w:val="left"/>
              <w:rPr>
                <w:iCs/>
              </w:rPr>
            </w:pPr>
            <w:r w:rsidRPr="00833535">
              <w:rPr>
                <w:iCs/>
              </w:rPr>
              <w:t>Bìa: Giấy Duplex, khổ giấy 32x42cm, in 1 mặt chữ màu đen</w:t>
            </w:r>
            <w:r w:rsidRPr="00833535">
              <w:rPr>
                <w:iCs/>
              </w:rPr>
              <w:br/>
              <w:t>Gáy: Giấy bãi bằng, khổ giấy 5x30cm x30 tờ</w:t>
            </w:r>
          </w:p>
        </w:tc>
        <w:tc>
          <w:tcPr>
            <w:tcW w:w="1010" w:type="dxa"/>
            <w:vAlign w:val="center"/>
            <w:hideMark/>
          </w:tcPr>
          <w:p w:rsidR="00A2770D" w:rsidRPr="00833535" w:rsidRDefault="00A2770D" w:rsidP="007B606E">
            <w:pPr>
              <w:tabs>
                <w:tab w:val="left" w:pos="2100"/>
              </w:tabs>
              <w:jc w:val="center"/>
              <w:rPr>
                <w:iCs/>
              </w:rPr>
            </w:pPr>
            <w:r w:rsidRPr="00833535">
              <w:rPr>
                <w:iCs/>
              </w:rPr>
              <w:t>Bìa</w:t>
            </w:r>
          </w:p>
        </w:tc>
        <w:tc>
          <w:tcPr>
            <w:tcW w:w="850" w:type="dxa"/>
            <w:vAlign w:val="center"/>
            <w:hideMark/>
          </w:tcPr>
          <w:p w:rsidR="00A2770D" w:rsidRPr="00833535" w:rsidRDefault="00A2770D" w:rsidP="007B606E">
            <w:pPr>
              <w:tabs>
                <w:tab w:val="left" w:pos="2100"/>
              </w:tabs>
              <w:jc w:val="center"/>
              <w:rPr>
                <w:iCs/>
              </w:rPr>
            </w:pPr>
            <w:r w:rsidRPr="00833535">
              <w:rPr>
                <w:iCs/>
              </w:rPr>
              <w:t>3.050</w:t>
            </w:r>
          </w:p>
        </w:tc>
        <w:tc>
          <w:tcPr>
            <w:tcW w:w="1134" w:type="dxa"/>
            <w:vAlign w:val="center"/>
          </w:tcPr>
          <w:p w:rsidR="00A2770D" w:rsidRPr="00833535" w:rsidRDefault="00A2770D" w:rsidP="007B606E">
            <w:pPr>
              <w:tabs>
                <w:tab w:val="left" w:pos="2100"/>
              </w:tabs>
              <w:jc w:val="center"/>
              <w:rPr>
                <w:iCs/>
              </w:rPr>
            </w:pPr>
          </w:p>
        </w:tc>
        <w:tc>
          <w:tcPr>
            <w:tcW w:w="1276" w:type="dxa"/>
            <w:vAlign w:val="center"/>
          </w:tcPr>
          <w:p w:rsidR="00A2770D" w:rsidRPr="00833535" w:rsidRDefault="00A2770D" w:rsidP="007B606E">
            <w:pPr>
              <w:tabs>
                <w:tab w:val="left" w:pos="2100"/>
              </w:tabs>
              <w:jc w:val="center"/>
              <w:rPr>
                <w:iCs/>
              </w:rPr>
            </w:pPr>
          </w:p>
        </w:tc>
      </w:tr>
      <w:tr w:rsidR="00A2770D" w:rsidRPr="00833535" w:rsidTr="007B606E">
        <w:trPr>
          <w:trHeight w:val="850"/>
        </w:trPr>
        <w:tc>
          <w:tcPr>
            <w:tcW w:w="672" w:type="dxa"/>
            <w:noWrap/>
            <w:vAlign w:val="center"/>
            <w:hideMark/>
          </w:tcPr>
          <w:p w:rsidR="00A2770D" w:rsidRPr="00833535" w:rsidRDefault="00A2770D" w:rsidP="007B606E">
            <w:pPr>
              <w:tabs>
                <w:tab w:val="left" w:pos="2100"/>
              </w:tabs>
              <w:jc w:val="center"/>
              <w:rPr>
                <w:iCs/>
              </w:rPr>
            </w:pPr>
            <w:r w:rsidRPr="00833535">
              <w:rPr>
                <w:iCs/>
              </w:rPr>
              <w:t>6</w:t>
            </w:r>
          </w:p>
        </w:tc>
        <w:tc>
          <w:tcPr>
            <w:tcW w:w="2391" w:type="dxa"/>
            <w:vAlign w:val="center"/>
            <w:hideMark/>
          </w:tcPr>
          <w:p w:rsidR="00A2770D" w:rsidRPr="00833535" w:rsidRDefault="00A2770D" w:rsidP="007B606E">
            <w:pPr>
              <w:tabs>
                <w:tab w:val="left" w:pos="2100"/>
              </w:tabs>
              <w:rPr>
                <w:iCs/>
              </w:rPr>
            </w:pPr>
            <w:r w:rsidRPr="00833535">
              <w:rPr>
                <w:iCs/>
              </w:rPr>
              <w:t>Phiếu tiêm chủng cá nhân</w:t>
            </w:r>
          </w:p>
        </w:tc>
        <w:tc>
          <w:tcPr>
            <w:tcW w:w="3441" w:type="dxa"/>
            <w:vAlign w:val="center"/>
            <w:hideMark/>
          </w:tcPr>
          <w:p w:rsidR="00A2770D" w:rsidRPr="00833535" w:rsidRDefault="00A2770D" w:rsidP="007B606E">
            <w:pPr>
              <w:tabs>
                <w:tab w:val="left" w:pos="2100"/>
              </w:tabs>
              <w:jc w:val="left"/>
              <w:rPr>
                <w:iCs/>
              </w:rPr>
            </w:pPr>
            <w:r w:rsidRPr="00833535">
              <w:rPr>
                <w:iCs/>
              </w:rPr>
              <w:t>Giấy For màu xanh, khổ giấy 12x9cmx2 mặt, chữ màu đen</w:t>
            </w:r>
          </w:p>
        </w:tc>
        <w:tc>
          <w:tcPr>
            <w:tcW w:w="1010" w:type="dxa"/>
            <w:vAlign w:val="center"/>
            <w:hideMark/>
          </w:tcPr>
          <w:p w:rsidR="00A2770D" w:rsidRPr="00833535" w:rsidRDefault="00A2770D" w:rsidP="007B606E">
            <w:pPr>
              <w:tabs>
                <w:tab w:val="left" w:pos="2100"/>
              </w:tabs>
              <w:jc w:val="center"/>
              <w:rPr>
                <w:iCs/>
              </w:rPr>
            </w:pPr>
            <w:r w:rsidRPr="00833535">
              <w:rPr>
                <w:iCs/>
              </w:rPr>
              <w:t>Tờ</w:t>
            </w:r>
          </w:p>
        </w:tc>
        <w:tc>
          <w:tcPr>
            <w:tcW w:w="850" w:type="dxa"/>
            <w:vAlign w:val="center"/>
            <w:hideMark/>
          </w:tcPr>
          <w:p w:rsidR="00A2770D" w:rsidRPr="00833535" w:rsidRDefault="00A2770D" w:rsidP="007B606E">
            <w:pPr>
              <w:tabs>
                <w:tab w:val="left" w:pos="2100"/>
              </w:tabs>
              <w:jc w:val="center"/>
              <w:rPr>
                <w:iCs/>
              </w:rPr>
            </w:pPr>
            <w:r w:rsidRPr="00833535">
              <w:rPr>
                <w:iCs/>
              </w:rPr>
              <w:t>1.700</w:t>
            </w:r>
          </w:p>
        </w:tc>
        <w:tc>
          <w:tcPr>
            <w:tcW w:w="1134" w:type="dxa"/>
            <w:vAlign w:val="center"/>
          </w:tcPr>
          <w:p w:rsidR="00A2770D" w:rsidRPr="00833535" w:rsidRDefault="00A2770D" w:rsidP="007B606E">
            <w:pPr>
              <w:tabs>
                <w:tab w:val="left" w:pos="2100"/>
              </w:tabs>
              <w:jc w:val="center"/>
              <w:rPr>
                <w:iCs/>
              </w:rPr>
            </w:pPr>
          </w:p>
        </w:tc>
        <w:tc>
          <w:tcPr>
            <w:tcW w:w="1276" w:type="dxa"/>
            <w:vAlign w:val="center"/>
          </w:tcPr>
          <w:p w:rsidR="00A2770D" w:rsidRPr="00833535" w:rsidRDefault="00A2770D" w:rsidP="007B606E">
            <w:pPr>
              <w:tabs>
                <w:tab w:val="left" w:pos="2100"/>
              </w:tabs>
              <w:jc w:val="center"/>
              <w:rPr>
                <w:iCs/>
              </w:rPr>
            </w:pPr>
          </w:p>
        </w:tc>
      </w:tr>
      <w:tr w:rsidR="00A2770D" w:rsidRPr="00833535" w:rsidTr="007B606E">
        <w:trPr>
          <w:trHeight w:val="850"/>
        </w:trPr>
        <w:tc>
          <w:tcPr>
            <w:tcW w:w="672" w:type="dxa"/>
            <w:noWrap/>
            <w:vAlign w:val="center"/>
            <w:hideMark/>
          </w:tcPr>
          <w:p w:rsidR="00A2770D" w:rsidRPr="00833535" w:rsidRDefault="00A2770D" w:rsidP="007B606E">
            <w:pPr>
              <w:tabs>
                <w:tab w:val="left" w:pos="2100"/>
              </w:tabs>
              <w:jc w:val="center"/>
              <w:rPr>
                <w:iCs/>
              </w:rPr>
            </w:pPr>
            <w:r w:rsidRPr="00833535">
              <w:rPr>
                <w:iCs/>
              </w:rPr>
              <w:t>7</w:t>
            </w:r>
          </w:p>
        </w:tc>
        <w:tc>
          <w:tcPr>
            <w:tcW w:w="2391" w:type="dxa"/>
            <w:vAlign w:val="center"/>
            <w:hideMark/>
          </w:tcPr>
          <w:p w:rsidR="00A2770D" w:rsidRPr="00833535" w:rsidRDefault="00A2770D" w:rsidP="007B606E">
            <w:pPr>
              <w:tabs>
                <w:tab w:val="left" w:pos="2100"/>
              </w:tabs>
              <w:rPr>
                <w:iCs/>
              </w:rPr>
            </w:pPr>
            <w:r w:rsidRPr="00833535">
              <w:rPr>
                <w:iCs/>
              </w:rPr>
              <w:t>Phiếu khám bệnh ưu tiên</w:t>
            </w:r>
          </w:p>
        </w:tc>
        <w:tc>
          <w:tcPr>
            <w:tcW w:w="3441" w:type="dxa"/>
            <w:vAlign w:val="center"/>
            <w:hideMark/>
          </w:tcPr>
          <w:p w:rsidR="00A2770D" w:rsidRPr="00833535" w:rsidRDefault="00A2770D" w:rsidP="007B606E">
            <w:pPr>
              <w:tabs>
                <w:tab w:val="left" w:pos="2100"/>
              </w:tabs>
              <w:jc w:val="left"/>
              <w:rPr>
                <w:iCs/>
              </w:rPr>
            </w:pPr>
            <w:r w:rsidRPr="00833535">
              <w:rPr>
                <w:iCs/>
              </w:rPr>
              <w:t>Giấy For màu hồng, khổ giấy 6x11cmx2 mặt, chữ màu đen</w:t>
            </w:r>
          </w:p>
        </w:tc>
        <w:tc>
          <w:tcPr>
            <w:tcW w:w="1010" w:type="dxa"/>
            <w:vAlign w:val="center"/>
            <w:hideMark/>
          </w:tcPr>
          <w:p w:rsidR="00A2770D" w:rsidRPr="00833535" w:rsidRDefault="00A2770D" w:rsidP="007B606E">
            <w:pPr>
              <w:tabs>
                <w:tab w:val="left" w:pos="2100"/>
              </w:tabs>
              <w:jc w:val="center"/>
              <w:rPr>
                <w:iCs/>
              </w:rPr>
            </w:pPr>
            <w:r w:rsidRPr="00833535">
              <w:rPr>
                <w:iCs/>
              </w:rPr>
              <w:t>Tờ</w:t>
            </w:r>
          </w:p>
        </w:tc>
        <w:tc>
          <w:tcPr>
            <w:tcW w:w="850" w:type="dxa"/>
            <w:vAlign w:val="center"/>
            <w:hideMark/>
          </w:tcPr>
          <w:p w:rsidR="00A2770D" w:rsidRPr="00833535" w:rsidRDefault="00A2770D" w:rsidP="007B606E">
            <w:pPr>
              <w:tabs>
                <w:tab w:val="left" w:pos="2100"/>
              </w:tabs>
              <w:jc w:val="center"/>
              <w:rPr>
                <w:iCs/>
              </w:rPr>
            </w:pPr>
            <w:r w:rsidRPr="00833535">
              <w:rPr>
                <w:iCs/>
              </w:rPr>
              <w:t>4.000</w:t>
            </w:r>
          </w:p>
        </w:tc>
        <w:tc>
          <w:tcPr>
            <w:tcW w:w="1134" w:type="dxa"/>
            <w:vAlign w:val="center"/>
          </w:tcPr>
          <w:p w:rsidR="00A2770D" w:rsidRPr="00833535" w:rsidRDefault="00A2770D" w:rsidP="007B606E">
            <w:pPr>
              <w:tabs>
                <w:tab w:val="left" w:pos="2100"/>
              </w:tabs>
              <w:jc w:val="center"/>
              <w:rPr>
                <w:iCs/>
              </w:rPr>
            </w:pPr>
          </w:p>
        </w:tc>
        <w:tc>
          <w:tcPr>
            <w:tcW w:w="1276" w:type="dxa"/>
            <w:vAlign w:val="center"/>
          </w:tcPr>
          <w:p w:rsidR="00A2770D" w:rsidRPr="00833535" w:rsidRDefault="00A2770D" w:rsidP="007B606E">
            <w:pPr>
              <w:tabs>
                <w:tab w:val="left" w:pos="2100"/>
              </w:tabs>
              <w:jc w:val="center"/>
              <w:rPr>
                <w:iCs/>
              </w:rPr>
            </w:pPr>
          </w:p>
        </w:tc>
      </w:tr>
      <w:tr w:rsidR="00A2770D" w:rsidRPr="00833535" w:rsidTr="007B606E">
        <w:trPr>
          <w:trHeight w:val="850"/>
        </w:trPr>
        <w:tc>
          <w:tcPr>
            <w:tcW w:w="672" w:type="dxa"/>
            <w:noWrap/>
            <w:vAlign w:val="center"/>
            <w:hideMark/>
          </w:tcPr>
          <w:p w:rsidR="00A2770D" w:rsidRPr="00833535" w:rsidRDefault="00A2770D" w:rsidP="007B606E">
            <w:pPr>
              <w:tabs>
                <w:tab w:val="left" w:pos="2100"/>
              </w:tabs>
              <w:jc w:val="center"/>
              <w:rPr>
                <w:iCs/>
              </w:rPr>
            </w:pPr>
            <w:r w:rsidRPr="00833535">
              <w:rPr>
                <w:iCs/>
              </w:rPr>
              <w:t>8</w:t>
            </w:r>
          </w:p>
        </w:tc>
        <w:tc>
          <w:tcPr>
            <w:tcW w:w="2391" w:type="dxa"/>
            <w:vAlign w:val="center"/>
            <w:hideMark/>
          </w:tcPr>
          <w:p w:rsidR="00A2770D" w:rsidRPr="00833535" w:rsidRDefault="00A2770D" w:rsidP="007B606E">
            <w:pPr>
              <w:tabs>
                <w:tab w:val="left" w:pos="2100"/>
              </w:tabs>
              <w:rPr>
                <w:iCs/>
              </w:rPr>
            </w:pPr>
            <w:r w:rsidRPr="00833535">
              <w:rPr>
                <w:iCs/>
              </w:rPr>
              <w:t>Giấy khám sức khoẻ cho người đủ 18 tuổi trở lên</w:t>
            </w:r>
          </w:p>
        </w:tc>
        <w:tc>
          <w:tcPr>
            <w:tcW w:w="3441" w:type="dxa"/>
            <w:vAlign w:val="center"/>
            <w:hideMark/>
          </w:tcPr>
          <w:p w:rsidR="00A2770D" w:rsidRPr="00833535" w:rsidRDefault="00A2770D" w:rsidP="007B606E">
            <w:pPr>
              <w:tabs>
                <w:tab w:val="left" w:pos="2100"/>
              </w:tabs>
              <w:jc w:val="left"/>
              <w:rPr>
                <w:iCs/>
              </w:rPr>
            </w:pPr>
            <w:r w:rsidRPr="00833535">
              <w:rPr>
                <w:iCs/>
              </w:rPr>
              <w:t>Giấy bãi bằng, khổ giấy 30x42cm, in 2 mặt chữ màu đen</w:t>
            </w:r>
          </w:p>
        </w:tc>
        <w:tc>
          <w:tcPr>
            <w:tcW w:w="1010" w:type="dxa"/>
            <w:vAlign w:val="center"/>
            <w:hideMark/>
          </w:tcPr>
          <w:p w:rsidR="00A2770D" w:rsidRPr="00833535" w:rsidRDefault="00A2770D" w:rsidP="007B606E">
            <w:pPr>
              <w:tabs>
                <w:tab w:val="left" w:pos="2100"/>
              </w:tabs>
              <w:jc w:val="center"/>
              <w:rPr>
                <w:iCs/>
              </w:rPr>
            </w:pPr>
            <w:r w:rsidRPr="00833535">
              <w:rPr>
                <w:iCs/>
              </w:rPr>
              <w:t>Tờ</w:t>
            </w:r>
          </w:p>
        </w:tc>
        <w:tc>
          <w:tcPr>
            <w:tcW w:w="850" w:type="dxa"/>
            <w:vAlign w:val="center"/>
            <w:hideMark/>
          </w:tcPr>
          <w:p w:rsidR="00A2770D" w:rsidRPr="00833535" w:rsidRDefault="00A2770D" w:rsidP="007B606E">
            <w:pPr>
              <w:tabs>
                <w:tab w:val="left" w:pos="2100"/>
              </w:tabs>
              <w:jc w:val="center"/>
              <w:rPr>
                <w:iCs/>
              </w:rPr>
            </w:pPr>
            <w:r w:rsidRPr="00833535">
              <w:rPr>
                <w:iCs/>
              </w:rPr>
              <w:t>6.000</w:t>
            </w:r>
          </w:p>
        </w:tc>
        <w:tc>
          <w:tcPr>
            <w:tcW w:w="1134" w:type="dxa"/>
            <w:vAlign w:val="center"/>
          </w:tcPr>
          <w:p w:rsidR="00A2770D" w:rsidRPr="00833535" w:rsidRDefault="00A2770D" w:rsidP="007B606E">
            <w:pPr>
              <w:tabs>
                <w:tab w:val="left" w:pos="2100"/>
              </w:tabs>
              <w:jc w:val="center"/>
              <w:rPr>
                <w:iCs/>
              </w:rPr>
            </w:pPr>
          </w:p>
        </w:tc>
        <w:tc>
          <w:tcPr>
            <w:tcW w:w="1276" w:type="dxa"/>
            <w:vAlign w:val="center"/>
          </w:tcPr>
          <w:p w:rsidR="00A2770D" w:rsidRPr="00833535" w:rsidRDefault="00A2770D" w:rsidP="007B606E">
            <w:pPr>
              <w:tabs>
                <w:tab w:val="left" w:pos="2100"/>
              </w:tabs>
              <w:jc w:val="center"/>
              <w:rPr>
                <w:iCs/>
              </w:rPr>
            </w:pPr>
          </w:p>
        </w:tc>
      </w:tr>
      <w:tr w:rsidR="00A2770D" w:rsidRPr="00833535" w:rsidTr="007B606E">
        <w:trPr>
          <w:trHeight w:val="850"/>
        </w:trPr>
        <w:tc>
          <w:tcPr>
            <w:tcW w:w="672" w:type="dxa"/>
            <w:noWrap/>
            <w:vAlign w:val="center"/>
            <w:hideMark/>
          </w:tcPr>
          <w:p w:rsidR="00A2770D" w:rsidRPr="00833535" w:rsidRDefault="00A2770D" w:rsidP="007B606E">
            <w:pPr>
              <w:tabs>
                <w:tab w:val="left" w:pos="2100"/>
              </w:tabs>
              <w:jc w:val="center"/>
              <w:rPr>
                <w:iCs/>
              </w:rPr>
            </w:pPr>
            <w:r w:rsidRPr="00833535">
              <w:rPr>
                <w:iCs/>
              </w:rPr>
              <w:t>9</w:t>
            </w:r>
          </w:p>
        </w:tc>
        <w:tc>
          <w:tcPr>
            <w:tcW w:w="2391" w:type="dxa"/>
            <w:vAlign w:val="center"/>
            <w:hideMark/>
          </w:tcPr>
          <w:p w:rsidR="00A2770D" w:rsidRPr="00833535" w:rsidRDefault="00A2770D" w:rsidP="007B606E">
            <w:pPr>
              <w:tabs>
                <w:tab w:val="left" w:pos="2100"/>
              </w:tabs>
              <w:rPr>
                <w:iCs/>
              </w:rPr>
            </w:pPr>
            <w:r w:rsidRPr="00833535">
              <w:rPr>
                <w:iCs/>
              </w:rPr>
              <w:t>Giấy khám sức khoẻ cho người dưới 18 tuổi</w:t>
            </w:r>
          </w:p>
        </w:tc>
        <w:tc>
          <w:tcPr>
            <w:tcW w:w="3441" w:type="dxa"/>
            <w:vAlign w:val="center"/>
            <w:hideMark/>
          </w:tcPr>
          <w:p w:rsidR="00A2770D" w:rsidRPr="00833535" w:rsidRDefault="00A2770D" w:rsidP="007B606E">
            <w:pPr>
              <w:tabs>
                <w:tab w:val="left" w:pos="2100"/>
              </w:tabs>
              <w:jc w:val="left"/>
              <w:rPr>
                <w:iCs/>
              </w:rPr>
            </w:pPr>
            <w:r w:rsidRPr="00833535">
              <w:rPr>
                <w:iCs/>
              </w:rPr>
              <w:t>Giấy bãi bằng, khổ giấy 30x42cm, in 2 mặt chữ màu đen</w:t>
            </w:r>
          </w:p>
        </w:tc>
        <w:tc>
          <w:tcPr>
            <w:tcW w:w="1010" w:type="dxa"/>
            <w:vAlign w:val="center"/>
            <w:hideMark/>
          </w:tcPr>
          <w:p w:rsidR="00A2770D" w:rsidRPr="00833535" w:rsidRDefault="00A2770D" w:rsidP="007B606E">
            <w:pPr>
              <w:tabs>
                <w:tab w:val="left" w:pos="2100"/>
              </w:tabs>
              <w:jc w:val="center"/>
              <w:rPr>
                <w:iCs/>
              </w:rPr>
            </w:pPr>
            <w:r w:rsidRPr="00833535">
              <w:rPr>
                <w:iCs/>
              </w:rPr>
              <w:t>Tờ</w:t>
            </w:r>
          </w:p>
        </w:tc>
        <w:tc>
          <w:tcPr>
            <w:tcW w:w="850" w:type="dxa"/>
            <w:vAlign w:val="center"/>
            <w:hideMark/>
          </w:tcPr>
          <w:p w:rsidR="00A2770D" w:rsidRPr="00833535" w:rsidRDefault="00A2770D" w:rsidP="007B606E">
            <w:pPr>
              <w:tabs>
                <w:tab w:val="left" w:pos="2100"/>
              </w:tabs>
              <w:jc w:val="center"/>
              <w:rPr>
                <w:iCs/>
              </w:rPr>
            </w:pPr>
            <w:r w:rsidRPr="00833535">
              <w:rPr>
                <w:iCs/>
              </w:rPr>
              <w:t>490</w:t>
            </w:r>
          </w:p>
        </w:tc>
        <w:tc>
          <w:tcPr>
            <w:tcW w:w="1134" w:type="dxa"/>
            <w:vAlign w:val="center"/>
          </w:tcPr>
          <w:p w:rsidR="00A2770D" w:rsidRPr="00833535" w:rsidRDefault="00A2770D" w:rsidP="007B606E">
            <w:pPr>
              <w:tabs>
                <w:tab w:val="left" w:pos="2100"/>
              </w:tabs>
              <w:jc w:val="center"/>
              <w:rPr>
                <w:iCs/>
              </w:rPr>
            </w:pPr>
          </w:p>
        </w:tc>
        <w:tc>
          <w:tcPr>
            <w:tcW w:w="1276" w:type="dxa"/>
            <w:vAlign w:val="center"/>
          </w:tcPr>
          <w:p w:rsidR="00A2770D" w:rsidRPr="00833535" w:rsidRDefault="00A2770D" w:rsidP="007B606E">
            <w:pPr>
              <w:tabs>
                <w:tab w:val="left" w:pos="2100"/>
              </w:tabs>
              <w:jc w:val="center"/>
              <w:rPr>
                <w:iCs/>
              </w:rPr>
            </w:pPr>
          </w:p>
        </w:tc>
      </w:tr>
      <w:tr w:rsidR="00A2770D" w:rsidRPr="00833535" w:rsidTr="007B606E">
        <w:trPr>
          <w:trHeight w:val="850"/>
        </w:trPr>
        <w:tc>
          <w:tcPr>
            <w:tcW w:w="672" w:type="dxa"/>
            <w:noWrap/>
            <w:vAlign w:val="center"/>
            <w:hideMark/>
          </w:tcPr>
          <w:p w:rsidR="00A2770D" w:rsidRPr="00833535" w:rsidRDefault="00A2770D" w:rsidP="007B606E">
            <w:pPr>
              <w:tabs>
                <w:tab w:val="left" w:pos="2100"/>
              </w:tabs>
              <w:jc w:val="center"/>
              <w:rPr>
                <w:iCs/>
              </w:rPr>
            </w:pPr>
            <w:r w:rsidRPr="00833535">
              <w:rPr>
                <w:iCs/>
              </w:rPr>
              <w:t>10</w:t>
            </w:r>
          </w:p>
        </w:tc>
        <w:tc>
          <w:tcPr>
            <w:tcW w:w="2391" w:type="dxa"/>
            <w:vAlign w:val="center"/>
            <w:hideMark/>
          </w:tcPr>
          <w:p w:rsidR="00A2770D" w:rsidRPr="00833535" w:rsidRDefault="00A2770D" w:rsidP="007B606E">
            <w:pPr>
              <w:tabs>
                <w:tab w:val="left" w:pos="2100"/>
              </w:tabs>
              <w:rPr>
                <w:iCs/>
              </w:rPr>
            </w:pPr>
            <w:r w:rsidRPr="00833535">
              <w:rPr>
                <w:iCs/>
              </w:rPr>
              <w:t>Giấy khám sức khỏe cho người lái xe</w:t>
            </w:r>
          </w:p>
        </w:tc>
        <w:tc>
          <w:tcPr>
            <w:tcW w:w="3441" w:type="dxa"/>
            <w:vAlign w:val="center"/>
            <w:hideMark/>
          </w:tcPr>
          <w:p w:rsidR="00A2770D" w:rsidRPr="00833535" w:rsidRDefault="00A2770D" w:rsidP="007B606E">
            <w:pPr>
              <w:tabs>
                <w:tab w:val="left" w:pos="2100"/>
              </w:tabs>
              <w:jc w:val="left"/>
              <w:rPr>
                <w:iCs/>
              </w:rPr>
            </w:pPr>
            <w:r w:rsidRPr="00833535">
              <w:rPr>
                <w:iCs/>
              </w:rPr>
              <w:t>Giấy bãi bằng, khổ giấy 30x42cm, in 2 mặt chữ màu đen</w:t>
            </w:r>
          </w:p>
        </w:tc>
        <w:tc>
          <w:tcPr>
            <w:tcW w:w="1010" w:type="dxa"/>
            <w:vAlign w:val="center"/>
            <w:hideMark/>
          </w:tcPr>
          <w:p w:rsidR="00A2770D" w:rsidRPr="00833535" w:rsidRDefault="00A2770D" w:rsidP="007B606E">
            <w:pPr>
              <w:tabs>
                <w:tab w:val="left" w:pos="2100"/>
              </w:tabs>
              <w:jc w:val="center"/>
              <w:rPr>
                <w:iCs/>
              </w:rPr>
            </w:pPr>
            <w:r w:rsidRPr="00833535">
              <w:rPr>
                <w:iCs/>
              </w:rPr>
              <w:t>Tờ</w:t>
            </w:r>
          </w:p>
        </w:tc>
        <w:tc>
          <w:tcPr>
            <w:tcW w:w="850" w:type="dxa"/>
            <w:vAlign w:val="center"/>
            <w:hideMark/>
          </w:tcPr>
          <w:p w:rsidR="00A2770D" w:rsidRPr="00833535" w:rsidRDefault="00A2770D" w:rsidP="007B606E">
            <w:pPr>
              <w:tabs>
                <w:tab w:val="left" w:pos="2100"/>
              </w:tabs>
              <w:jc w:val="center"/>
              <w:rPr>
                <w:iCs/>
              </w:rPr>
            </w:pPr>
            <w:r w:rsidRPr="00833535">
              <w:rPr>
                <w:iCs/>
              </w:rPr>
              <w:t>3.700</w:t>
            </w:r>
          </w:p>
        </w:tc>
        <w:tc>
          <w:tcPr>
            <w:tcW w:w="1134" w:type="dxa"/>
            <w:vAlign w:val="center"/>
          </w:tcPr>
          <w:p w:rsidR="00A2770D" w:rsidRPr="00833535" w:rsidRDefault="00A2770D" w:rsidP="007B606E">
            <w:pPr>
              <w:tabs>
                <w:tab w:val="left" w:pos="2100"/>
              </w:tabs>
              <w:jc w:val="center"/>
              <w:rPr>
                <w:iCs/>
              </w:rPr>
            </w:pPr>
          </w:p>
        </w:tc>
        <w:tc>
          <w:tcPr>
            <w:tcW w:w="1276" w:type="dxa"/>
            <w:vAlign w:val="center"/>
          </w:tcPr>
          <w:p w:rsidR="00A2770D" w:rsidRPr="00833535" w:rsidRDefault="00A2770D" w:rsidP="007B606E">
            <w:pPr>
              <w:tabs>
                <w:tab w:val="left" w:pos="2100"/>
              </w:tabs>
              <w:jc w:val="center"/>
              <w:rPr>
                <w:iCs/>
              </w:rPr>
            </w:pPr>
          </w:p>
        </w:tc>
      </w:tr>
      <w:tr w:rsidR="00A2770D" w:rsidRPr="00833535" w:rsidTr="007B606E">
        <w:trPr>
          <w:trHeight w:val="1501"/>
        </w:trPr>
        <w:tc>
          <w:tcPr>
            <w:tcW w:w="672" w:type="dxa"/>
            <w:noWrap/>
            <w:vAlign w:val="center"/>
            <w:hideMark/>
          </w:tcPr>
          <w:p w:rsidR="00A2770D" w:rsidRPr="00833535" w:rsidRDefault="00A2770D" w:rsidP="007B606E">
            <w:pPr>
              <w:tabs>
                <w:tab w:val="left" w:pos="2100"/>
              </w:tabs>
              <w:jc w:val="center"/>
              <w:rPr>
                <w:iCs/>
              </w:rPr>
            </w:pPr>
            <w:r w:rsidRPr="00833535">
              <w:rPr>
                <w:iCs/>
              </w:rPr>
              <w:t>11</w:t>
            </w:r>
          </w:p>
        </w:tc>
        <w:tc>
          <w:tcPr>
            <w:tcW w:w="2391" w:type="dxa"/>
            <w:vAlign w:val="center"/>
            <w:hideMark/>
          </w:tcPr>
          <w:p w:rsidR="00A2770D" w:rsidRPr="00833535" w:rsidRDefault="00A2770D" w:rsidP="007B606E">
            <w:pPr>
              <w:tabs>
                <w:tab w:val="left" w:pos="2100"/>
              </w:tabs>
              <w:rPr>
                <w:iCs/>
              </w:rPr>
            </w:pPr>
            <w:r w:rsidRPr="00833535">
              <w:rPr>
                <w:iCs/>
              </w:rPr>
              <w:t>Sổ khám bệnh BHYT</w:t>
            </w:r>
          </w:p>
        </w:tc>
        <w:tc>
          <w:tcPr>
            <w:tcW w:w="3441" w:type="dxa"/>
            <w:vAlign w:val="center"/>
            <w:hideMark/>
          </w:tcPr>
          <w:p w:rsidR="00A2770D" w:rsidRPr="00833535" w:rsidRDefault="00A2770D" w:rsidP="007B606E">
            <w:pPr>
              <w:tabs>
                <w:tab w:val="left" w:pos="2100"/>
              </w:tabs>
              <w:jc w:val="left"/>
              <w:rPr>
                <w:iCs/>
              </w:rPr>
            </w:pPr>
            <w:r w:rsidRPr="00833535">
              <w:rPr>
                <w:iCs/>
              </w:rPr>
              <w:t>Khổ giấy A5 x 10 tờ</w:t>
            </w:r>
            <w:r w:rsidRPr="00833535">
              <w:rPr>
                <w:iCs/>
              </w:rPr>
              <w:br/>
              <w:t>Bìa: Giấy sài gòn màu, in 2 mặt chữ màu đen</w:t>
            </w:r>
            <w:r w:rsidRPr="00833535">
              <w:rPr>
                <w:iCs/>
              </w:rPr>
              <w:br/>
              <w:t>Ruột: Giấy bãi bằng, in 2 mặt chữ màu đen</w:t>
            </w:r>
          </w:p>
        </w:tc>
        <w:tc>
          <w:tcPr>
            <w:tcW w:w="1010" w:type="dxa"/>
            <w:vAlign w:val="center"/>
            <w:hideMark/>
          </w:tcPr>
          <w:p w:rsidR="00A2770D" w:rsidRPr="00833535" w:rsidRDefault="00A2770D" w:rsidP="007B606E">
            <w:pPr>
              <w:tabs>
                <w:tab w:val="left" w:pos="2100"/>
              </w:tabs>
              <w:jc w:val="center"/>
              <w:rPr>
                <w:iCs/>
              </w:rPr>
            </w:pPr>
            <w:r w:rsidRPr="00833535">
              <w:rPr>
                <w:iCs/>
              </w:rPr>
              <w:t>Quyển</w:t>
            </w:r>
          </w:p>
        </w:tc>
        <w:tc>
          <w:tcPr>
            <w:tcW w:w="850" w:type="dxa"/>
            <w:vAlign w:val="center"/>
            <w:hideMark/>
          </w:tcPr>
          <w:p w:rsidR="00A2770D" w:rsidRPr="00833535" w:rsidRDefault="00A2770D" w:rsidP="007B606E">
            <w:pPr>
              <w:tabs>
                <w:tab w:val="left" w:pos="2100"/>
              </w:tabs>
              <w:jc w:val="center"/>
              <w:rPr>
                <w:iCs/>
              </w:rPr>
            </w:pPr>
            <w:r w:rsidRPr="00833535">
              <w:rPr>
                <w:iCs/>
              </w:rPr>
              <w:t>18.000</w:t>
            </w:r>
          </w:p>
        </w:tc>
        <w:tc>
          <w:tcPr>
            <w:tcW w:w="1134" w:type="dxa"/>
            <w:vAlign w:val="center"/>
          </w:tcPr>
          <w:p w:rsidR="00A2770D" w:rsidRPr="00833535" w:rsidRDefault="00A2770D" w:rsidP="007B606E">
            <w:pPr>
              <w:tabs>
                <w:tab w:val="left" w:pos="2100"/>
              </w:tabs>
              <w:jc w:val="center"/>
              <w:rPr>
                <w:iCs/>
              </w:rPr>
            </w:pPr>
          </w:p>
        </w:tc>
        <w:tc>
          <w:tcPr>
            <w:tcW w:w="1276" w:type="dxa"/>
            <w:vAlign w:val="center"/>
          </w:tcPr>
          <w:p w:rsidR="00A2770D" w:rsidRPr="00833535" w:rsidRDefault="00A2770D" w:rsidP="007B606E">
            <w:pPr>
              <w:tabs>
                <w:tab w:val="left" w:pos="2100"/>
              </w:tabs>
              <w:jc w:val="center"/>
              <w:rPr>
                <w:iCs/>
              </w:rPr>
            </w:pPr>
          </w:p>
        </w:tc>
      </w:tr>
    </w:tbl>
    <w:p w:rsidR="00A2770D" w:rsidRPr="004D1049" w:rsidRDefault="00A2770D" w:rsidP="00A2770D">
      <w:pPr>
        <w:ind w:firstLine="567"/>
        <w:rPr>
          <w:b/>
          <w:i/>
          <w:sz w:val="26"/>
          <w:szCs w:val="26"/>
          <w:lang w:val="pl-PL"/>
        </w:rPr>
      </w:pPr>
      <w:r w:rsidRPr="004D1049">
        <w:rPr>
          <w:b/>
          <w:i/>
          <w:sz w:val="26"/>
          <w:szCs w:val="26"/>
          <w:lang w:val="pl-PL"/>
        </w:rPr>
        <w:t xml:space="preserve">* Ghi chú: </w:t>
      </w:r>
    </w:p>
    <w:p w:rsidR="00A2770D" w:rsidRPr="004D1049" w:rsidRDefault="00A2770D" w:rsidP="00A2770D">
      <w:pPr>
        <w:spacing w:after="200" w:line="276" w:lineRule="auto"/>
        <w:ind w:firstLine="709"/>
        <w:rPr>
          <w:sz w:val="28"/>
        </w:rPr>
      </w:pPr>
      <w:r w:rsidRPr="004D1049">
        <w:rPr>
          <w:sz w:val="28"/>
        </w:rPr>
        <w:t xml:space="preserve">- Hàng hoá nêu trên đã bao gồm đầy đủ các vật tư, phụ kiện kèm theo </w:t>
      </w:r>
      <w:proofErr w:type="gramStart"/>
      <w:r w:rsidRPr="004D1049">
        <w:rPr>
          <w:sz w:val="28"/>
        </w:rPr>
        <w:t>( nếu</w:t>
      </w:r>
      <w:proofErr w:type="gramEnd"/>
      <w:r w:rsidRPr="004D1049">
        <w:rPr>
          <w:sz w:val="28"/>
        </w:rPr>
        <w:t xml:space="preserve"> có ) đảm bảo yêu cầu sử dụng của chủ đầu tư.</w:t>
      </w:r>
    </w:p>
    <w:p w:rsidR="00A2770D" w:rsidRPr="004D1049" w:rsidRDefault="00A2770D" w:rsidP="00A2770D">
      <w:pPr>
        <w:spacing w:after="200" w:line="276" w:lineRule="auto"/>
        <w:ind w:firstLine="709"/>
        <w:rPr>
          <w:sz w:val="28"/>
        </w:rPr>
      </w:pPr>
      <w:r w:rsidRPr="004D1049">
        <w:rPr>
          <w:sz w:val="28"/>
        </w:rPr>
        <w:t>- Giá hàng hoá đã bao gồm thuế, phí vận chuyển và tất cả các chi phí khác liên quan.</w:t>
      </w:r>
    </w:p>
    <w:p w:rsidR="00A2770D" w:rsidRPr="004D1049" w:rsidRDefault="00A2770D" w:rsidP="00A2770D">
      <w:pPr>
        <w:spacing w:after="200" w:line="276" w:lineRule="auto"/>
        <w:ind w:firstLine="709"/>
        <w:rPr>
          <w:sz w:val="28"/>
        </w:rPr>
      </w:pPr>
      <w:r w:rsidRPr="004D1049">
        <w:rPr>
          <w:sz w:val="28"/>
        </w:rPr>
        <w:t xml:space="preserve">- Nhà thầu chào hàng hoá phải đảm bảo ghi rõ mã kí hiệu </w:t>
      </w:r>
      <w:proofErr w:type="gramStart"/>
      <w:r w:rsidRPr="004D1049">
        <w:rPr>
          <w:sz w:val="28"/>
        </w:rPr>
        <w:t>( nhãn</w:t>
      </w:r>
      <w:proofErr w:type="gramEnd"/>
      <w:r w:rsidRPr="004D1049">
        <w:rPr>
          <w:sz w:val="28"/>
        </w:rPr>
        <w:t xml:space="preserve"> mác sản phẩm ), nguồn gốc, xuất xứ, hãng sản xuất và kèm theo catalog bản gốc thể hiện đầy đủ thông số kỹ thuật.</w:t>
      </w:r>
    </w:p>
    <w:p w:rsidR="00A2770D" w:rsidRPr="004D1049" w:rsidRDefault="00A2770D" w:rsidP="00A2770D">
      <w:pPr>
        <w:spacing w:after="200" w:line="276" w:lineRule="auto"/>
        <w:ind w:firstLine="709"/>
        <w:rPr>
          <w:sz w:val="28"/>
        </w:rPr>
      </w:pPr>
      <w:r w:rsidRPr="004D1049">
        <w:rPr>
          <w:sz w:val="28"/>
        </w:rPr>
        <w:t>- Nhà thầu có thể dự thầu với thông số kỹ thuật khác có giá trị tương đương với thông số kỹ thuật trong E-HSMT của chủ đầu tư nhưng không được làm thay đổi nhu cầu sử dụng của chủ đầu tư về chất lượng hàng hoá.</w:t>
      </w:r>
    </w:p>
    <w:p w:rsidR="00A2770D" w:rsidRPr="004D1049" w:rsidRDefault="00A2770D" w:rsidP="00A2770D">
      <w:pPr>
        <w:spacing w:after="200" w:line="276" w:lineRule="auto"/>
        <w:ind w:firstLine="709"/>
        <w:rPr>
          <w:sz w:val="28"/>
        </w:rPr>
      </w:pPr>
      <w:r w:rsidRPr="004D1049">
        <w:rPr>
          <w:b/>
          <w:bCs/>
          <w:sz w:val="28"/>
        </w:rPr>
        <w:t>‘Tương đương’</w:t>
      </w:r>
      <w:r w:rsidRPr="004D1049">
        <w:rPr>
          <w:sz w:val="28"/>
        </w:rPr>
        <w:t>: có nghĩa là có đặc tính kỹ thuật tương tự, có tính năng sử dụng là tương đương với các hàng hoá đã nêu trên.</w:t>
      </w:r>
    </w:p>
    <w:p w:rsidR="00A2770D" w:rsidRPr="004D1049" w:rsidRDefault="00A2770D" w:rsidP="00A2770D">
      <w:pPr>
        <w:spacing w:after="200" w:line="276" w:lineRule="auto"/>
        <w:ind w:firstLine="709"/>
        <w:rPr>
          <w:sz w:val="28"/>
        </w:rPr>
      </w:pPr>
      <w:r w:rsidRPr="004D1049">
        <w:rPr>
          <w:sz w:val="28"/>
        </w:rPr>
        <w:t>Các yêu cầu khác trong mục chi tiết kĩ thuật, nhà thầu có thể dự thầu với thông số khác có giá trị tương đương hoặc tốt hơn nhưng không làm thay đổi nhu cầu sử dụng của chủ đầu từ về chất lượng hàng hoá.</w:t>
      </w:r>
    </w:p>
    <w:p w:rsidR="00A2770D" w:rsidRPr="004D1049" w:rsidRDefault="00A2770D" w:rsidP="00A2770D">
      <w:pPr>
        <w:spacing w:after="200" w:line="276" w:lineRule="auto"/>
        <w:ind w:firstLine="709"/>
        <w:rPr>
          <w:sz w:val="28"/>
        </w:rPr>
      </w:pPr>
      <w:r w:rsidRPr="004D1049">
        <w:rPr>
          <w:sz w:val="28"/>
        </w:rPr>
        <w:lastRenderedPageBreak/>
        <w:t>- Nhà thầu cung cấp bảng mô tả của tất cả các hàng hoá chào thầu của nhà thầu.</w:t>
      </w:r>
    </w:p>
    <w:p w:rsidR="00A2770D" w:rsidRPr="004D1049" w:rsidRDefault="00A2770D" w:rsidP="00A2770D">
      <w:pPr>
        <w:spacing w:after="200" w:line="276" w:lineRule="auto"/>
        <w:ind w:firstLine="709"/>
        <w:rPr>
          <w:sz w:val="28"/>
        </w:rPr>
      </w:pPr>
      <w:r w:rsidRPr="004D1049">
        <w:rPr>
          <w:sz w:val="28"/>
        </w:rPr>
        <w:t>- Trường hợp nhà thầu dự thầu với thông số kỹ thuật khác của bên mời thầu, nhà thầu phải có bảng đối chiếu so sánh thông số kỹ thuật chào thầu đảm bảo đáp ứng thông số kỹ thuật mời thầu và kèm theo giải trình để chứng minh thông số kỹ thuật là đáp ứng.</w:t>
      </w:r>
    </w:p>
    <w:p w:rsidR="00A2770D" w:rsidRPr="004D1049" w:rsidRDefault="00A2770D" w:rsidP="00A2770D">
      <w:pPr>
        <w:spacing w:after="200" w:line="276" w:lineRule="auto"/>
        <w:ind w:firstLine="709"/>
        <w:rPr>
          <w:sz w:val="28"/>
        </w:rPr>
      </w:pPr>
      <w:r w:rsidRPr="004D1049">
        <w:rPr>
          <w:sz w:val="28"/>
        </w:rPr>
        <w:t>- Nhà thầu phải đáp ứng về phạm vi cung cấp, yêu cầu về tiến độ cung cấp theo quy định tại E-HSMT.</w:t>
      </w:r>
    </w:p>
    <w:p w:rsidR="00A2770D" w:rsidRPr="004D1049" w:rsidRDefault="00A2770D" w:rsidP="00A2770D">
      <w:pPr>
        <w:spacing w:after="200" w:line="276" w:lineRule="auto"/>
        <w:ind w:firstLine="709"/>
        <w:rPr>
          <w:sz w:val="28"/>
        </w:rPr>
      </w:pPr>
      <w:r w:rsidRPr="004D1049">
        <w:rPr>
          <w:sz w:val="28"/>
        </w:rPr>
        <w:t>- Hàng mới 100%. Hạn sử dụng còn lại của hàng hóa trúng thầu tính từ thời điểm cung ứng cho cơ sở y tế bảo đảm ít nhất 1 năm.</w:t>
      </w:r>
    </w:p>
    <w:p w:rsidR="00A2770D" w:rsidRPr="004D1049" w:rsidRDefault="00A2770D" w:rsidP="00A2770D">
      <w:pPr>
        <w:spacing w:after="200" w:line="276" w:lineRule="auto"/>
        <w:ind w:firstLine="709"/>
        <w:rPr>
          <w:sz w:val="28"/>
        </w:rPr>
      </w:pPr>
      <w:r w:rsidRPr="004D1049">
        <w:rPr>
          <w:sz w:val="28"/>
        </w:rPr>
        <w:t>- Hàng hóa phải được đóng gói theo đúng quy cách của Nhà sản xuất và không bị hư hỏng, nứt vỡ, biến dạng trong quá trình giao hàng. Nhà thầu chịu chi phí vận chuyển hàng, bốc xếp; chi phí trả lại hàng (nếu hàng hóa không đạt yêu cầu).</w:t>
      </w:r>
    </w:p>
    <w:p w:rsidR="00A2770D" w:rsidRPr="004D1049" w:rsidRDefault="00A2770D" w:rsidP="00A2770D">
      <w:pPr>
        <w:spacing w:after="200" w:line="276" w:lineRule="auto"/>
        <w:ind w:firstLine="709"/>
        <w:rPr>
          <w:sz w:val="28"/>
        </w:rPr>
      </w:pPr>
      <w:r w:rsidRPr="004D1049">
        <w:rPr>
          <w:sz w:val="28"/>
        </w:rPr>
        <w:t>- Tài liệu chứng minh tính hợp lệ của hàng hóa trong HSDT theo quy định.</w:t>
      </w:r>
    </w:p>
    <w:p w:rsidR="00A2770D" w:rsidRPr="004D1049" w:rsidRDefault="00A2770D" w:rsidP="00A2770D">
      <w:pPr>
        <w:spacing w:after="200" w:line="276" w:lineRule="auto"/>
        <w:ind w:firstLine="709"/>
        <w:rPr>
          <w:sz w:val="28"/>
        </w:rPr>
      </w:pPr>
      <w:r w:rsidRPr="004D1049">
        <w:rPr>
          <w:sz w:val="28"/>
        </w:rPr>
        <w:t>- Nhà thầu phải thu hồi và giải quyết những phát sinh liên quan đến hàng hóa trong trường hợp hàng hóa đã giao nhưng không đảm bảo chất lượng hoặc có thông báo thu hồi của cơ quan có thẩm quyền mà nguyên nhân không do lỗi của bên mua.</w:t>
      </w:r>
    </w:p>
    <w:p w:rsidR="00A2770D" w:rsidRPr="004D1049" w:rsidRDefault="00A2770D" w:rsidP="00A2770D">
      <w:pPr>
        <w:spacing w:before="120" w:after="120" w:line="264" w:lineRule="auto"/>
        <w:ind w:firstLine="709"/>
        <w:rPr>
          <w:b/>
          <w:i/>
          <w:sz w:val="28"/>
          <w:szCs w:val="28"/>
          <w:lang w:val="nl-NL"/>
        </w:rPr>
      </w:pPr>
      <w:r w:rsidRPr="004D1049">
        <w:rPr>
          <w:b/>
          <w:i/>
          <w:sz w:val="28"/>
          <w:szCs w:val="28"/>
          <w:lang w:val="nl-NL"/>
        </w:rPr>
        <w:t>1.3. Các yêu cầu khác</w:t>
      </w:r>
    </w:p>
    <w:p w:rsidR="00A2770D" w:rsidRPr="004D1049" w:rsidRDefault="00A2770D" w:rsidP="00A2770D">
      <w:pPr>
        <w:spacing w:after="200" w:line="276" w:lineRule="auto"/>
        <w:ind w:firstLine="709"/>
        <w:rPr>
          <w:sz w:val="28"/>
        </w:rPr>
      </w:pPr>
      <w:r w:rsidRPr="004D1049">
        <w:rPr>
          <w:sz w:val="28"/>
        </w:rPr>
        <w:t>- Nhà thầu cam kết trong vòng 48 giờ kể từ thời điểm nhận được thông tin của Chủ đầu tư/Bên mua, nhà thầu phải tiến hành sửa chữa, khắc phục sai sót hoặc thu hồi hàng hóa bị lỗi, cung ứng hàng hóa thay thế đáp ứng tiêu chuẩn kỹ thuật và tiêu chuẩn chất lượng, đảm bảo giá cả không thay đổi. Đồng thời giải quyết những phát sinh liên quan đến hàng hóa khi có quyết định thu hồi của cơ quan quản lý, lỗi liên quan đến chất lượng.</w:t>
      </w:r>
    </w:p>
    <w:p w:rsidR="00A2770D" w:rsidRPr="004D1049" w:rsidRDefault="00A2770D" w:rsidP="00A2770D">
      <w:pPr>
        <w:pStyle w:val="SectionVIHeader"/>
        <w:spacing w:after="120" w:line="264" w:lineRule="auto"/>
        <w:ind w:firstLine="709"/>
        <w:jc w:val="left"/>
        <w:rPr>
          <w:sz w:val="28"/>
          <w:szCs w:val="28"/>
          <w:lang w:val="nl-NL"/>
        </w:rPr>
      </w:pPr>
      <w:r w:rsidRPr="004D1049">
        <w:rPr>
          <w:sz w:val="28"/>
          <w:szCs w:val="28"/>
          <w:lang w:val="nl-NL"/>
        </w:rPr>
        <w:t xml:space="preserve">Mục 2. Bản vẽ: </w:t>
      </w:r>
      <w:r w:rsidRPr="004D1049">
        <w:rPr>
          <w:b w:val="0"/>
          <w:bCs/>
          <w:sz w:val="28"/>
          <w:szCs w:val="28"/>
          <w:lang w:val="nl-NL"/>
        </w:rPr>
        <w:t>Không yêu cầu</w:t>
      </w:r>
    </w:p>
    <w:p w:rsidR="00A2770D" w:rsidRPr="004D1049" w:rsidRDefault="00A2770D" w:rsidP="00A2770D">
      <w:pPr>
        <w:pStyle w:val="SectionVIHeader"/>
        <w:widowControl w:val="0"/>
        <w:spacing w:after="120" w:line="264" w:lineRule="auto"/>
        <w:ind w:firstLine="709"/>
        <w:jc w:val="left"/>
        <w:rPr>
          <w:sz w:val="32"/>
          <w:szCs w:val="32"/>
        </w:rPr>
      </w:pPr>
      <w:r w:rsidRPr="004D1049">
        <w:rPr>
          <w:sz w:val="28"/>
        </w:rPr>
        <w:t>Mục 3. Kiểm tra và thử nghiệm</w:t>
      </w:r>
    </w:p>
    <w:p w:rsidR="00A2770D" w:rsidRPr="004D1049" w:rsidRDefault="00A2770D" w:rsidP="00A2770D">
      <w:pPr>
        <w:spacing w:after="200" w:line="276" w:lineRule="auto"/>
        <w:ind w:firstLine="709"/>
        <w:rPr>
          <w:sz w:val="28"/>
        </w:rPr>
      </w:pPr>
      <w:r w:rsidRPr="004D1049">
        <w:rPr>
          <w:sz w:val="28"/>
        </w:rPr>
        <w:t xml:space="preserve">Các kiểm tra và thử nghiệm cần tiến hành gồm có: </w:t>
      </w:r>
    </w:p>
    <w:p w:rsidR="00A2770D" w:rsidRPr="004D1049" w:rsidRDefault="00A2770D" w:rsidP="00A2770D">
      <w:pPr>
        <w:spacing w:after="200" w:line="276" w:lineRule="auto"/>
        <w:ind w:firstLine="709"/>
        <w:rPr>
          <w:sz w:val="28"/>
        </w:rPr>
      </w:pPr>
      <w:r w:rsidRPr="004D1049">
        <w:rPr>
          <w:sz w:val="28"/>
        </w:rPr>
        <w:t>- Kiểm tra tính phù hợp hàng hóa được giao so với đơn hàng gọi, có biên bản ký nhận giữa bên giao và bên nhận.</w:t>
      </w:r>
    </w:p>
    <w:p w:rsidR="00A2770D" w:rsidRPr="004D1049" w:rsidRDefault="00A2770D" w:rsidP="00A2770D">
      <w:pPr>
        <w:spacing w:after="200" w:line="276" w:lineRule="auto"/>
        <w:ind w:firstLine="709"/>
        <w:rPr>
          <w:sz w:val="28"/>
        </w:rPr>
      </w:pPr>
      <w:r w:rsidRPr="004D1049">
        <w:rPr>
          <w:sz w:val="28"/>
        </w:rPr>
        <w:t>- Kiểm tra có biên bản ghi nhận hàng hóa giao thừa, thiếu.</w:t>
      </w:r>
    </w:p>
    <w:p w:rsidR="00A2770D" w:rsidRPr="004D1049" w:rsidRDefault="00A2770D" w:rsidP="00A2770D">
      <w:pPr>
        <w:spacing w:after="200" w:line="276" w:lineRule="auto"/>
        <w:ind w:firstLine="709"/>
        <w:rPr>
          <w:sz w:val="28"/>
        </w:rPr>
      </w:pPr>
      <w:r w:rsidRPr="004D1049">
        <w:rPr>
          <w:sz w:val="28"/>
        </w:rPr>
        <w:lastRenderedPageBreak/>
        <w:t>- Kiểm tra Phiếu kiểm nghiệm chất lượng hàng hóa khi giao hàng.</w:t>
      </w:r>
    </w:p>
    <w:p w:rsidR="00A2770D" w:rsidRPr="004D1049" w:rsidRDefault="00A2770D" w:rsidP="00A2770D">
      <w:pPr>
        <w:spacing w:after="200" w:line="276" w:lineRule="auto"/>
        <w:ind w:firstLine="709"/>
        <w:rPr>
          <w:sz w:val="28"/>
        </w:rPr>
      </w:pPr>
      <w:r w:rsidRPr="004D1049">
        <w:rPr>
          <w:sz w:val="28"/>
        </w:rPr>
        <w:t>- Kiểm tra chất lượng hàng hóa về mặt cảm quan.</w:t>
      </w:r>
    </w:p>
    <w:p w:rsidR="00A2770D" w:rsidRPr="004D1049" w:rsidRDefault="00A2770D" w:rsidP="00A2770D">
      <w:pPr>
        <w:spacing w:after="200" w:line="276" w:lineRule="auto"/>
        <w:ind w:firstLine="709"/>
        <w:rPr>
          <w:sz w:val="28"/>
        </w:rPr>
      </w:pPr>
      <w:r w:rsidRPr="004D1049">
        <w:rPr>
          <w:sz w:val="28"/>
        </w:rPr>
        <w:t>- Khi có nghi ngờ về chất lượng hàng hóa cung cấp.</w:t>
      </w:r>
    </w:p>
    <w:p w:rsidR="00827302" w:rsidRDefault="00827302"/>
    <w:sectPr w:rsidR="00827302" w:rsidSect="00827302">
      <w:pgSz w:w="11907" w:h="16840" w:code="9"/>
      <w:pgMar w:top="1134" w:right="1134"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grammar="clean"/>
  <w:defaultTabStop w:val="720"/>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770D"/>
    <w:rsid w:val="0033015A"/>
    <w:rsid w:val="00827302"/>
    <w:rsid w:val="00911EF7"/>
    <w:rsid w:val="00A2770D"/>
    <w:rsid w:val="00B349FD"/>
    <w:rsid w:val="00E532B3"/>
    <w:rsid w:val="00F1161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575927E-D4F7-4555-A46A-30C9D38D5F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2770D"/>
    <w:pPr>
      <w:spacing w:after="0" w:line="240" w:lineRule="auto"/>
      <w:jc w:val="both"/>
    </w:pPr>
    <w:rPr>
      <w:rFonts w:eastAsia="Times New Roman" w:cs="Times New Roman"/>
      <w:kern w:val="0"/>
      <w:szCs w:val="20"/>
      <w14:ligatures w14:val="none"/>
    </w:rPr>
  </w:style>
  <w:style w:type="paragraph" w:styleId="Heading1">
    <w:name w:val="heading 1"/>
    <w:basedOn w:val="Normal"/>
    <w:next w:val="Normal"/>
    <w:link w:val="Heading1Char"/>
    <w:uiPriority w:val="9"/>
    <w:qFormat/>
    <w:rsid w:val="00A2770D"/>
    <w:pPr>
      <w:keepNext/>
      <w:keepLines/>
      <w:spacing w:before="360" w:after="80" w:line="278" w:lineRule="auto"/>
      <w:jc w:val="left"/>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A2770D"/>
    <w:pPr>
      <w:keepNext/>
      <w:keepLines/>
      <w:spacing w:before="160" w:after="80" w:line="278" w:lineRule="auto"/>
      <w:jc w:val="left"/>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A2770D"/>
    <w:pPr>
      <w:keepNext/>
      <w:keepLines/>
      <w:spacing w:before="160" w:after="80" w:line="278" w:lineRule="auto"/>
      <w:jc w:val="left"/>
      <w:outlineLvl w:val="2"/>
    </w:pPr>
    <w:rPr>
      <w:rFonts w:asciiTheme="minorHAnsi" w:eastAsiaTheme="majorEastAsia" w:hAnsiTheme="minorHAnsi" w:cstheme="majorBidi"/>
      <w:color w:val="0F4761"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A2770D"/>
    <w:pPr>
      <w:keepNext/>
      <w:keepLines/>
      <w:spacing w:before="80" w:after="40" w:line="278" w:lineRule="auto"/>
      <w:jc w:val="left"/>
      <w:outlineLvl w:val="3"/>
    </w:pPr>
    <w:rPr>
      <w:rFonts w:asciiTheme="minorHAnsi" w:eastAsiaTheme="majorEastAsia" w:hAnsiTheme="minorHAnsi" w:cstheme="majorBidi"/>
      <w:i/>
      <w:iCs/>
      <w:color w:val="0F4761" w:themeColor="accent1" w:themeShade="BF"/>
      <w:kern w:val="2"/>
      <w:szCs w:val="24"/>
      <w14:ligatures w14:val="standardContextual"/>
    </w:rPr>
  </w:style>
  <w:style w:type="paragraph" w:styleId="Heading5">
    <w:name w:val="heading 5"/>
    <w:basedOn w:val="Normal"/>
    <w:next w:val="Normal"/>
    <w:link w:val="Heading5Char"/>
    <w:uiPriority w:val="9"/>
    <w:semiHidden/>
    <w:unhideWhenUsed/>
    <w:qFormat/>
    <w:rsid w:val="00A2770D"/>
    <w:pPr>
      <w:keepNext/>
      <w:keepLines/>
      <w:spacing w:before="80" w:after="40" w:line="278" w:lineRule="auto"/>
      <w:jc w:val="left"/>
      <w:outlineLvl w:val="4"/>
    </w:pPr>
    <w:rPr>
      <w:rFonts w:asciiTheme="minorHAnsi" w:eastAsiaTheme="majorEastAsia" w:hAnsiTheme="minorHAnsi" w:cstheme="majorBidi"/>
      <w:color w:val="0F4761" w:themeColor="accent1" w:themeShade="BF"/>
      <w:kern w:val="2"/>
      <w:szCs w:val="24"/>
      <w14:ligatures w14:val="standardContextual"/>
    </w:rPr>
  </w:style>
  <w:style w:type="paragraph" w:styleId="Heading6">
    <w:name w:val="heading 6"/>
    <w:basedOn w:val="Normal"/>
    <w:next w:val="Normal"/>
    <w:link w:val="Heading6Char"/>
    <w:uiPriority w:val="9"/>
    <w:semiHidden/>
    <w:unhideWhenUsed/>
    <w:qFormat/>
    <w:rsid w:val="00A2770D"/>
    <w:pPr>
      <w:keepNext/>
      <w:keepLines/>
      <w:spacing w:before="40" w:line="278" w:lineRule="auto"/>
      <w:jc w:val="left"/>
      <w:outlineLvl w:val="5"/>
    </w:pPr>
    <w:rPr>
      <w:rFonts w:asciiTheme="minorHAnsi" w:eastAsiaTheme="majorEastAsia" w:hAnsiTheme="minorHAnsi" w:cstheme="majorBidi"/>
      <w:i/>
      <w:iCs/>
      <w:color w:val="595959" w:themeColor="text1" w:themeTint="A6"/>
      <w:kern w:val="2"/>
      <w:szCs w:val="24"/>
      <w14:ligatures w14:val="standardContextual"/>
    </w:rPr>
  </w:style>
  <w:style w:type="paragraph" w:styleId="Heading7">
    <w:name w:val="heading 7"/>
    <w:basedOn w:val="Normal"/>
    <w:next w:val="Normal"/>
    <w:link w:val="Heading7Char"/>
    <w:uiPriority w:val="9"/>
    <w:semiHidden/>
    <w:unhideWhenUsed/>
    <w:qFormat/>
    <w:rsid w:val="00A2770D"/>
    <w:pPr>
      <w:keepNext/>
      <w:keepLines/>
      <w:spacing w:before="40" w:line="278" w:lineRule="auto"/>
      <w:jc w:val="left"/>
      <w:outlineLvl w:val="6"/>
    </w:pPr>
    <w:rPr>
      <w:rFonts w:asciiTheme="minorHAnsi" w:eastAsiaTheme="majorEastAsia" w:hAnsiTheme="minorHAnsi" w:cstheme="majorBidi"/>
      <w:color w:val="595959" w:themeColor="text1" w:themeTint="A6"/>
      <w:kern w:val="2"/>
      <w:szCs w:val="24"/>
      <w14:ligatures w14:val="standardContextual"/>
    </w:rPr>
  </w:style>
  <w:style w:type="paragraph" w:styleId="Heading8">
    <w:name w:val="heading 8"/>
    <w:basedOn w:val="Normal"/>
    <w:next w:val="Normal"/>
    <w:link w:val="Heading8Char"/>
    <w:uiPriority w:val="9"/>
    <w:semiHidden/>
    <w:unhideWhenUsed/>
    <w:qFormat/>
    <w:rsid w:val="00A2770D"/>
    <w:pPr>
      <w:keepNext/>
      <w:keepLines/>
      <w:spacing w:line="278" w:lineRule="auto"/>
      <w:jc w:val="left"/>
      <w:outlineLvl w:val="7"/>
    </w:pPr>
    <w:rPr>
      <w:rFonts w:asciiTheme="minorHAnsi" w:eastAsiaTheme="majorEastAsia" w:hAnsiTheme="minorHAnsi" w:cstheme="majorBidi"/>
      <w:i/>
      <w:iCs/>
      <w:color w:val="272727" w:themeColor="text1" w:themeTint="D8"/>
      <w:kern w:val="2"/>
      <w:szCs w:val="24"/>
      <w14:ligatures w14:val="standardContextual"/>
    </w:rPr>
  </w:style>
  <w:style w:type="paragraph" w:styleId="Heading9">
    <w:name w:val="heading 9"/>
    <w:basedOn w:val="Normal"/>
    <w:next w:val="Normal"/>
    <w:link w:val="Heading9Char"/>
    <w:uiPriority w:val="9"/>
    <w:semiHidden/>
    <w:unhideWhenUsed/>
    <w:qFormat/>
    <w:rsid w:val="00A2770D"/>
    <w:pPr>
      <w:keepNext/>
      <w:keepLines/>
      <w:spacing w:line="278" w:lineRule="auto"/>
      <w:jc w:val="left"/>
      <w:outlineLvl w:val="8"/>
    </w:pPr>
    <w:rPr>
      <w:rFonts w:asciiTheme="minorHAnsi" w:eastAsiaTheme="majorEastAsia" w:hAnsiTheme="minorHAnsi" w:cstheme="majorBidi"/>
      <w:color w:val="272727" w:themeColor="text1" w:themeTint="D8"/>
      <w:kern w:val="2"/>
      <w:szCs w:val="24"/>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2770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2770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2770D"/>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2770D"/>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A2770D"/>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A2770D"/>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A2770D"/>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A2770D"/>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A2770D"/>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A2770D"/>
    <w:pPr>
      <w:spacing w:after="80"/>
      <w:contextualSpacing/>
      <w:jc w:val="left"/>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A2770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2770D"/>
    <w:pPr>
      <w:numPr>
        <w:ilvl w:val="1"/>
      </w:numPr>
      <w:spacing w:after="160" w:line="278" w:lineRule="auto"/>
      <w:jc w:val="left"/>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A2770D"/>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A2770D"/>
    <w:pPr>
      <w:spacing w:before="160" w:after="160" w:line="278" w:lineRule="auto"/>
      <w:jc w:val="center"/>
    </w:pPr>
    <w:rPr>
      <w:rFonts w:eastAsiaTheme="minorHAnsi" w:cstheme="minorBidi"/>
      <w:i/>
      <w:iCs/>
      <w:color w:val="404040" w:themeColor="text1" w:themeTint="BF"/>
      <w:kern w:val="2"/>
      <w:szCs w:val="24"/>
      <w14:ligatures w14:val="standardContextual"/>
    </w:rPr>
  </w:style>
  <w:style w:type="character" w:customStyle="1" w:styleId="QuoteChar">
    <w:name w:val="Quote Char"/>
    <w:basedOn w:val="DefaultParagraphFont"/>
    <w:link w:val="Quote"/>
    <w:uiPriority w:val="29"/>
    <w:rsid w:val="00A2770D"/>
    <w:rPr>
      <w:i/>
      <w:iCs/>
      <w:color w:val="404040" w:themeColor="text1" w:themeTint="BF"/>
    </w:rPr>
  </w:style>
  <w:style w:type="paragraph" w:styleId="ListParagraph">
    <w:name w:val="List Paragraph"/>
    <w:basedOn w:val="Normal"/>
    <w:uiPriority w:val="34"/>
    <w:qFormat/>
    <w:rsid w:val="00A2770D"/>
    <w:pPr>
      <w:spacing w:after="160" w:line="278" w:lineRule="auto"/>
      <w:ind w:left="720"/>
      <w:contextualSpacing/>
      <w:jc w:val="left"/>
    </w:pPr>
    <w:rPr>
      <w:rFonts w:eastAsiaTheme="minorHAnsi" w:cstheme="minorBidi"/>
      <w:kern w:val="2"/>
      <w:szCs w:val="24"/>
      <w14:ligatures w14:val="standardContextual"/>
    </w:rPr>
  </w:style>
  <w:style w:type="character" w:styleId="IntenseEmphasis">
    <w:name w:val="Intense Emphasis"/>
    <w:basedOn w:val="DefaultParagraphFont"/>
    <w:uiPriority w:val="21"/>
    <w:qFormat/>
    <w:rsid w:val="00A2770D"/>
    <w:rPr>
      <w:i/>
      <w:iCs/>
      <w:color w:val="0F4761" w:themeColor="accent1" w:themeShade="BF"/>
    </w:rPr>
  </w:style>
  <w:style w:type="paragraph" w:styleId="IntenseQuote">
    <w:name w:val="Intense Quote"/>
    <w:basedOn w:val="Normal"/>
    <w:next w:val="Normal"/>
    <w:link w:val="IntenseQuoteChar"/>
    <w:uiPriority w:val="30"/>
    <w:qFormat/>
    <w:rsid w:val="00A2770D"/>
    <w:pPr>
      <w:pBdr>
        <w:top w:val="single" w:sz="4" w:space="10" w:color="0F4761" w:themeColor="accent1" w:themeShade="BF"/>
        <w:bottom w:val="single" w:sz="4" w:space="10" w:color="0F4761" w:themeColor="accent1" w:themeShade="BF"/>
      </w:pBdr>
      <w:spacing w:before="360" w:after="360" w:line="278" w:lineRule="auto"/>
      <w:ind w:left="864" w:right="864"/>
      <w:jc w:val="center"/>
    </w:pPr>
    <w:rPr>
      <w:rFonts w:eastAsiaTheme="minorHAnsi" w:cstheme="minorBidi"/>
      <w:i/>
      <w:iCs/>
      <w:color w:val="0F4761" w:themeColor="accent1" w:themeShade="BF"/>
      <w:kern w:val="2"/>
      <w:szCs w:val="24"/>
      <w14:ligatures w14:val="standardContextual"/>
    </w:rPr>
  </w:style>
  <w:style w:type="character" w:customStyle="1" w:styleId="IntenseQuoteChar">
    <w:name w:val="Intense Quote Char"/>
    <w:basedOn w:val="DefaultParagraphFont"/>
    <w:link w:val="IntenseQuote"/>
    <w:uiPriority w:val="30"/>
    <w:rsid w:val="00A2770D"/>
    <w:rPr>
      <w:i/>
      <w:iCs/>
      <w:color w:val="0F4761" w:themeColor="accent1" w:themeShade="BF"/>
    </w:rPr>
  </w:style>
  <w:style w:type="character" w:styleId="IntenseReference">
    <w:name w:val="Intense Reference"/>
    <w:basedOn w:val="DefaultParagraphFont"/>
    <w:uiPriority w:val="32"/>
    <w:qFormat/>
    <w:rsid w:val="00A2770D"/>
    <w:rPr>
      <w:b/>
      <w:bCs/>
      <w:smallCaps/>
      <w:color w:val="0F4761" w:themeColor="accent1" w:themeShade="BF"/>
      <w:spacing w:val="5"/>
    </w:rPr>
  </w:style>
  <w:style w:type="paragraph" w:customStyle="1" w:styleId="SectionVIHeader">
    <w:name w:val="Section VI. Header"/>
    <w:basedOn w:val="Normal"/>
    <w:rsid w:val="00A2770D"/>
    <w:pPr>
      <w:spacing w:before="120" w:after="240"/>
      <w:jc w:val="center"/>
    </w:pPr>
    <w:rPr>
      <w:b/>
      <w:sz w:val="3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790</Words>
  <Characters>4507</Characters>
  <Application>Microsoft Office Word</Application>
  <DocSecurity>0</DocSecurity>
  <Lines>37</Lines>
  <Paragraphs>10</Paragraphs>
  <ScaleCrop>false</ScaleCrop>
  <Company/>
  <LinksUpToDate>false</LinksUpToDate>
  <CharactersWithSpaces>5287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1</cp:revision>
  <dcterms:created xsi:type="dcterms:W3CDTF">2025-12-09T02:03:00Z</dcterms:created>
  <dcterms:modified xsi:type="dcterms:W3CDTF">2025-12-09T02:04:00Z</dcterms:modified>
</cp:coreProperties>
</file>