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1D8A6C35" w14:textId="73D0099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 xml:space="preserve">1.1. Tên gói thầu: </w:t>
      </w:r>
      <w:r w:rsidRPr="009A65B7">
        <w:rPr>
          <w:rFonts w:asciiTheme="majorHAnsi" w:hAnsiTheme="majorHAnsi" w:cstheme="majorHAnsi"/>
          <w:bCs/>
          <w:iCs/>
          <w:sz w:val="28"/>
          <w:szCs w:val="28"/>
          <w:lang w:val="vi-VN"/>
        </w:rPr>
        <w:t>Gói thầu số 0</w:t>
      </w:r>
      <w:r w:rsidR="004C6343" w:rsidRPr="004C6343">
        <w:rPr>
          <w:rFonts w:asciiTheme="majorHAnsi" w:hAnsiTheme="majorHAnsi" w:cstheme="majorHAnsi"/>
          <w:bCs/>
          <w:iCs/>
          <w:sz w:val="28"/>
          <w:szCs w:val="28"/>
          <w:lang w:val="vi-VN"/>
        </w:rPr>
        <w:t>6</w:t>
      </w:r>
      <w:r w:rsidRPr="009A65B7">
        <w:rPr>
          <w:rFonts w:asciiTheme="majorHAnsi" w:hAnsiTheme="majorHAnsi" w:cstheme="majorHAnsi"/>
          <w:bCs/>
          <w:iCs/>
          <w:sz w:val="28"/>
          <w:szCs w:val="28"/>
          <w:lang w:val="vi-VN"/>
        </w:rPr>
        <w:t>: Thi công xây dựng</w:t>
      </w:r>
    </w:p>
    <w:p w14:paraId="6265E659" w14:textId="7777777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1.2. Loại, cấp công trình: Công trình giao thông, cấp IV.</w:t>
      </w:r>
    </w:p>
    <w:p w14:paraId="7A42CDE7" w14:textId="6F6E672A"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 xml:space="preserve">1.3. Tên dự án: </w:t>
      </w:r>
      <w:r w:rsidR="004C6343" w:rsidRPr="004C6343">
        <w:rPr>
          <w:rFonts w:asciiTheme="majorHAnsi" w:hAnsiTheme="majorHAnsi" w:cstheme="majorHAnsi"/>
          <w:color w:val="000000"/>
          <w:sz w:val="28"/>
          <w:szCs w:val="28"/>
          <w:lang w:val="vi-VN"/>
        </w:rPr>
        <w:t>Đường giao thông khu Đồng Mười – khu Phú Lực – khu Luông Lữu, xã Cẩm Khê</w:t>
      </w:r>
      <w:r w:rsidRPr="009A65B7">
        <w:rPr>
          <w:rFonts w:asciiTheme="majorHAnsi" w:hAnsiTheme="majorHAnsi" w:cstheme="majorHAnsi"/>
          <w:color w:val="000000"/>
          <w:sz w:val="28"/>
          <w:szCs w:val="28"/>
          <w:lang w:val="vi-VN"/>
        </w:rPr>
        <w:t>.</w:t>
      </w:r>
    </w:p>
    <w:p w14:paraId="6FE2147F" w14:textId="77777777" w:rsidR="004B45A5" w:rsidRPr="009A65B7" w:rsidRDefault="004B45A5" w:rsidP="00A96B8F">
      <w:pPr>
        <w:tabs>
          <w:tab w:val="left" w:pos="1418"/>
        </w:tabs>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 xml:space="preserve">1.4. Nhà thầu khảo sát, thiết kế bản vẽ thi công, dự toán: </w:t>
      </w:r>
      <w:r w:rsidRPr="009A65B7">
        <w:rPr>
          <w:rFonts w:asciiTheme="majorHAnsi" w:hAnsiTheme="majorHAnsi" w:cstheme="majorHAnsi"/>
          <w:bCs/>
          <w:color w:val="000000" w:themeColor="text1"/>
          <w:sz w:val="28"/>
          <w:szCs w:val="28"/>
          <w:lang w:val="vi-VN"/>
        </w:rPr>
        <w:t>Công ty cổ phần đầu tư và xây dựng Ngọc Ánh.</w:t>
      </w:r>
      <w:r w:rsidRPr="009A65B7">
        <w:rPr>
          <w:rFonts w:asciiTheme="majorHAnsi" w:hAnsiTheme="majorHAnsi" w:cstheme="majorHAnsi"/>
          <w:color w:val="000000" w:themeColor="text1"/>
          <w:sz w:val="28"/>
          <w:szCs w:val="28"/>
          <w:lang w:val="vi-VN"/>
        </w:rPr>
        <w:t xml:space="preserve"> </w:t>
      </w:r>
    </w:p>
    <w:p w14:paraId="4F393676" w14:textId="77777777" w:rsidR="004B45A5" w:rsidRPr="009A65B7" w:rsidRDefault="004B45A5" w:rsidP="00A96B8F">
      <w:pPr>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1.5 Nguồn vốn: Vốn ngân sách nhà nước và huy động các nguồn vốn hợp pháp khác</w:t>
      </w:r>
    </w:p>
    <w:p w14:paraId="731DDA14" w14:textId="60EB1D1D" w:rsidR="00BB10D6" w:rsidRPr="009A65B7" w:rsidRDefault="004B45A5" w:rsidP="00A96B8F">
      <w:pPr>
        <w:widowControl w:val="0"/>
        <w:spacing w:line="276" w:lineRule="auto"/>
        <w:ind w:firstLine="709"/>
        <w:rPr>
          <w:rFonts w:asciiTheme="majorHAnsi" w:hAnsiTheme="majorHAnsi" w:cstheme="majorHAnsi"/>
          <w:color w:val="000000" w:themeColor="text1"/>
          <w:sz w:val="28"/>
          <w:szCs w:val="28"/>
          <w:lang w:val="vi-VN"/>
        </w:rPr>
      </w:pPr>
      <w:r w:rsidRPr="009A65B7">
        <w:rPr>
          <w:rFonts w:asciiTheme="majorHAnsi" w:hAnsiTheme="majorHAnsi" w:cstheme="majorHAnsi"/>
          <w:color w:val="000000" w:themeColor="text1"/>
          <w:sz w:val="28"/>
          <w:szCs w:val="28"/>
          <w:lang w:val="vi-VN"/>
        </w:rPr>
        <w:t>1.6 Quy mô, chỉ tiêu kỹ thuật; các giải pháp thiết kế:</w:t>
      </w:r>
    </w:p>
    <w:p w14:paraId="2CCB9876" w14:textId="77777777" w:rsidR="00393B7B" w:rsidRPr="00393B7B" w:rsidRDefault="00DF2F6F"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4C6343">
        <w:rPr>
          <w:iCs/>
          <w:spacing w:val="-4"/>
          <w:szCs w:val="28"/>
          <w:lang w:val="vi-VN" w:eastAsia="zh-CN"/>
        </w:rPr>
        <w:tab/>
      </w:r>
      <w:r w:rsidR="00393B7B" w:rsidRPr="00393B7B">
        <w:rPr>
          <w:rFonts w:asciiTheme="majorHAnsi" w:hAnsiTheme="majorHAnsi" w:cstheme="majorHAnsi"/>
          <w:color w:val="000000" w:themeColor="text1"/>
          <w:sz w:val="28"/>
          <w:szCs w:val="28"/>
          <w:lang w:val="vi-VN"/>
        </w:rPr>
        <w:tab/>
        <w:t>Công trình thiết kế theo Tiêu chuẩn thiết kế TCVN 10380:2014 (thiết kế theo tiêu chuẩn đường giao thông nông thôn cấp A).</w:t>
      </w:r>
    </w:p>
    <w:p w14:paraId="19A4BE16" w14:textId="7ABBC426"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a) Bình đồ: Tuyến được thiết kế trên tuyến đường hiện trạng. Tuyến có tổng chiều dài  L = 3.004,41m, gồm các tuyến:</w:t>
      </w:r>
    </w:p>
    <w:p w14:paraId="601D15F3" w14:textId="1060E782"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Tuyến 01: Chiều dài L= 1.121,72m; điểm đầu tại Km0+0 (nối tiếp với đường hiện trạng khu Đồng Mười); điểm cuối tại Km1+121,72 (nối tiếp với đường hiện trạng khu Phú Lực);</w:t>
      </w:r>
    </w:p>
    <w:p w14:paraId="56E001D0" w14:textId="37A5F7BC"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Tuyến 02: Chiều dài L= 1.882,69 m; điểm đầu tại Km0+0 (nối tiếp với đường hiện trạng khu Phú Lực); điểm cuối tại Km1+882,69 (nối tiếp với đường hiện trạng khu Luông Lữu).</w:t>
      </w:r>
    </w:p>
    <w:p w14:paraId="6AB27009"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b) Trắc dọc: Cơ bản bám vào tuyến đường cũ và điểm giao nhau để thiết kế trắc dọc cho phù hợp. Cao độ thiết kế đảm bảo hài hòa với điều kiện khu vực xây dựng, phù hợp tiêu chuẩn, hạn chế đào sâu, đắp cao.</w:t>
      </w:r>
    </w:p>
    <w:p w14:paraId="5A81038D"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c) Trắc ngang:</w:t>
      </w:r>
    </w:p>
    <w:p w14:paraId="227222D9"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Tuyến 01, tuyến 02:</w:t>
      </w:r>
    </w:p>
    <w:p w14:paraId="0FAFA485"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pacing w:val="-6"/>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pacing w:val="-6"/>
          <w:sz w:val="28"/>
          <w:szCs w:val="28"/>
          <w:lang w:val="vi-VN"/>
        </w:rPr>
        <w:t>+ Chiều rộng nền đường Bnền = 6,0m; chiều rộng mặt đường Bmặt = 3,5m; Chiều rộng lề gia cố Blề gia cố = 2x0,75m; (kết cấu lề gia cố giống kết cấu mặt đường); chiều rộng lề đất Blề đất = 2x0,5m. Dốc ngang mặt đường 2%, lề đường 4%. Taluy nền đường đắp 1/1,5, nền đào đất 1/1. Gia cố mái taluy đắp bằng trồng cỏ.</w:t>
      </w:r>
    </w:p>
    <w:p w14:paraId="604732F1" w14:textId="06B83E06"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xml:space="preserve">+ Kết cấu mặt đường theo thứ tự từ trên xuống như sau: Mặt đường BTXM M250# đá 2x4, dày 20cm; Lớp bạt chống mất nước; Lớp móng đường bằng cấp phối </w:t>
      </w:r>
      <w:r w:rsidRPr="00393B7B">
        <w:rPr>
          <w:rFonts w:asciiTheme="majorHAnsi" w:hAnsiTheme="majorHAnsi" w:cstheme="majorHAnsi"/>
          <w:color w:val="000000" w:themeColor="text1"/>
          <w:sz w:val="28"/>
          <w:szCs w:val="28"/>
          <w:lang w:val="vi-VN"/>
        </w:rPr>
        <w:lastRenderedPageBreak/>
        <w:t>đá dăm loại 2 loại II đầm chặt K≥0,98, dày trung bình 15cm trên nền hiện trạng, nền đất tự nhiên hoặc đất đắp đầm chặt K≥0,95.</w:t>
      </w:r>
    </w:p>
    <w:p w14:paraId="267A4356"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d) Thoát nước:</w:t>
      </w:r>
    </w:p>
    <w:p w14:paraId="3B75F06A"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xml:space="preserve">+ Thoát nước dọc: </w:t>
      </w:r>
    </w:p>
    <w:p w14:paraId="3694F8DC"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Tại những vị trí qua khu dân cư, qua đường hiện trạng thiết kế rãnh BTCT B40 móng rãnh, thành rãnh BTCT M200, trên lớp đá dăm đệm dày 10 cm, tấm bản BTCT M250.</w:t>
      </w:r>
    </w:p>
    <w:p w14:paraId="0C1BEE69"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Tại những vị trí có độ dốc lớn và vị trí cần thiết để đảm bảo độ thoát nước dọc, thiết kế gia cố bằng tấm BTXM đúc sẵn M200, móng rãnh BTXM M200 dày 10cm trên lớp cát đệm dày 5cm.</w:t>
      </w:r>
    </w:p>
    <w:p w14:paraId="2695E77F"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pacing w:val="-8"/>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pacing w:val="-8"/>
          <w:sz w:val="28"/>
          <w:szCs w:val="28"/>
          <w:lang w:val="vi-VN"/>
        </w:rPr>
        <w:t>Vị trí tuyến không qua khu dân cư thiết kế hệ thống rãnh thoát nước dọc hình thang đào trần KT(40x120x40)cm thoát theo địa hình tự nhiên từ nơi cao về nơi thấp hơn.</w:t>
      </w:r>
    </w:p>
    <w:p w14:paraId="5FDEB333"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Thoát nước ngang: Thiết kế cống bản B50, cống bản B75; Cống tròn BTCT Ф75, Cống tròn BTCT Ф100; Cống bản BTCT B300 để đảm bảo thoát nước.</w:t>
      </w:r>
    </w:p>
    <w:p w14:paraId="7D8D90FA"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Tường chắn: Thiết kế tường chắn BTCT kết hợp gia cố mái, gia cố lề, chân khay bằng BTXM để đảm bảo độ ổn định của nền mặt đường.</w:t>
      </w:r>
    </w:p>
    <w:p w14:paraId="3AFFC4C7"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e) Di chuyển đường điện: Di chuyển các vị trí đường điện ra ngoài phạm vi nền đường.</w:t>
      </w:r>
    </w:p>
    <w:p w14:paraId="012CC6CF" w14:textId="77777777" w:rsidR="00393B7B" w:rsidRPr="00393B7B"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g) Đảm bảo an toàn giao thông: Thiết kế hộ lan mềm bằng tôn lượn sóng. Hệ thống đảm bảo an toàn giao thông tại các vị trí trên tuyến đường theo tiêu chuẩn báo hiệu đường bộ QCVN 41:2024/BGTVT.</w:t>
      </w:r>
    </w:p>
    <w:p w14:paraId="2AF38AE8" w14:textId="69D0945B" w:rsidR="00DF2F6F" w:rsidRPr="00A40321" w:rsidRDefault="00393B7B" w:rsidP="00393B7B">
      <w:pPr>
        <w:tabs>
          <w:tab w:val="left" w:pos="284"/>
        </w:tabs>
        <w:spacing w:before="20" w:after="20" w:line="401" w:lineRule="atLeast"/>
        <w:rPr>
          <w:rFonts w:asciiTheme="majorHAnsi" w:hAnsiTheme="majorHAnsi" w:cstheme="majorHAnsi"/>
          <w:color w:val="000000" w:themeColor="text1"/>
          <w:sz w:val="28"/>
          <w:szCs w:val="28"/>
          <w:lang w:val="vi-VN"/>
        </w:rPr>
      </w:pPr>
      <w:r w:rsidRPr="00393B7B">
        <w:rPr>
          <w:rFonts w:asciiTheme="majorHAnsi" w:hAnsiTheme="majorHAnsi" w:cstheme="majorHAnsi"/>
          <w:color w:val="000000" w:themeColor="text1"/>
          <w:sz w:val="28"/>
          <w:szCs w:val="28"/>
          <w:lang w:val="vi-VN"/>
        </w:rPr>
        <w:tab/>
      </w:r>
      <w:r w:rsidRPr="00393B7B">
        <w:rPr>
          <w:rFonts w:asciiTheme="majorHAnsi" w:hAnsiTheme="majorHAnsi" w:cstheme="majorHAnsi"/>
          <w:color w:val="000000" w:themeColor="text1"/>
          <w:sz w:val="28"/>
          <w:szCs w:val="28"/>
          <w:lang w:val="vi-VN"/>
        </w:rPr>
        <w:tab/>
        <w:t>- Các chi tiết khác thể hiện trong hồ sơ thiết kế bản vẽ thi công.</w:t>
      </w:r>
    </w:p>
    <w:p w14:paraId="18115A9D" w14:textId="5C02A1A4"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4B45A5" w:rsidRPr="008079C0">
        <w:rPr>
          <w:rFonts w:asciiTheme="majorHAnsi" w:hAnsiTheme="majorHAnsi" w:cstheme="majorHAnsi"/>
          <w:b/>
          <w:sz w:val="28"/>
          <w:szCs w:val="28"/>
          <w:lang w:val="vi-VN"/>
        </w:rPr>
        <w:t>33</w:t>
      </w:r>
      <w:r w:rsidR="009E1F10" w:rsidRPr="00EC166B">
        <w:rPr>
          <w:rFonts w:asciiTheme="majorHAnsi" w:hAnsiTheme="majorHAnsi" w:cstheme="majorHAnsi"/>
          <w:b/>
          <w:sz w:val="28"/>
          <w:szCs w:val="28"/>
          <w:lang w:val="vi-VN"/>
        </w:rPr>
        <w:t xml:space="preserve">0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lastRenderedPageBreak/>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lastRenderedPageBreak/>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lastRenderedPageBreak/>
              <w:t xml:space="preserve">Cốt liệu cho bê tông và vữa – Phương pháp </w:t>
            </w:r>
            <w:r w:rsidRPr="00EC166B">
              <w:rPr>
                <w:rFonts w:asciiTheme="majorHAnsi" w:hAnsiTheme="majorHAnsi" w:cstheme="majorHAnsi"/>
                <w:color w:val="000000"/>
                <w:w w:val="105"/>
                <w:sz w:val="28"/>
                <w:szCs w:val="28"/>
              </w:rPr>
              <w:lastRenderedPageBreak/>
              <w:t>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lastRenderedPageBreak/>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Kết cấu bê tông và bê tông cốt thép toàn khối - 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A40321"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A40321"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Hướng dẫn một số điều và biện pháp thi hành nghị định số 06/2021/NĐ-CP ngày 26 tháng 01 năm 2021 và nghị định số </w:t>
            </w:r>
            <w:r w:rsidRPr="00EC166B">
              <w:rPr>
                <w:rFonts w:asciiTheme="majorHAnsi" w:hAnsiTheme="majorHAnsi" w:cstheme="majorHAnsi"/>
                <w:color w:val="000000"/>
                <w:sz w:val="28"/>
                <w:szCs w:val="28"/>
              </w:rPr>
              <w:lastRenderedPageBreak/>
              <w:t>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54D2A">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5B0B0C">
        <w:trPr>
          <w:trHeight w:val="630"/>
        </w:trPr>
        <w:tc>
          <w:tcPr>
            <w:tcW w:w="708"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32"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42"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5B0B0C">
        <w:trPr>
          <w:trHeight w:val="630"/>
        </w:trPr>
        <w:tc>
          <w:tcPr>
            <w:tcW w:w="708"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32"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42"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5B0B0C">
        <w:trPr>
          <w:trHeight w:val="315"/>
        </w:trPr>
        <w:tc>
          <w:tcPr>
            <w:tcW w:w="708"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32"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42"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5B0B0C">
        <w:trPr>
          <w:trHeight w:val="315"/>
        </w:trPr>
        <w:tc>
          <w:tcPr>
            <w:tcW w:w="708"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32"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42"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5B0B0C">
        <w:trPr>
          <w:trHeight w:val="315"/>
        </w:trPr>
        <w:tc>
          <w:tcPr>
            <w:tcW w:w="708"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32"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42"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5B0B0C">
        <w:trPr>
          <w:trHeight w:val="315"/>
        </w:trPr>
        <w:tc>
          <w:tcPr>
            <w:tcW w:w="708"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32"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42"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162EB2" w:rsidRPr="00EC166B" w14:paraId="27FE26EC" w14:textId="77777777" w:rsidTr="005B0B0C">
        <w:trPr>
          <w:trHeight w:val="315"/>
        </w:trPr>
        <w:tc>
          <w:tcPr>
            <w:tcW w:w="708" w:type="dxa"/>
            <w:shd w:val="clear" w:color="auto" w:fill="auto"/>
            <w:vAlign w:val="center"/>
          </w:tcPr>
          <w:p w14:paraId="31FE9AA4" w14:textId="5C27F40A" w:rsidR="00162EB2" w:rsidRPr="00EC166B" w:rsidRDefault="00162EB2" w:rsidP="009E1F10">
            <w:pPr>
              <w:spacing w:line="276" w:lineRule="auto"/>
              <w:jc w:val="center"/>
              <w:rPr>
                <w:rFonts w:asciiTheme="majorHAnsi" w:hAnsiTheme="majorHAnsi" w:cstheme="majorHAnsi"/>
                <w:color w:val="000000"/>
                <w:sz w:val="28"/>
                <w:szCs w:val="28"/>
              </w:rPr>
            </w:pPr>
            <w:r>
              <w:rPr>
                <w:rFonts w:asciiTheme="majorHAnsi" w:hAnsiTheme="majorHAnsi" w:cstheme="majorHAnsi"/>
                <w:color w:val="000000"/>
                <w:sz w:val="28"/>
                <w:szCs w:val="28"/>
              </w:rPr>
              <w:t>6</w:t>
            </w:r>
          </w:p>
        </w:tc>
        <w:tc>
          <w:tcPr>
            <w:tcW w:w="2032" w:type="dxa"/>
            <w:shd w:val="clear" w:color="auto" w:fill="auto"/>
            <w:vAlign w:val="center"/>
          </w:tcPr>
          <w:p w14:paraId="0F7F4FFC" w14:textId="6D8FD4A2" w:rsidR="00162EB2" w:rsidRPr="00EC166B" w:rsidRDefault="00393B7B" w:rsidP="009E1F10">
            <w:pPr>
              <w:spacing w:line="276" w:lineRule="auto"/>
              <w:jc w:val="left"/>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3942" w:type="dxa"/>
            <w:shd w:val="clear" w:color="auto" w:fill="auto"/>
            <w:vAlign w:val="center"/>
          </w:tcPr>
          <w:p w14:paraId="222C3830" w14:textId="1537333E" w:rsidR="00162EB2" w:rsidRPr="00EC166B" w:rsidRDefault="00162EB2"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5744169" w14:textId="77777777" w:rsidR="00162EB2" w:rsidRPr="00EC166B" w:rsidRDefault="00162EB2"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254D2A">
        <w:trPr>
          <w:trHeight w:val="1054"/>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lastRenderedPageBreak/>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 xml:space="preserve">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w:t>
      </w:r>
      <w:r w:rsidRPr="00EC166B">
        <w:rPr>
          <w:rFonts w:asciiTheme="majorHAnsi" w:hAnsiTheme="majorHAnsi" w:cstheme="majorHAnsi"/>
          <w:color w:val="000000"/>
          <w:sz w:val="28"/>
          <w:szCs w:val="28"/>
          <w:lang w:val="de-DE"/>
        </w:rPr>
        <w:lastRenderedPageBreak/>
        <w:t>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55B15D97" w14:textId="1A75E6E4"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Giá gói thầu được cấp thẩm quyền phê duyệt với mức thuế Giá trị gia tăng (VAT) là 10%,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10%, phần chênh lệch do giảm trừ thuế (10% xuống 8%)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730"/>
        <w:gridCol w:w="2643"/>
        <w:gridCol w:w="3428"/>
      </w:tblGrid>
      <w:tr w:rsidR="009E1F10" w:rsidRPr="00EC166B" w14:paraId="596B8606" w14:textId="77777777" w:rsidTr="00393B7B">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1730"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643"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393B7B">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1730"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643" w:type="dxa"/>
            <w:shd w:val="clear" w:color="auto" w:fill="auto"/>
          </w:tcPr>
          <w:p w14:paraId="5432DB13" w14:textId="61CC20D6"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A40321">
              <w:rPr>
                <w:rFonts w:asciiTheme="majorHAnsi" w:hAnsiTheme="majorHAnsi" w:cstheme="majorHAnsi"/>
                <w:color w:val="000000"/>
                <w:sz w:val="28"/>
                <w:szCs w:val="28"/>
                <w:lang w:val="en-GB"/>
              </w:rPr>
              <w:t>525</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44AB0B62" w:rsidR="009E1F10" w:rsidRPr="00EC166B" w:rsidRDefault="00A40321"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24/11</w:t>
            </w:r>
            <w:r w:rsidR="00AD0650">
              <w:rPr>
                <w:rFonts w:asciiTheme="majorHAnsi" w:hAnsiTheme="majorHAnsi" w:cstheme="majorHAnsi"/>
                <w:color w:val="000000"/>
                <w:sz w:val="28"/>
                <w:szCs w:val="28"/>
                <w:lang w:val="en-GB"/>
              </w:rPr>
              <w:t>/2025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62EB2"/>
    <w:rsid w:val="001706DE"/>
    <w:rsid w:val="001A791B"/>
    <w:rsid w:val="002967C0"/>
    <w:rsid w:val="00357A23"/>
    <w:rsid w:val="00393B7B"/>
    <w:rsid w:val="003F32F5"/>
    <w:rsid w:val="003F6B61"/>
    <w:rsid w:val="004818C0"/>
    <w:rsid w:val="004A6718"/>
    <w:rsid w:val="004B45A5"/>
    <w:rsid w:val="004C6343"/>
    <w:rsid w:val="0050610D"/>
    <w:rsid w:val="00573CDE"/>
    <w:rsid w:val="005810E2"/>
    <w:rsid w:val="005B0B0C"/>
    <w:rsid w:val="005F5645"/>
    <w:rsid w:val="007261CF"/>
    <w:rsid w:val="008079C0"/>
    <w:rsid w:val="008904CB"/>
    <w:rsid w:val="008B67CE"/>
    <w:rsid w:val="00912362"/>
    <w:rsid w:val="009A65B7"/>
    <w:rsid w:val="009E1F10"/>
    <w:rsid w:val="00A04C28"/>
    <w:rsid w:val="00A15E96"/>
    <w:rsid w:val="00A40321"/>
    <w:rsid w:val="00A96B8F"/>
    <w:rsid w:val="00A97629"/>
    <w:rsid w:val="00AA0C75"/>
    <w:rsid w:val="00AD0650"/>
    <w:rsid w:val="00AF3297"/>
    <w:rsid w:val="00B47DF7"/>
    <w:rsid w:val="00BB10D6"/>
    <w:rsid w:val="00C8057D"/>
    <w:rsid w:val="00C95787"/>
    <w:rsid w:val="00CF295B"/>
    <w:rsid w:val="00D172F1"/>
    <w:rsid w:val="00DF2F6F"/>
    <w:rsid w:val="00E33888"/>
    <w:rsid w:val="00E67E75"/>
    <w:rsid w:val="00E80DDD"/>
    <w:rsid w:val="00EC166B"/>
    <w:rsid w:val="00ED50FB"/>
    <w:rsid w:val="00F4734B"/>
    <w:rsid w:val="00FE7718"/>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3293</Words>
  <Characters>18775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38</cp:revision>
  <cp:lastPrinted>2024-11-29T09:36:00Z</cp:lastPrinted>
  <dcterms:created xsi:type="dcterms:W3CDTF">2024-11-29T09:12:00Z</dcterms:created>
  <dcterms:modified xsi:type="dcterms:W3CDTF">2025-12-11T09:03:00Z</dcterms:modified>
</cp:coreProperties>
</file>