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63065" w14:textId="77777777" w:rsidR="006F3AEB" w:rsidRPr="00181ADB" w:rsidRDefault="006F3AEB" w:rsidP="006F3AEB">
      <w:pPr>
        <w:widowControl/>
        <w:spacing w:before="120"/>
        <w:jc w:val="center"/>
        <w:rPr>
          <w:rFonts w:ascii="Times New Roman" w:eastAsia="Times New Roman" w:hAnsi="Times New Roman"/>
          <w:b/>
          <w:bCs/>
          <w:sz w:val="28"/>
          <w:szCs w:val="28"/>
        </w:rPr>
      </w:pPr>
      <w:r w:rsidRPr="00181ADB">
        <w:rPr>
          <w:rFonts w:ascii="Times New Roman" w:eastAsia="Times New Roman" w:hAnsi="Times New Roman"/>
          <w:b/>
          <w:bCs/>
          <w:sz w:val="28"/>
          <w:szCs w:val="28"/>
        </w:rPr>
        <w:t xml:space="preserve">Phần 2: YÊU CẦU VỀ PHẠM VI CUNG CẤP </w:t>
      </w:r>
    </w:p>
    <w:p w14:paraId="119B741A" w14:textId="77777777" w:rsidR="006F3AEB" w:rsidRPr="00181ADB" w:rsidRDefault="006F3AEB" w:rsidP="006F3AEB">
      <w:pPr>
        <w:widowControl/>
        <w:spacing w:before="120"/>
        <w:jc w:val="center"/>
        <w:rPr>
          <w:rFonts w:ascii="Times New Roman" w:eastAsia="Times New Roman" w:hAnsi="Times New Roman"/>
          <w:sz w:val="28"/>
          <w:szCs w:val="28"/>
        </w:rPr>
      </w:pPr>
      <w:r w:rsidRPr="00181ADB">
        <w:rPr>
          <w:rFonts w:ascii="Times New Roman" w:eastAsia="Times New Roman" w:hAnsi="Times New Roman"/>
          <w:b/>
          <w:bCs/>
          <w:sz w:val="28"/>
          <w:szCs w:val="28"/>
        </w:rPr>
        <w:t>Chương V: PHẠM VI CUNG CẤP</w:t>
      </w:r>
    </w:p>
    <w:p w14:paraId="073553EB" w14:textId="77777777" w:rsidR="006F3AEB" w:rsidRPr="00181ADB" w:rsidRDefault="006F3AEB" w:rsidP="006F3AEB">
      <w:pPr>
        <w:pStyle w:val="Heading5"/>
        <w:spacing w:before="120" w:after="120"/>
        <w:ind w:firstLine="720"/>
        <w:jc w:val="both"/>
        <w:rPr>
          <w:rFonts w:ascii="Times New Roman" w:hAnsi="Times New Roman" w:cs="Times New Roman"/>
          <w:b/>
          <w:bCs/>
          <w:i/>
          <w:iCs/>
          <w:color w:val="auto"/>
          <w:sz w:val="28"/>
          <w:szCs w:val="28"/>
        </w:rPr>
      </w:pPr>
      <w:bookmarkStart w:id="0" w:name="_Toc175732773"/>
      <w:r w:rsidRPr="00181ADB">
        <w:rPr>
          <w:rFonts w:ascii="Times New Roman" w:hAnsi="Times New Roman" w:cs="Times New Roman"/>
          <w:b/>
          <w:bCs/>
          <w:color w:val="auto"/>
          <w:sz w:val="28"/>
          <w:szCs w:val="28"/>
        </w:rPr>
        <w:t>Mục 1. Phạm v</w:t>
      </w:r>
      <w:r w:rsidRPr="00181ADB">
        <w:rPr>
          <w:rFonts w:ascii="Times New Roman" w:hAnsi="Times New Roman" w:cs="Times New Roman"/>
          <w:b/>
          <w:bCs/>
          <w:color w:val="auto"/>
          <w:sz w:val="28"/>
          <w:szCs w:val="28"/>
          <w:lang w:val="en-US"/>
        </w:rPr>
        <w:t xml:space="preserve">i </w:t>
      </w:r>
      <w:r w:rsidRPr="00181ADB">
        <w:rPr>
          <w:rFonts w:ascii="Times New Roman" w:hAnsi="Times New Roman" w:cs="Times New Roman"/>
          <w:b/>
          <w:bCs/>
          <w:color w:val="auto"/>
          <w:sz w:val="28"/>
          <w:szCs w:val="28"/>
        </w:rPr>
        <w:t>và tiến độ cung cấp thuốc</w:t>
      </w:r>
      <w:bookmarkEnd w:id="0"/>
    </w:p>
    <w:p w14:paraId="28894719" w14:textId="4B591977" w:rsidR="006913B5" w:rsidRPr="00181ADB" w:rsidRDefault="006913B5" w:rsidP="006F3AEB">
      <w:pPr>
        <w:spacing w:before="120" w:after="120"/>
        <w:ind w:firstLine="720"/>
        <w:jc w:val="both"/>
        <w:rPr>
          <w:rFonts w:ascii="Times New Roman" w:hAnsi="Times New Roman"/>
          <w:b/>
          <w:bCs/>
          <w:sz w:val="28"/>
          <w:szCs w:val="28"/>
        </w:rPr>
      </w:pPr>
      <w:r w:rsidRPr="00181ADB">
        <w:rPr>
          <w:rFonts w:ascii="Times New Roman" w:hAnsi="Times New Roman"/>
          <w:b/>
          <w:bCs/>
          <w:sz w:val="28"/>
          <w:szCs w:val="28"/>
        </w:rPr>
        <w:t>1.1</w:t>
      </w:r>
      <w:r w:rsidRPr="00181ADB">
        <w:rPr>
          <w:b/>
          <w:bCs/>
        </w:rPr>
        <w:t xml:space="preserve"> </w:t>
      </w:r>
      <w:r w:rsidRPr="00181ADB">
        <w:rPr>
          <w:rFonts w:ascii="Times New Roman" w:hAnsi="Times New Roman"/>
          <w:b/>
          <w:bCs/>
          <w:sz w:val="28"/>
          <w:szCs w:val="28"/>
        </w:rPr>
        <w:t>Phạm vi cung cấp thuốc và dịch vụ liên quan</w:t>
      </w:r>
    </w:p>
    <w:p w14:paraId="23E11CDD" w14:textId="3B117A30" w:rsidR="006F3AEB" w:rsidRPr="00181ADB" w:rsidRDefault="006F3AEB" w:rsidP="006F3AEB">
      <w:pPr>
        <w:spacing w:before="120" w:after="120"/>
        <w:ind w:firstLine="720"/>
        <w:jc w:val="both"/>
        <w:rPr>
          <w:rFonts w:ascii="Times New Roman" w:hAnsi="Times New Roman"/>
          <w:sz w:val="28"/>
          <w:szCs w:val="28"/>
        </w:rPr>
      </w:pPr>
      <w:r w:rsidRPr="00181ADB">
        <w:rPr>
          <w:rFonts w:ascii="Times New Roman" w:hAnsi="Times New Roman"/>
          <w:sz w:val="28"/>
          <w:szCs w:val="28"/>
        </w:rPr>
        <w:t>Phạm vi và tiến độ cung cấp thuốc quy định tại Mẫu số 00, Chương IV - biểu mẫu dự thầu Phạm vi cung cấp thuốc và dịch vụ liên quan (nếu có):</w:t>
      </w:r>
    </w:p>
    <w:p w14:paraId="45F4DAA3" w14:textId="619B5729" w:rsidR="000A79EC" w:rsidRPr="00181ADB" w:rsidRDefault="000A79EC" w:rsidP="006F3AEB">
      <w:pPr>
        <w:spacing w:before="120" w:after="120"/>
        <w:ind w:firstLine="720"/>
        <w:jc w:val="both"/>
        <w:rPr>
          <w:rFonts w:ascii="Times New Roman" w:hAnsi="Times New Roman"/>
          <w:sz w:val="28"/>
          <w:szCs w:val="28"/>
        </w:rPr>
      </w:pPr>
      <w:r w:rsidRPr="00181ADB">
        <w:rPr>
          <w:rFonts w:ascii="Times New Roman" w:hAnsi="Times New Roman"/>
          <w:sz w:val="28"/>
          <w:szCs w:val="28"/>
        </w:rPr>
        <w:t>- Thuốc dự thầu phải đáp ứng các yêu cầu về thuốc được nêu tại Mẫu số 00. Riêng đơn vị tính bao gồm các dạng thường gặp đối với thuốc mời thầu, nhà thầu có thể chào các thuốc có đơn vị tính khác với đơn vị tính nêu tại Mẫu số 00 nhưng phải đáp ứng yêu cầu về kỹ thuật còn lại và việc khác nhau này không ảnh hưởng đến việc sử dụng thuốc.</w:t>
      </w:r>
    </w:p>
    <w:p w14:paraId="6860DBDF" w14:textId="7C12B77F" w:rsidR="00B852A7" w:rsidRPr="00181ADB" w:rsidRDefault="006F3AEB" w:rsidP="001F5EEC">
      <w:pPr>
        <w:spacing w:before="120" w:after="120"/>
        <w:ind w:firstLine="720"/>
        <w:jc w:val="both"/>
        <w:rPr>
          <w:rFonts w:ascii="Times New Roman" w:hAnsi="Times New Roman"/>
          <w:sz w:val="28"/>
          <w:szCs w:val="28"/>
        </w:rPr>
      </w:pPr>
      <w:r w:rsidRPr="00181ADB">
        <w:rPr>
          <w:rFonts w:ascii="Times New Roman" w:hAnsi="Times New Roman"/>
          <w:sz w:val="28"/>
          <w:szCs w:val="28"/>
        </w:rPr>
        <w:t xml:space="preserve">- </w:t>
      </w:r>
      <w:r w:rsidR="000A79EC" w:rsidRPr="00181ADB">
        <w:rPr>
          <w:rFonts w:ascii="Times New Roman" w:hAnsi="Times New Roman"/>
          <w:sz w:val="28"/>
          <w:szCs w:val="28"/>
        </w:rPr>
        <w:t>Số lượng</w:t>
      </w:r>
      <w:r w:rsidR="000A79EC" w:rsidRPr="00181ADB">
        <w:rPr>
          <w:rFonts w:ascii="Times New Roman" w:hAnsi="Times New Roman"/>
          <w:sz w:val="28"/>
          <w:szCs w:val="28"/>
        </w:rPr>
        <w:t xml:space="preserve"> c</w:t>
      </w:r>
      <w:r w:rsidRPr="00181ADB">
        <w:rPr>
          <w:rFonts w:ascii="Times New Roman" w:hAnsi="Times New Roman"/>
          <w:sz w:val="28"/>
          <w:szCs w:val="28"/>
        </w:rPr>
        <w:t xml:space="preserve">ung cấp theo dự trù </w:t>
      </w:r>
      <w:r w:rsidR="00B852A7" w:rsidRPr="00181ADB">
        <w:rPr>
          <w:rFonts w:ascii="Times New Roman" w:hAnsi="Times New Roman"/>
          <w:sz w:val="28"/>
          <w:szCs w:val="28"/>
        </w:rPr>
        <w:t>nhiều lần trong một tháng</w:t>
      </w:r>
      <w:r w:rsidRPr="00181ADB">
        <w:rPr>
          <w:rFonts w:ascii="Times New Roman" w:hAnsi="Times New Roman"/>
          <w:sz w:val="28"/>
          <w:szCs w:val="28"/>
        </w:rPr>
        <w:t xml:space="preserve"> hoặc cung cấp toàn bộ trong một lần</w:t>
      </w:r>
      <w:r w:rsidR="00B852A7" w:rsidRPr="00181ADB">
        <w:rPr>
          <w:rFonts w:ascii="Times New Roman" w:hAnsi="Times New Roman"/>
          <w:sz w:val="28"/>
          <w:szCs w:val="28"/>
        </w:rPr>
        <w:t xml:space="preserve"> theo dự trù.</w:t>
      </w:r>
    </w:p>
    <w:p w14:paraId="068D50D9" w14:textId="675F89C5" w:rsidR="001F5EEC" w:rsidRPr="00181ADB" w:rsidRDefault="001F5EEC" w:rsidP="001F5EEC">
      <w:pPr>
        <w:spacing w:before="120" w:after="120"/>
        <w:ind w:firstLine="720"/>
        <w:jc w:val="both"/>
        <w:rPr>
          <w:rFonts w:ascii="Times New Roman" w:hAnsi="Times New Roman"/>
          <w:sz w:val="28"/>
          <w:szCs w:val="28"/>
        </w:rPr>
      </w:pPr>
      <w:r w:rsidRPr="00181ADB">
        <w:rPr>
          <w:rFonts w:ascii="Times New Roman" w:hAnsi="Times New Roman"/>
          <w:sz w:val="28"/>
          <w:szCs w:val="28"/>
        </w:rPr>
        <w:t>- Đối với các thuốc có phân nguồn BHYT và</w:t>
      </w:r>
      <w:r w:rsidR="00EC154A" w:rsidRPr="00181ADB">
        <w:rPr>
          <w:rFonts w:ascii="Times New Roman" w:hAnsi="Times New Roman"/>
          <w:sz w:val="28"/>
          <w:szCs w:val="28"/>
        </w:rPr>
        <w:t xml:space="preserve"> Viện phí, cần lập hóa đơn chứng từ riêng cho mỗi lần dự trù để tiện theo dõi đôi bên.</w:t>
      </w:r>
    </w:p>
    <w:p w14:paraId="51BA42E7" w14:textId="56271A00" w:rsidR="006913B5" w:rsidRPr="00181ADB" w:rsidRDefault="006913B5" w:rsidP="001F5EEC">
      <w:pPr>
        <w:spacing w:before="120" w:after="120"/>
        <w:ind w:firstLine="720"/>
        <w:jc w:val="both"/>
        <w:rPr>
          <w:rFonts w:ascii="Times New Roman" w:hAnsi="Times New Roman"/>
          <w:b/>
          <w:bCs/>
          <w:sz w:val="28"/>
          <w:szCs w:val="28"/>
        </w:rPr>
      </w:pPr>
      <w:r w:rsidRPr="00181ADB">
        <w:rPr>
          <w:rFonts w:ascii="Times New Roman" w:hAnsi="Times New Roman"/>
          <w:b/>
          <w:bCs/>
          <w:sz w:val="28"/>
          <w:szCs w:val="28"/>
        </w:rPr>
        <w:t xml:space="preserve">1.2. </w:t>
      </w:r>
      <w:r w:rsidR="00CC788C" w:rsidRPr="00181ADB">
        <w:rPr>
          <w:rFonts w:ascii="Times New Roman" w:hAnsi="Times New Roman"/>
          <w:b/>
          <w:bCs/>
          <w:sz w:val="28"/>
          <w:szCs w:val="28"/>
        </w:rPr>
        <w:t>T</w:t>
      </w:r>
      <w:r w:rsidR="00CC788C" w:rsidRPr="00181ADB">
        <w:rPr>
          <w:rFonts w:ascii="Times New Roman" w:hAnsi="Times New Roman"/>
          <w:b/>
          <w:bCs/>
          <w:sz w:val="28"/>
          <w:szCs w:val="28"/>
        </w:rPr>
        <w:t>iến độ cung cấp</w:t>
      </w:r>
    </w:p>
    <w:p w14:paraId="1116091F" w14:textId="77777777" w:rsidR="00CC788C" w:rsidRPr="00181ADB" w:rsidRDefault="00CC788C" w:rsidP="001F5EEC">
      <w:pPr>
        <w:spacing w:before="120" w:after="120"/>
        <w:ind w:firstLine="720"/>
        <w:jc w:val="both"/>
        <w:rPr>
          <w:rFonts w:ascii="Times New Roman" w:hAnsi="Times New Roman"/>
          <w:sz w:val="28"/>
          <w:szCs w:val="28"/>
        </w:rPr>
      </w:pPr>
      <w:r w:rsidRPr="00181ADB">
        <w:rPr>
          <w:rFonts w:ascii="Times New Roman" w:hAnsi="Times New Roman"/>
          <w:sz w:val="28"/>
          <w:szCs w:val="28"/>
        </w:rPr>
        <w:t xml:space="preserve">- Thời gian thực hiện gói thầu: </w:t>
      </w:r>
      <w:r w:rsidRPr="00181ADB">
        <w:rPr>
          <w:rFonts w:ascii="Times New Roman" w:hAnsi="Times New Roman"/>
          <w:sz w:val="28"/>
          <w:szCs w:val="28"/>
        </w:rPr>
        <w:t>12</w:t>
      </w:r>
      <w:r w:rsidRPr="00181ADB">
        <w:rPr>
          <w:rFonts w:ascii="Times New Roman" w:hAnsi="Times New Roman"/>
          <w:sz w:val="28"/>
          <w:szCs w:val="28"/>
        </w:rPr>
        <w:t xml:space="preserve"> tháng. </w:t>
      </w:r>
    </w:p>
    <w:p w14:paraId="6AD11DD0" w14:textId="77777777" w:rsidR="00CC788C" w:rsidRPr="00181ADB" w:rsidRDefault="00CC788C" w:rsidP="001F5EEC">
      <w:pPr>
        <w:spacing w:before="120" w:after="120"/>
        <w:ind w:firstLine="720"/>
        <w:jc w:val="both"/>
        <w:rPr>
          <w:rFonts w:ascii="Times New Roman" w:hAnsi="Times New Roman"/>
          <w:sz w:val="28"/>
          <w:szCs w:val="28"/>
        </w:rPr>
      </w:pPr>
      <w:r w:rsidRPr="00181ADB">
        <w:rPr>
          <w:rFonts w:ascii="Times New Roman" w:hAnsi="Times New Roman"/>
          <w:sz w:val="28"/>
          <w:szCs w:val="28"/>
        </w:rPr>
        <w:t xml:space="preserve">- Thuốc phải được giao đủ số lượng và đúng các thông tin, tiêu chuẩn như trong E-HSDT đã được lựa chọn. </w:t>
      </w:r>
    </w:p>
    <w:p w14:paraId="74513852" w14:textId="1568A6BB" w:rsidR="00CC788C" w:rsidRPr="00181ADB" w:rsidRDefault="00CC788C" w:rsidP="001F5EEC">
      <w:pPr>
        <w:spacing w:before="120" w:after="120"/>
        <w:ind w:firstLine="720"/>
        <w:jc w:val="both"/>
        <w:rPr>
          <w:rFonts w:ascii="Times New Roman" w:hAnsi="Times New Roman"/>
          <w:sz w:val="28"/>
          <w:szCs w:val="28"/>
        </w:rPr>
      </w:pPr>
      <w:r w:rsidRPr="00181ADB">
        <w:rPr>
          <w:rFonts w:ascii="Times New Roman" w:hAnsi="Times New Roman"/>
          <w:sz w:val="28"/>
          <w:szCs w:val="28"/>
        </w:rPr>
        <w:t>- Nhà thầu phải đáp ứng cung cấp đầy đủ, kịp thời về số lượng, chất lượng thuốc theo thời gian thỏa thuận với cơ sở y tế. Thời gian cung ứng thuốc cho đơn vị sử dụng chậm nhất là 72 giờ sau khi nhận được dự trù của bên mua (bằng fax, mail, … hoặc điện thoại trong trường hợp khẩn cấp). Riêng đối với thuốc dùng đột xuất cho cấp cứu, chống dịch … bắt buộc giao hàng tại kho bên mua không quá 24 giờ. Nếu nhà thầu không cung ứng đủ thuốc và đúng thời gian như quy định thì sẽ bị phạt theo quy định tại Hợp đồng đã ký kết với bên mua.</w:t>
      </w:r>
    </w:p>
    <w:p w14:paraId="0C0E932F" w14:textId="77777777" w:rsidR="006F3AEB" w:rsidRPr="00181ADB" w:rsidRDefault="006F3AEB" w:rsidP="006F3AEB">
      <w:pPr>
        <w:pStyle w:val="Heading5"/>
        <w:spacing w:before="120" w:after="120"/>
        <w:ind w:firstLine="720"/>
        <w:jc w:val="both"/>
        <w:rPr>
          <w:rFonts w:ascii="Times New Roman" w:hAnsi="Times New Roman" w:cs="Times New Roman"/>
          <w:b/>
          <w:bCs/>
          <w:i/>
          <w:iCs/>
          <w:color w:val="auto"/>
          <w:sz w:val="28"/>
          <w:szCs w:val="28"/>
        </w:rPr>
      </w:pPr>
      <w:bookmarkStart w:id="1" w:name="_Toc175732774"/>
      <w:r w:rsidRPr="00181ADB">
        <w:rPr>
          <w:rFonts w:ascii="Times New Roman" w:hAnsi="Times New Roman" w:cs="Times New Roman"/>
          <w:b/>
          <w:bCs/>
          <w:color w:val="auto"/>
          <w:sz w:val="28"/>
          <w:szCs w:val="28"/>
        </w:rPr>
        <w:t>Mục 2. Yêu cầu về kỹ thuật</w:t>
      </w:r>
      <w:bookmarkEnd w:id="1"/>
    </w:p>
    <w:p w14:paraId="0768E6E8" w14:textId="77777777" w:rsidR="006F3AEB" w:rsidRPr="00181ADB" w:rsidRDefault="006F3AEB" w:rsidP="006F3AEB">
      <w:pPr>
        <w:spacing w:before="120" w:after="120"/>
        <w:ind w:firstLine="720"/>
        <w:jc w:val="both"/>
        <w:rPr>
          <w:rFonts w:ascii="Times New Roman" w:hAnsi="Times New Roman"/>
          <w:sz w:val="28"/>
          <w:szCs w:val="28"/>
        </w:rPr>
      </w:pPr>
      <w:r w:rsidRPr="00181ADB">
        <w:rPr>
          <w:rFonts w:ascii="Times New Roman" w:hAnsi="Times New Roman"/>
          <w:sz w:val="28"/>
          <w:szCs w:val="28"/>
        </w:rPr>
        <w:t>Yêu cầu về kỹ thuật bao gồm các nội dung cơ bản như sau:</w:t>
      </w:r>
    </w:p>
    <w:p w14:paraId="5E6F0A2D" w14:textId="77777777" w:rsidR="006F3AEB" w:rsidRPr="00181ADB" w:rsidRDefault="006F3AEB" w:rsidP="006F3AEB">
      <w:pPr>
        <w:pStyle w:val="Heading6"/>
        <w:spacing w:before="120" w:after="120"/>
        <w:ind w:firstLine="720"/>
        <w:rPr>
          <w:rFonts w:ascii="Times New Roman" w:hAnsi="Times New Roman" w:cs="Times New Roman"/>
          <w:b/>
          <w:bCs/>
          <w:color w:val="auto"/>
          <w:sz w:val="28"/>
          <w:szCs w:val="28"/>
        </w:rPr>
      </w:pPr>
      <w:r w:rsidRPr="00181ADB">
        <w:rPr>
          <w:rFonts w:ascii="Times New Roman" w:hAnsi="Times New Roman" w:cs="Times New Roman"/>
          <w:b/>
          <w:bCs/>
          <w:color w:val="auto"/>
          <w:sz w:val="28"/>
          <w:szCs w:val="28"/>
        </w:rPr>
        <w:t>2.1. Giới thiệu chung về gói thầu</w:t>
      </w:r>
    </w:p>
    <w:p w14:paraId="3178BA80" w14:textId="77777777" w:rsidR="008C4E37" w:rsidRPr="00181ADB" w:rsidRDefault="00423840" w:rsidP="008C4E37">
      <w:pPr>
        <w:spacing w:before="120" w:after="120"/>
        <w:ind w:firstLine="720"/>
        <w:jc w:val="both"/>
        <w:rPr>
          <w:rFonts w:ascii="Times New Roman" w:hAnsi="Times New Roman"/>
          <w:bCs/>
          <w:iCs/>
          <w:sz w:val="28"/>
          <w:szCs w:val="28"/>
        </w:rPr>
      </w:pPr>
      <w:r w:rsidRPr="00181ADB">
        <w:rPr>
          <w:rFonts w:ascii="Times New Roman" w:eastAsia="Times New Roman" w:hAnsi="Times New Roman"/>
          <w:sz w:val="28"/>
          <w:szCs w:val="28"/>
        </w:rPr>
        <w:t xml:space="preserve">- Tên gói thầu: </w:t>
      </w:r>
      <w:r w:rsidR="008C4E37" w:rsidRPr="00181ADB">
        <w:rPr>
          <w:rFonts w:ascii="Times New Roman" w:eastAsia="Times New Roman" w:hAnsi="Times New Roman"/>
          <w:sz w:val="28"/>
          <w:szCs w:val="28"/>
        </w:rPr>
        <w:t>Gói thầu thuốc Generic – Mua sắm bổ sung các thuốc không trúng thầu, không có nhà thầu tham dự tại gói thầu mua sắm tập trung cho Bệnh viện Tâm thần thành phố Đà Nẵng năm 2025 – 2027</w:t>
      </w:r>
    </w:p>
    <w:p w14:paraId="6B617549" w14:textId="7F979564" w:rsidR="00423840" w:rsidRPr="00181ADB" w:rsidRDefault="00423840" w:rsidP="006F3AEB">
      <w:pPr>
        <w:spacing w:before="120" w:after="120"/>
        <w:ind w:firstLine="720"/>
        <w:jc w:val="both"/>
        <w:rPr>
          <w:rFonts w:ascii="Times New Roman" w:eastAsia="Times New Roman" w:hAnsi="Times New Roman"/>
          <w:sz w:val="28"/>
          <w:szCs w:val="28"/>
        </w:rPr>
      </w:pPr>
    </w:p>
    <w:p w14:paraId="0AE5800C" w14:textId="5D9E88B0" w:rsidR="00423840" w:rsidRPr="00181ADB" w:rsidRDefault="00423840" w:rsidP="006F3AEB">
      <w:pPr>
        <w:spacing w:before="120" w:after="120"/>
        <w:ind w:firstLine="720"/>
        <w:jc w:val="both"/>
        <w:rPr>
          <w:rFonts w:ascii="Times New Roman" w:eastAsia="Times New Roman" w:hAnsi="Times New Roman"/>
          <w:sz w:val="28"/>
          <w:szCs w:val="28"/>
        </w:rPr>
      </w:pPr>
      <w:r w:rsidRPr="00181ADB">
        <w:rPr>
          <w:rFonts w:ascii="Times New Roman" w:eastAsia="Times New Roman" w:hAnsi="Times New Roman"/>
          <w:sz w:val="28"/>
          <w:szCs w:val="28"/>
        </w:rPr>
        <w:lastRenderedPageBreak/>
        <w:t xml:space="preserve">- Giá gói thầu: </w:t>
      </w:r>
      <w:r w:rsidR="00F26257" w:rsidRPr="00181ADB">
        <w:rPr>
          <w:rFonts w:ascii="Times New Roman" w:hAnsi="Times New Roman"/>
          <w:b/>
          <w:bCs/>
          <w:sz w:val="28"/>
          <w:szCs w:val="28"/>
          <w:shd w:val="clear" w:color="auto" w:fill="FFFFFF"/>
        </w:rPr>
        <w:t>1.283.888.500 đồng</w:t>
      </w:r>
    </w:p>
    <w:p w14:paraId="16B14740" w14:textId="1A2D90C1" w:rsidR="00423840" w:rsidRPr="00181ADB" w:rsidRDefault="00423840" w:rsidP="006F3AEB">
      <w:pPr>
        <w:spacing w:before="120" w:after="120"/>
        <w:ind w:firstLine="720"/>
        <w:jc w:val="both"/>
        <w:rPr>
          <w:rFonts w:ascii="Times New Roman" w:eastAsia="Times New Roman" w:hAnsi="Times New Roman"/>
          <w:sz w:val="28"/>
          <w:szCs w:val="28"/>
        </w:rPr>
      </w:pPr>
      <w:r w:rsidRPr="00181ADB">
        <w:rPr>
          <w:rFonts w:ascii="Times New Roman" w:eastAsia="Times New Roman" w:hAnsi="Times New Roman"/>
          <w:sz w:val="28"/>
          <w:szCs w:val="28"/>
        </w:rPr>
        <w:t xml:space="preserve">- Tên bên mời thầu: </w:t>
      </w:r>
      <w:r w:rsidR="008C4E37" w:rsidRPr="00181ADB">
        <w:rPr>
          <w:rFonts w:ascii="Times New Roman" w:eastAsia="Times New Roman" w:hAnsi="Times New Roman"/>
          <w:sz w:val="28"/>
          <w:szCs w:val="28"/>
        </w:rPr>
        <w:t>B</w:t>
      </w:r>
      <w:r w:rsidR="008C4E37" w:rsidRPr="00181ADB">
        <w:rPr>
          <w:rFonts w:ascii="Times New Roman" w:hAnsi="Times New Roman"/>
          <w:sz w:val="28"/>
          <w:szCs w:val="28"/>
        </w:rPr>
        <w:t>ệnh viện Tâm thần Thành phố Đà Nẵng</w:t>
      </w:r>
    </w:p>
    <w:p w14:paraId="6D6BEBA5" w14:textId="24BB1195" w:rsidR="00423840" w:rsidRPr="00181ADB" w:rsidRDefault="00423840" w:rsidP="006F3AEB">
      <w:pPr>
        <w:spacing w:before="120" w:after="120"/>
        <w:ind w:firstLine="720"/>
        <w:jc w:val="both"/>
        <w:rPr>
          <w:rFonts w:ascii="Times New Roman" w:eastAsia="Times New Roman" w:hAnsi="Times New Roman"/>
          <w:sz w:val="28"/>
          <w:szCs w:val="28"/>
        </w:rPr>
      </w:pPr>
      <w:r w:rsidRPr="00181ADB">
        <w:rPr>
          <w:rFonts w:ascii="Times New Roman" w:eastAsia="Times New Roman" w:hAnsi="Times New Roman"/>
          <w:sz w:val="28"/>
          <w:szCs w:val="28"/>
        </w:rPr>
        <w:t>- Nội dung cung cấp chủ yếu: Theo danh mục thuốc mời thầu đính kèm trong E-HSMT (Mẫu số 00)</w:t>
      </w:r>
      <w:r w:rsidR="002C6921" w:rsidRPr="00181ADB">
        <w:rPr>
          <w:rFonts w:ascii="Times New Roman" w:eastAsia="Times New Roman" w:hAnsi="Times New Roman"/>
          <w:sz w:val="28"/>
          <w:szCs w:val="28"/>
        </w:rPr>
        <w:t>.</w:t>
      </w:r>
    </w:p>
    <w:p w14:paraId="79CBF292" w14:textId="78D1AC25" w:rsidR="00423840" w:rsidRPr="00181ADB" w:rsidRDefault="00423840" w:rsidP="006F3AEB">
      <w:pPr>
        <w:spacing w:before="120" w:after="120"/>
        <w:ind w:firstLine="720"/>
        <w:jc w:val="both"/>
        <w:rPr>
          <w:rFonts w:ascii="Times New Roman" w:eastAsia="Times New Roman" w:hAnsi="Times New Roman"/>
          <w:sz w:val="28"/>
          <w:szCs w:val="28"/>
        </w:rPr>
      </w:pPr>
      <w:r w:rsidRPr="00181ADB">
        <w:rPr>
          <w:rFonts w:ascii="Times New Roman" w:eastAsia="Times New Roman" w:hAnsi="Times New Roman"/>
          <w:sz w:val="28"/>
          <w:szCs w:val="28"/>
        </w:rPr>
        <w:t xml:space="preserve">- Địa điểm thực hiện: </w:t>
      </w:r>
      <w:r w:rsidRPr="00181ADB">
        <w:rPr>
          <w:rFonts w:ascii="Times New Roman" w:hAnsi="Times New Roman"/>
          <w:sz w:val="28"/>
          <w:szCs w:val="28"/>
        </w:rPr>
        <w:t xml:space="preserve">Kho Chính Khoa Dược Bệnh viện Tâm thần Thành phố Đà Nẵng, Địa chỉ: 193 Nguyễn Lương Bằng, </w:t>
      </w:r>
      <w:r w:rsidRPr="00181ADB">
        <w:rPr>
          <w:rFonts w:ascii="Times New Roman" w:hAnsi="Times New Roman"/>
          <w:sz w:val="28"/>
          <w:szCs w:val="28"/>
        </w:rPr>
        <w:t>phường</w:t>
      </w:r>
      <w:r w:rsidRPr="00181ADB">
        <w:rPr>
          <w:rFonts w:ascii="Times New Roman" w:hAnsi="Times New Roman"/>
          <w:sz w:val="28"/>
          <w:szCs w:val="28"/>
        </w:rPr>
        <w:t xml:space="preserve"> Liên Chiểu, Đà Nẵng</w:t>
      </w:r>
    </w:p>
    <w:p w14:paraId="7E961448" w14:textId="3F03CB7B" w:rsidR="00423840" w:rsidRPr="00181ADB" w:rsidRDefault="00423840" w:rsidP="006F3AEB">
      <w:pPr>
        <w:spacing w:before="120" w:after="120"/>
        <w:ind w:firstLine="720"/>
        <w:jc w:val="both"/>
        <w:rPr>
          <w:rFonts w:ascii="Times New Roman" w:eastAsia="Times New Roman" w:hAnsi="Times New Roman"/>
          <w:sz w:val="28"/>
          <w:szCs w:val="28"/>
        </w:rPr>
      </w:pPr>
      <w:r w:rsidRPr="00181ADB">
        <w:rPr>
          <w:rFonts w:ascii="Times New Roman" w:eastAsia="Times New Roman" w:hAnsi="Times New Roman"/>
          <w:sz w:val="28"/>
          <w:szCs w:val="28"/>
        </w:rPr>
        <w:t xml:space="preserve">- Thời gian thực hiện gói thầu: </w:t>
      </w:r>
      <w:r w:rsidRPr="00181ADB">
        <w:rPr>
          <w:rFonts w:ascii="Times New Roman" w:eastAsia="Times New Roman" w:hAnsi="Times New Roman"/>
          <w:sz w:val="28"/>
          <w:szCs w:val="28"/>
        </w:rPr>
        <w:t>12</w:t>
      </w:r>
      <w:r w:rsidRPr="00181ADB">
        <w:rPr>
          <w:rFonts w:ascii="Times New Roman" w:eastAsia="Times New Roman" w:hAnsi="Times New Roman"/>
          <w:sz w:val="28"/>
          <w:szCs w:val="28"/>
        </w:rPr>
        <w:t xml:space="preserve"> tháng.</w:t>
      </w:r>
    </w:p>
    <w:p w14:paraId="5E936910" w14:textId="19B11709" w:rsidR="00423840" w:rsidRPr="00181ADB" w:rsidRDefault="00423840" w:rsidP="00423840">
      <w:pPr>
        <w:spacing w:before="120" w:after="120"/>
        <w:ind w:firstLine="720"/>
        <w:jc w:val="both"/>
        <w:rPr>
          <w:rFonts w:ascii="Times New Roman" w:eastAsia="Times New Roman" w:hAnsi="Times New Roman"/>
          <w:sz w:val="28"/>
          <w:szCs w:val="28"/>
        </w:rPr>
      </w:pPr>
      <w:r w:rsidRPr="00181ADB">
        <w:rPr>
          <w:rFonts w:ascii="Times New Roman" w:eastAsia="Times New Roman" w:hAnsi="Times New Roman"/>
          <w:sz w:val="28"/>
          <w:szCs w:val="28"/>
        </w:rPr>
        <w:t xml:space="preserve">- Thời gian thực </w:t>
      </w:r>
      <w:r w:rsidRPr="00181ADB">
        <w:rPr>
          <w:rFonts w:ascii="Times New Roman" w:eastAsia="Times New Roman" w:hAnsi="Times New Roman"/>
          <w:sz w:val="28"/>
          <w:szCs w:val="28"/>
        </w:rPr>
        <w:t>hiện hợp đồng</w:t>
      </w:r>
      <w:r w:rsidRPr="00181ADB">
        <w:rPr>
          <w:rFonts w:ascii="Times New Roman" w:eastAsia="Times New Roman" w:hAnsi="Times New Roman"/>
          <w:sz w:val="28"/>
          <w:szCs w:val="28"/>
        </w:rPr>
        <w:t>: 12 tháng</w:t>
      </w:r>
      <w:r w:rsidRPr="00181ADB">
        <w:rPr>
          <w:rFonts w:ascii="Times New Roman" w:eastAsia="Times New Roman" w:hAnsi="Times New Roman"/>
          <w:sz w:val="28"/>
          <w:szCs w:val="28"/>
        </w:rPr>
        <w:t xml:space="preserve"> (Kể từ ngày ký hợp đồng)</w:t>
      </w:r>
      <w:r w:rsidRPr="00181ADB">
        <w:rPr>
          <w:rFonts w:ascii="Times New Roman" w:eastAsia="Times New Roman" w:hAnsi="Times New Roman"/>
          <w:sz w:val="28"/>
          <w:szCs w:val="28"/>
        </w:rPr>
        <w:t>.</w:t>
      </w:r>
    </w:p>
    <w:p w14:paraId="2DCF0CF5" w14:textId="77777777" w:rsidR="006F3AEB" w:rsidRPr="00181ADB" w:rsidRDefault="006F3AEB" w:rsidP="006F3AEB">
      <w:pPr>
        <w:pStyle w:val="Heading6"/>
        <w:spacing w:before="120" w:after="120"/>
        <w:ind w:firstLine="720"/>
        <w:rPr>
          <w:rFonts w:ascii="Times New Roman" w:hAnsi="Times New Roman" w:cs="Times New Roman"/>
          <w:b/>
          <w:bCs/>
          <w:color w:val="auto"/>
          <w:sz w:val="28"/>
          <w:szCs w:val="28"/>
        </w:rPr>
      </w:pPr>
      <w:bookmarkStart w:id="2" w:name="_Toc175732775"/>
      <w:r w:rsidRPr="00181ADB">
        <w:rPr>
          <w:rFonts w:ascii="Times New Roman" w:hAnsi="Times New Roman" w:cs="Times New Roman"/>
          <w:b/>
          <w:bCs/>
          <w:color w:val="auto"/>
          <w:sz w:val="28"/>
          <w:szCs w:val="28"/>
        </w:rPr>
        <w:t>2.2. Yêu cầu về kỹ thuật</w:t>
      </w:r>
      <w:bookmarkEnd w:id="2"/>
    </w:p>
    <w:p w14:paraId="782827BB" w14:textId="77777777" w:rsidR="00C9632E" w:rsidRPr="00181ADB" w:rsidRDefault="00C9632E" w:rsidP="00C9632E">
      <w:pPr>
        <w:pStyle w:val="Heading6"/>
        <w:spacing w:before="120" w:after="120"/>
        <w:ind w:firstLine="720"/>
        <w:jc w:val="both"/>
        <w:rPr>
          <w:rFonts w:ascii="Times New Roman" w:eastAsia="Calibri" w:hAnsi="Times New Roman" w:cs="Times New Roman"/>
          <w:i w:val="0"/>
          <w:iCs w:val="0"/>
          <w:color w:val="auto"/>
          <w:sz w:val="28"/>
          <w:szCs w:val="28"/>
          <w:lang w:val="en-US"/>
          <w14:ligatures w14:val="none"/>
        </w:rPr>
      </w:pPr>
      <w:bookmarkStart w:id="3" w:name="_Toc175732776"/>
      <w:r w:rsidRPr="00181ADB">
        <w:rPr>
          <w:rFonts w:ascii="Times New Roman" w:eastAsia="Calibri" w:hAnsi="Times New Roman" w:cs="Times New Roman"/>
          <w:i w:val="0"/>
          <w:iCs w:val="0"/>
          <w:color w:val="auto"/>
          <w:sz w:val="28"/>
          <w:szCs w:val="28"/>
          <w:lang w:val="en-US"/>
          <w14:ligatures w14:val="none"/>
        </w:rPr>
        <w:t>- Thuốc phải đạt tiêu chuẩn chất lượng đã được Bộ Y tế cho phép lưu hành.</w:t>
      </w:r>
    </w:p>
    <w:p w14:paraId="24D2E19A" w14:textId="77777777" w:rsidR="00C9632E" w:rsidRPr="00181ADB" w:rsidRDefault="00C9632E" w:rsidP="00C9632E">
      <w:pPr>
        <w:pStyle w:val="Heading6"/>
        <w:spacing w:before="120" w:after="120"/>
        <w:ind w:firstLine="720"/>
        <w:jc w:val="both"/>
        <w:rPr>
          <w:rFonts w:ascii="Times New Roman" w:eastAsia="Calibri" w:hAnsi="Times New Roman" w:cs="Times New Roman"/>
          <w:i w:val="0"/>
          <w:iCs w:val="0"/>
          <w:color w:val="auto"/>
          <w:sz w:val="28"/>
          <w:szCs w:val="28"/>
          <w:lang w:val="en-US"/>
          <w14:ligatures w14:val="none"/>
        </w:rPr>
      </w:pPr>
      <w:r w:rsidRPr="00181ADB">
        <w:rPr>
          <w:rFonts w:ascii="Times New Roman" w:eastAsia="Calibri" w:hAnsi="Times New Roman" w:cs="Times New Roman"/>
          <w:i w:val="0"/>
          <w:iCs w:val="0"/>
          <w:color w:val="auto"/>
          <w:sz w:val="28"/>
          <w:szCs w:val="28"/>
          <w:lang w:val="en-US"/>
          <w14:ligatures w14:val="none"/>
        </w:rPr>
        <w:t xml:space="preserve">- Thuốc phải đúng yêu cầu theo danh mục mời thầu quy định tại Mẫu số 00 </w:t>
      </w:r>
    </w:p>
    <w:p w14:paraId="42D3ECB0" w14:textId="1AFF3E37" w:rsidR="00C9632E" w:rsidRPr="00181ADB" w:rsidRDefault="00C9632E" w:rsidP="00C9632E">
      <w:pPr>
        <w:pStyle w:val="Heading6"/>
        <w:spacing w:before="120" w:after="120"/>
        <w:ind w:firstLine="720"/>
        <w:jc w:val="both"/>
        <w:rPr>
          <w:rFonts w:ascii="Times New Roman" w:eastAsia="Calibri" w:hAnsi="Times New Roman" w:cs="Times New Roman"/>
          <w:i w:val="0"/>
          <w:iCs w:val="0"/>
          <w:color w:val="auto"/>
          <w:sz w:val="28"/>
          <w:szCs w:val="28"/>
          <w:lang w:val="en-US"/>
          <w14:ligatures w14:val="none"/>
        </w:rPr>
      </w:pPr>
      <w:r w:rsidRPr="00181ADB">
        <w:rPr>
          <w:rFonts w:ascii="Times New Roman" w:eastAsia="Calibri" w:hAnsi="Times New Roman" w:cs="Times New Roman"/>
          <w:i w:val="0"/>
          <w:iCs w:val="0"/>
          <w:color w:val="auto"/>
          <w:sz w:val="28"/>
          <w:szCs w:val="28"/>
          <w:lang w:val="en-US"/>
          <w14:ligatures w14:val="none"/>
        </w:rPr>
        <w:t xml:space="preserve">- Nhà thầu ghi đầy đủ các thông tin theo quy định tại Mẫu số 05 của E HSMT. Các thông tin phải đúng với thông tin về thuốc đã được cấp số đăng ký hoặc giấy phép nhập khẩu được công bố trên trang thông tin điện tử của Cục Quản lý dược (địa chỉ: </w:t>
      </w:r>
      <w:hyperlink r:id="rId4" w:history="1">
        <w:r w:rsidRPr="00181ADB">
          <w:rPr>
            <w:rStyle w:val="Hyperlink"/>
            <w:rFonts w:ascii="Times New Roman" w:eastAsia="Calibri" w:hAnsi="Times New Roman" w:cs="Times New Roman"/>
            <w:i w:val="0"/>
            <w:iCs w:val="0"/>
            <w:sz w:val="28"/>
            <w:szCs w:val="28"/>
            <w:lang w:val="en-US"/>
            <w14:ligatures w14:val="none"/>
          </w:rPr>
          <w:t>http://www.dav.gov.vn</w:t>
        </w:r>
      </w:hyperlink>
      <w:r w:rsidRPr="00181ADB">
        <w:rPr>
          <w:rFonts w:ascii="Times New Roman" w:eastAsia="Calibri" w:hAnsi="Times New Roman" w:cs="Times New Roman"/>
          <w:i w:val="0"/>
          <w:iCs w:val="0"/>
          <w:color w:val="auto"/>
          <w:sz w:val="28"/>
          <w:szCs w:val="28"/>
          <w:lang w:val="en-US"/>
          <w14:ligatures w14:val="none"/>
        </w:rPr>
        <w:t xml:space="preserve">). </w:t>
      </w:r>
    </w:p>
    <w:p w14:paraId="3C772930" w14:textId="49259BB9" w:rsidR="00C9632E" w:rsidRPr="00181ADB" w:rsidRDefault="00C9632E" w:rsidP="00C9632E">
      <w:pPr>
        <w:pStyle w:val="Heading6"/>
        <w:spacing w:before="120" w:after="120"/>
        <w:ind w:firstLine="720"/>
        <w:jc w:val="both"/>
        <w:rPr>
          <w:rFonts w:ascii="Times New Roman" w:eastAsia="Calibri" w:hAnsi="Times New Roman" w:cs="Times New Roman"/>
          <w:i w:val="0"/>
          <w:iCs w:val="0"/>
          <w:color w:val="auto"/>
          <w:sz w:val="28"/>
          <w:szCs w:val="28"/>
          <w:lang w:val="en-US"/>
          <w14:ligatures w14:val="none"/>
        </w:rPr>
      </w:pPr>
      <w:r w:rsidRPr="00181ADB">
        <w:rPr>
          <w:rFonts w:ascii="Times New Roman" w:eastAsia="Calibri" w:hAnsi="Times New Roman" w:cs="Times New Roman"/>
          <w:i w:val="0"/>
          <w:iCs w:val="0"/>
          <w:color w:val="auto"/>
          <w:sz w:val="28"/>
          <w:szCs w:val="28"/>
          <w:lang w:val="en-US"/>
          <w14:ligatures w14:val="none"/>
        </w:rPr>
        <w:t xml:space="preserve">- Trong quá trình đánh giá hồ sơ dự thầu, trường hợp phát hiện các thuốc có hàm lượng, dạng bào chế, dạng phối hợp ít cạnh tranh trong đấu thầu và có giá cao bất hợp lý, Chủ đầu tư xem xét, thành lập Hội đồng chuyên môn để kiểm tra, đánh giá, kiến nghị và trình Chủ đầu tư quyết định đối với các thuốc này. </w:t>
      </w:r>
    </w:p>
    <w:p w14:paraId="2134E0E0" w14:textId="4420E17C" w:rsidR="006F3AEB" w:rsidRPr="00181ADB" w:rsidRDefault="006F3AEB" w:rsidP="006F3AEB">
      <w:pPr>
        <w:pStyle w:val="Heading6"/>
        <w:spacing w:before="120" w:after="120"/>
        <w:ind w:firstLine="720"/>
        <w:rPr>
          <w:rFonts w:ascii="Times New Roman" w:hAnsi="Times New Roman" w:cs="Times New Roman"/>
          <w:b/>
          <w:bCs/>
          <w:color w:val="auto"/>
          <w:sz w:val="28"/>
          <w:szCs w:val="28"/>
        </w:rPr>
      </w:pPr>
      <w:r w:rsidRPr="00181ADB">
        <w:rPr>
          <w:rFonts w:ascii="Times New Roman" w:hAnsi="Times New Roman" w:cs="Times New Roman"/>
          <w:b/>
          <w:bCs/>
          <w:color w:val="auto"/>
          <w:sz w:val="28"/>
          <w:szCs w:val="28"/>
        </w:rPr>
        <w:t>2.3. Các yêu cầu khác</w:t>
      </w:r>
      <w:bookmarkEnd w:id="3"/>
    </w:p>
    <w:p w14:paraId="05D76443" w14:textId="77777777" w:rsidR="00891A42" w:rsidRPr="00181ADB" w:rsidRDefault="006F3AEB" w:rsidP="00891A42">
      <w:pPr>
        <w:spacing w:before="120" w:after="120"/>
        <w:ind w:firstLine="720"/>
        <w:jc w:val="both"/>
        <w:rPr>
          <w:rFonts w:ascii="Times New Roman" w:hAnsi="Times New Roman"/>
          <w:sz w:val="28"/>
          <w:szCs w:val="28"/>
        </w:rPr>
      </w:pPr>
      <w:r w:rsidRPr="00181ADB">
        <w:rPr>
          <w:rFonts w:ascii="Times New Roman" w:hAnsi="Times New Roman"/>
          <w:sz w:val="28"/>
          <w:szCs w:val="28"/>
        </w:rPr>
        <w:t xml:space="preserve">Các yêu cầu khác về kỹ thuật bao gồm yêu cầu về phạm vi cung cấp, </w:t>
      </w:r>
      <w:bookmarkStart w:id="4" w:name="_Toc175732777"/>
    </w:p>
    <w:p w14:paraId="1B9D88F4" w14:textId="306EB03B" w:rsidR="00520D12" w:rsidRPr="00181ADB" w:rsidRDefault="00C9632E" w:rsidP="00891A42">
      <w:pPr>
        <w:spacing w:before="120" w:after="120"/>
        <w:ind w:firstLine="720"/>
        <w:jc w:val="both"/>
        <w:rPr>
          <w:rFonts w:ascii="Times New Roman" w:hAnsi="Times New Roman"/>
          <w:sz w:val="28"/>
          <w:szCs w:val="28"/>
        </w:rPr>
      </w:pPr>
      <w:r w:rsidRPr="00181ADB">
        <w:rPr>
          <w:rFonts w:ascii="Times New Roman" w:hAnsi="Times New Roman"/>
          <w:sz w:val="28"/>
          <w:szCs w:val="28"/>
        </w:rPr>
        <w:t xml:space="preserve">- Nhà thầu cung cấp các tài liệu </w:t>
      </w:r>
      <w:r w:rsidR="00520D12" w:rsidRPr="00181ADB">
        <w:rPr>
          <w:rFonts w:ascii="Times New Roman" w:hAnsi="Times New Roman"/>
          <w:sz w:val="28"/>
          <w:szCs w:val="28"/>
        </w:rPr>
        <w:t>và sắp xếp</w:t>
      </w:r>
      <w:r w:rsidR="000F4F5F" w:rsidRPr="00181ADB">
        <w:rPr>
          <w:rFonts w:ascii="Times New Roman" w:hAnsi="Times New Roman"/>
          <w:sz w:val="28"/>
          <w:szCs w:val="28"/>
        </w:rPr>
        <w:t xml:space="preserve"> phân loại theo các thư mục như sau</w:t>
      </w:r>
      <w:r w:rsidR="00520D12" w:rsidRPr="00181ADB">
        <w:rPr>
          <w:rFonts w:ascii="Times New Roman" w:hAnsi="Times New Roman"/>
          <w:sz w:val="28"/>
          <w:szCs w:val="28"/>
        </w:rPr>
        <w:t>:</w:t>
      </w:r>
    </w:p>
    <w:tbl>
      <w:tblPr>
        <w:tblStyle w:val="TableGrid"/>
        <w:tblW w:w="5000" w:type="pct"/>
        <w:jc w:val="center"/>
        <w:tblLook w:val="04A0" w:firstRow="1" w:lastRow="0" w:firstColumn="1" w:lastColumn="0" w:noHBand="0" w:noVBand="1"/>
      </w:tblPr>
      <w:tblGrid>
        <w:gridCol w:w="931"/>
        <w:gridCol w:w="1616"/>
        <w:gridCol w:w="2268"/>
        <w:gridCol w:w="4535"/>
      </w:tblGrid>
      <w:tr w:rsidR="000F4F5F" w:rsidRPr="00181ADB" w14:paraId="74131B3A" w14:textId="1353708B" w:rsidTr="00ED2AAB">
        <w:trPr>
          <w:cantSplit/>
          <w:tblHeader/>
          <w:jc w:val="center"/>
        </w:trPr>
        <w:tc>
          <w:tcPr>
            <w:tcW w:w="498" w:type="pct"/>
            <w:vAlign w:val="center"/>
          </w:tcPr>
          <w:p w14:paraId="67FE59EC" w14:textId="6AF59A4A" w:rsidR="000F4F5F" w:rsidRPr="00181ADB" w:rsidRDefault="000F4F5F" w:rsidP="00ED2AAB">
            <w:pPr>
              <w:spacing w:before="120" w:after="120"/>
              <w:jc w:val="center"/>
              <w:rPr>
                <w:rFonts w:ascii="Times New Roman" w:hAnsi="Times New Roman"/>
                <w:b/>
                <w:bCs/>
              </w:rPr>
            </w:pPr>
            <w:r w:rsidRPr="00181ADB">
              <w:rPr>
                <w:rFonts w:ascii="Times New Roman" w:hAnsi="Times New Roman"/>
                <w:b/>
                <w:bCs/>
              </w:rPr>
              <w:t>STT</w:t>
            </w:r>
          </w:p>
        </w:tc>
        <w:tc>
          <w:tcPr>
            <w:tcW w:w="864" w:type="pct"/>
            <w:vAlign w:val="center"/>
          </w:tcPr>
          <w:p w14:paraId="18A084DC" w14:textId="4A743ABE" w:rsidR="000F4F5F" w:rsidRPr="00181ADB" w:rsidRDefault="000F4F5F" w:rsidP="00ED2AAB">
            <w:pPr>
              <w:spacing w:before="120" w:after="120"/>
              <w:jc w:val="center"/>
              <w:rPr>
                <w:rFonts w:ascii="Times New Roman" w:hAnsi="Times New Roman"/>
                <w:b/>
                <w:bCs/>
              </w:rPr>
            </w:pPr>
            <w:r w:rsidRPr="00181ADB">
              <w:rPr>
                <w:rFonts w:ascii="Times New Roman" w:hAnsi="Times New Roman"/>
                <w:b/>
                <w:bCs/>
              </w:rPr>
              <w:t>Tên thư mục Chính</w:t>
            </w:r>
          </w:p>
        </w:tc>
        <w:tc>
          <w:tcPr>
            <w:tcW w:w="1213" w:type="pct"/>
            <w:vAlign w:val="center"/>
          </w:tcPr>
          <w:p w14:paraId="6115A05F" w14:textId="782A65AD" w:rsidR="000F4F5F" w:rsidRPr="00181ADB" w:rsidRDefault="000F4F5F" w:rsidP="00ED2AAB">
            <w:pPr>
              <w:spacing w:before="120" w:after="120"/>
              <w:jc w:val="center"/>
              <w:rPr>
                <w:rFonts w:ascii="Times New Roman" w:hAnsi="Times New Roman"/>
                <w:b/>
                <w:bCs/>
              </w:rPr>
            </w:pPr>
            <w:r w:rsidRPr="00181ADB">
              <w:rPr>
                <w:rFonts w:ascii="Times New Roman" w:hAnsi="Times New Roman"/>
                <w:b/>
                <w:bCs/>
              </w:rPr>
              <w:t>Thư mục con</w:t>
            </w:r>
          </w:p>
        </w:tc>
        <w:tc>
          <w:tcPr>
            <w:tcW w:w="2425" w:type="pct"/>
            <w:vAlign w:val="center"/>
          </w:tcPr>
          <w:p w14:paraId="03113C79" w14:textId="745023F4" w:rsidR="000F4F5F" w:rsidRPr="00181ADB" w:rsidRDefault="002F1A33" w:rsidP="00ED2AAB">
            <w:pPr>
              <w:spacing w:before="120" w:after="120"/>
              <w:jc w:val="center"/>
              <w:rPr>
                <w:rFonts w:ascii="Times New Roman" w:hAnsi="Times New Roman"/>
                <w:b/>
                <w:bCs/>
              </w:rPr>
            </w:pPr>
            <w:r w:rsidRPr="00181ADB">
              <w:rPr>
                <w:rFonts w:ascii="Times New Roman" w:hAnsi="Times New Roman"/>
                <w:b/>
                <w:bCs/>
              </w:rPr>
              <w:t>Tài liệu</w:t>
            </w:r>
          </w:p>
        </w:tc>
      </w:tr>
      <w:tr w:rsidR="000F4F5F" w:rsidRPr="00181ADB" w14:paraId="3C4FBEF2" w14:textId="4749955F" w:rsidTr="00ED2AAB">
        <w:trPr>
          <w:trHeight w:val="1184"/>
          <w:jc w:val="center"/>
        </w:trPr>
        <w:tc>
          <w:tcPr>
            <w:tcW w:w="498" w:type="pct"/>
            <w:vAlign w:val="center"/>
          </w:tcPr>
          <w:p w14:paraId="7AC3835A" w14:textId="139596D1" w:rsidR="000F4F5F" w:rsidRPr="00181ADB" w:rsidRDefault="000F4F5F" w:rsidP="000F4F5F">
            <w:pPr>
              <w:spacing w:before="120" w:after="120"/>
              <w:jc w:val="center"/>
              <w:rPr>
                <w:rFonts w:ascii="Times New Roman" w:hAnsi="Times New Roman"/>
              </w:rPr>
            </w:pPr>
            <w:r w:rsidRPr="00181ADB">
              <w:rPr>
                <w:rFonts w:ascii="Times New Roman" w:hAnsi="Times New Roman"/>
              </w:rPr>
              <w:t>1</w:t>
            </w:r>
          </w:p>
        </w:tc>
        <w:tc>
          <w:tcPr>
            <w:tcW w:w="864" w:type="pct"/>
            <w:vMerge w:val="restart"/>
            <w:vAlign w:val="center"/>
          </w:tcPr>
          <w:p w14:paraId="1C086AC5" w14:textId="23CC96D7" w:rsidR="000F4F5F" w:rsidRPr="00181ADB" w:rsidRDefault="000F4F5F" w:rsidP="000F4F5F">
            <w:pPr>
              <w:spacing w:before="120" w:after="120"/>
              <w:jc w:val="center"/>
              <w:rPr>
                <w:rFonts w:ascii="Times New Roman" w:hAnsi="Times New Roman"/>
                <w:b/>
                <w:bCs/>
              </w:rPr>
            </w:pPr>
            <w:r w:rsidRPr="00181ADB">
              <w:rPr>
                <w:rFonts w:ascii="Times New Roman" w:hAnsi="Times New Roman"/>
                <w:b/>
                <w:bCs/>
              </w:rPr>
              <w:t>Phần</w:t>
            </w:r>
            <w:r w:rsidRPr="00181ADB">
              <w:rPr>
                <w:rFonts w:ascii="Times New Roman" w:hAnsi="Times New Roman"/>
                <w:b/>
                <w:bCs/>
                <w:spacing w:val="-4"/>
              </w:rPr>
              <w:t xml:space="preserve"> A</w:t>
            </w:r>
            <w:r w:rsidRPr="00181ADB">
              <w:rPr>
                <w:rFonts w:ascii="Times New Roman" w:hAnsi="Times New Roman"/>
                <w:b/>
                <w:bCs/>
              </w:rPr>
              <w:t>.</w:t>
            </w:r>
            <w:r w:rsidRPr="00181ADB">
              <w:rPr>
                <w:rFonts w:ascii="Times New Roman" w:hAnsi="Times New Roman"/>
                <w:b/>
                <w:bCs/>
                <w:spacing w:val="-3"/>
              </w:rPr>
              <w:t xml:space="preserve"> </w:t>
            </w:r>
            <w:r w:rsidRPr="00181ADB">
              <w:rPr>
                <w:rFonts w:ascii="Times New Roman" w:hAnsi="Times New Roman"/>
                <w:b/>
                <w:bCs/>
              </w:rPr>
              <w:t>Pháp</w:t>
            </w:r>
            <w:r w:rsidRPr="00181ADB">
              <w:rPr>
                <w:rFonts w:ascii="Times New Roman" w:hAnsi="Times New Roman"/>
                <w:b/>
                <w:bCs/>
                <w:spacing w:val="-1"/>
              </w:rPr>
              <w:t xml:space="preserve"> </w:t>
            </w:r>
            <w:r w:rsidRPr="00181ADB">
              <w:rPr>
                <w:rFonts w:ascii="Times New Roman" w:hAnsi="Times New Roman"/>
                <w:b/>
                <w:bCs/>
              </w:rPr>
              <w:t>lý</w:t>
            </w:r>
            <w:r w:rsidRPr="00181ADB">
              <w:rPr>
                <w:rFonts w:ascii="Times New Roman" w:hAnsi="Times New Roman"/>
                <w:b/>
                <w:bCs/>
                <w:spacing w:val="-3"/>
              </w:rPr>
              <w:t xml:space="preserve"> </w:t>
            </w:r>
            <w:r w:rsidRPr="00181ADB">
              <w:rPr>
                <w:rFonts w:ascii="Times New Roman" w:hAnsi="Times New Roman"/>
                <w:b/>
                <w:bCs/>
              </w:rPr>
              <w:t>nhà</w:t>
            </w:r>
            <w:r w:rsidRPr="00181ADB">
              <w:rPr>
                <w:rFonts w:ascii="Times New Roman" w:hAnsi="Times New Roman"/>
                <w:b/>
                <w:bCs/>
                <w:spacing w:val="-1"/>
              </w:rPr>
              <w:t xml:space="preserve"> </w:t>
            </w:r>
            <w:r w:rsidRPr="00181ADB">
              <w:rPr>
                <w:rFonts w:ascii="Times New Roman" w:hAnsi="Times New Roman"/>
                <w:b/>
                <w:bCs/>
                <w:spacing w:val="-4"/>
              </w:rPr>
              <w:t>thầu</w:t>
            </w:r>
          </w:p>
        </w:tc>
        <w:tc>
          <w:tcPr>
            <w:tcW w:w="1213" w:type="pct"/>
            <w:vAlign w:val="center"/>
          </w:tcPr>
          <w:p w14:paraId="09F4D439" w14:textId="50C212B3" w:rsidR="000F4F5F" w:rsidRPr="00181ADB" w:rsidRDefault="000F4F5F" w:rsidP="000F4F5F">
            <w:pPr>
              <w:spacing w:before="120" w:after="120"/>
              <w:jc w:val="center"/>
              <w:rPr>
                <w:rFonts w:ascii="Times New Roman" w:hAnsi="Times New Roman"/>
              </w:rPr>
            </w:pPr>
            <w:r w:rsidRPr="00181ADB">
              <w:rPr>
                <w:rFonts w:ascii="Times New Roman" w:hAnsi="Times New Roman"/>
                <w:spacing w:val="-4"/>
              </w:rPr>
              <w:t>1. Tình hợp lệ nhà thầu</w:t>
            </w:r>
          </w:p>
        </w:tc>
        <w:tc>
          <w:tcPr>
            <w:tcW w:w="2425" w:type="pct"/>
            <w:vAlign w:val="center"/>
          </w:tcPr>
          <w:p w14:paraId="6CF425D1" w14:textId="60F8BBE0" w:rsidR="000F4F5F" w:rsidRPr="00181ADB" w:rsidRDefault="002D5C80" w:rsidP="002F1A33">
            <w:pPr>
              <w:spacing w:before="120" w:after="120"/>
              <w:jc w:val="both"/>
              <w:rPr>
                <w:rFonts w:ascii="Times New Roman" w:hAnsi="Times New Roman"/>
                <w:spacing w:val="-4"/>
              </w:rPr>
            </w:pPr>
            <w:r w:rsidRPr="00181ADB">
              <w:rPr>
                <w:rFonts w:ascii="Times New Roman" w:hAnsi="Times New Roman"/>
                <w:spacing w:val="-4"/>
              </w:rPr>
              <w:t>- Tài liệu yêu cầu tại Mục 1 Chương III</w:t>
            </w:r>
          </w:p>
        </w:tc>
      </w:tr>
      <w:tr w:rsidR="000F4F5F" w:rsidRPr="00181ADB" w14:paraId="04864A6B" w14:textId="6D5BBEA1" w:rsidTr="00ED2AAB">
        <w:trPr>
          <w:trHeight w:val="1257"/>
          <w:jc w:val="center"/>
        </w:trPr>
        <w:tc>
          <w:tcPr>
            <w:tcW w:w="498" w:type="pct"/>
            <w:vAlign w:val="center"/>
          </w:tcPr>
          <w:p w14:paraId="5BFEBE66" w14:textId="6CC78187" w:rsidR="000F4F5F" w:rsidRPr="00181ADB" w:rsidRDefault="000F4F5F" w:rsidP="000F4F5F">
            <w:pPr>
              <w:spacing w:before="120" w:after="120"/>
              <w:jc w:val="center"/>
              <w:rPr>
                <w:rFonts w:ascii="Times New Roman" w:hAnsi="Times New Roman"/>
              </w:rPr>
            </w:pPr>
            <w:r w:rsidRPr="00181ADB">
              <w:rPr>
                <w:rFonts w:ascii="Times New Roman" w:hAnsi="Times New Roman"/>
              </w:rPr>
              <w:t>2</w:t>
            </w:r>
          </w:p>
        </w:tc>
        <w:tc>
          <w:tcPr>
            <w:tcW w:w="864" w:type="pct"/>
            <w:vMerge/>
            <w:vAlign w:val="center"/>
          </w:tcPr>
          <w:p w14:paraId="5A5D1BA9" w14:textId="39931E50" w:rsidR="000F4F5F" w:rsidRPr="00181ADB" w:rsidRDefault="000F4F5F" w:rsidP="000F4F5F">
            <w:pPr>
              <w:spacing w:before="120" w:after="120"/>
              <w:jc w:val="center"/>
              <w:rPr>
                <w:rFonts w:ascii="Times New Roman" w:hAnsi="Times New Roman"/>
                <w:b/>
                <w:bCs/>
              </w:rPr>
            </w:pPr>
          </w:p>
        </w:tc>
        <w:tc>
          <w:tcPr>
            <w:tcW w:w="1213" w:type="pct"/>
            <w:vAlign w:val="center"/>
          </w:tcPr>
          <w:p w14:paraId="40FB02C1" w14:textId="1AC61B9E" w:rsidR="000F4F5F" w:rsidRPr="00181ADB" w:rsidRDefault="000F4F5F" w:rsidP="000F4F5F">
            <w:pPr>
              <w:spacing w:before="120" w:after="120"/>
              <w:jc w:val="center"/>
              <w:rPr>
                <w:rFonts w:ascii="Times New Roman" w:hAnsi="Times New Roman"/>
              </w:rPr>
            </w:pPr>
            <w:r w:rsidRPr="00181ADB">
              <w:rPr>
                <w:rFonts w:ascii="Times New Roman" w:hAnsi="Times New Roman"/>
              </w:rPr>
              <w:t>2. Năng lực kinh nghiệm nhà thầu</w:t>
            </w:r>
          </w:p>
        </w:tc>
        <w:tc>
          <w:tcPr>
            <w:tcW w:w="2425" w:type="pct"/>
            <w:vAlign w:val="center"/>
          </w:tcPr>
          <w:p w14:paraId="73AD227E" w14:textId="3F5CEB07" w:rsidR="000F4F5F" w:rsidRPr="00181ADB" w:rsidRDefault="006E3971" w:rsidP="002F1A33">
            <w:pPr>
              <w:spacing w:before="120" w:after="120"/>
              <w:jc w:val="both"/>
              <w:rPr>
                <w:rFonts w:ascii="Times New Roman" w:hAnsi="Times New Roman"/>
              </w:rPr>
            </w:pPr>
            <w:r w:rsidRPr="00181ADB">
              <w:rPr>
                <w:rFonts w:ascii="Times New Roman" w:hAnsi="Times New Roman"/>
              </w:rPr>
              <w:t>- Biểu mẫu tại Mục 2 Chương III và các tài liệu chứng minh kèm theo</w:t>
            </w:r>
          </w:p>
        </w:tc>
      </w:tr>
      <w:tr w:rsidR="00173EE6" w:rsidRPr="00181ADB" w14:paraId="53C4F5F0" w14:textId="54112D4A" w:rsidTr="00ED2AAB">
        <w:trPr>
          <w:jc w:val="center"/>
        </w:trPr>
        <w:tc>
          <w:tcPr>
            <w:tcW w:w="498" w:type="pct"/>
            <w:vAlign w:val="center"/>
          </w:tcPr>
          <w:p w14:paraId="3326AF0F" w14:textId="36061428" w:rsidR="00173EE6" w:rsidRPr="00181ADB" w:rsidRDefault="00ED2AAB" w:rsidP="000F4F5F">
            <w:pPr>
              <w:spacing w:before="120" w:after="120"/>
              <w:jc w:val="center"/>
              <w:rPr>
                <w:rFonts w:ascii="Times New Roman" w:hAnsi="Times New Roman"/>
              </w:rPr>
            </w:pPr>
            <w:r w:rsidRPr="00181ADB">
              <w:rPr>
                <w:rFonts w:ascii="Times New Roman" w:hAnsi="Times New Roman"/>
              </w:rPr>
              <w:lastRenderedPageBreak/>
              <w:t>3</w:t>
            </w:r>
          </w:p>
        </w:tc>
        <w:tc>
          <w:tcPr>
            <w:tcW w:w="864" w:type="pct"/>
            <w:vMerge w:val="restart"/>
            <w:vAlign w:val="center"/>
          </w:tcPr>
          <w:p w14:paraId="2EE190DC" w14:textId="0201483D" w:rsidR="00173EE6" w:rsidRPr="00181ADB" w:rsidRDefault="00173EE6" w:rsidP="000F4F5F">
            <w:pPr>
              <w:spacing w:before="120" w:after="120"/>
              <w:jc w:val="center"/>
              <w:rPr>
                <w:rFonts w:ascii="Times New Roman" w:hAnsi="Times New Roman"/>
                <w:b/>
                <w:bCs/>
              </w:rPr>
            </w:pPr>
            <w:r w:rsidRPr="00181ADB">
              <w:rPr>
                <w:rFonts w:ascii="Times New Roman" w:hAnsi="Times New Roman"/>
                <w:b/>
                <w:bCs/>
                <w:spacing w:val="-4"/>
              </w:rPr>
              <w:t xml:space="preserve">Phần B. </w:t>
            </w:r>
            <w:r w:rsidRPr="00181ADB">
              <w:rPr>
                <w:rFonts w:ascii="Times New Roman" w:hAnsi="Times New Roman"/>
                <w:b/>
                <w:bCs/>
              </w:rPr>
              <w:t>Thông</w:t>
            </w:r>
            <w:r w:rsidRPr="00181ADB">
              <w:rPr>
                <w:rFonts w:ascii="Times New Roman" w:hAnsi="Times New Roman"/>
                <w:b/>
                <w:bCs/>
                <w:spacing w:val="-1"/>
              </w:rPr>
              <w:t xml:space="preserve"> </w:t>
            </w:r>
            <w:r w:rsidRPr="00181ADB">
              <w:rPr>
                <w:rFonts w:ascii="Times New Roman" w:hAnsi="Times New Roman"/>
                <w:b/>
                <w:bCs/>
              </w:rPr>
              <w:t>tin</w:t>
            </w:r>
            <w:r w:rsidRPr="00181ADB">
              <w:rPr>
                <w:rFonts w:ascii="Times New Roman" w:hAnsi="Times New Roman"/>
                <w:b/>
                <w:bCs/>
                <w:spacing w:val="-5"/>
              </w:rPr>
              <w:t xml:space="preserve"> </w:t>
            </w:r>
            <w:r w:rsidRPr="00181ADB">
              <w:rPr>
                <w:rFonts w:ascii="Times New Roman" w:hAnsi="Times New Roman"/>
                <w:b/>
                <w:bCs/>
              </w:rPr>
              <w:t>sản</w:t>
            </w:r>
            <w:r w:rsidRPr="00181ADB">
              <w:rPr>
                <w:rFonts w:ascii="Times New Roman" w:hAnsi="Times New Roman"/>
                <w:b/>
                <w:bCs/>
                <w:spacing w:val="-1"/>
              </w:rPr>
              <w:t xml:space="preserve"> </w:t>
            </w:r>
            <w:r w:rsidRPr="00181ADB">
              <w:rPr>
                <w:rFonts w:ascii="Times New Roman" w:hAnsi="Times New Roman"/>
                <w:b/>
                <w:bCs/>
                <w:spacing w:val="-4"/>
              </w:rPr>
              <w:t>phẩm</w:t>
            </w:r>
          </w:p>
        </w:tc>
        <w:tc>
          <w:tcPr>
            <w:tcW w:w="1213" w:type="pct"/>
            <w:vMerge w:val="restart"/>
            <w:vAlign w:val="center"/>
          </w:tcPr>
          <w:p w14:paraId="1E7F2549" w14:textId="7F7A2D18" w:rsidR="00173EE6" w:rsidRPr="00181ADB" w:rsidRDefault="00173EE6" w:rsidP="000F4F5F">
            <w:pPr>
              <w:spacing w:before="120" w:after="120"/>
              <w:jc w:val="center"/>
              <w:rPr>
                <w:rFonts w:ascii="Times New Roman" w:hAnsi="Times New Roman"/>
              </w:rPr>
            </w:pPr>
            <w:r w:rsidRPr="00181ADB">
              <w:rPr>
                <w:rFonts w:ascii="Times New Roman" w:hAnsi="Times New Roman"/>
              </w:rPr>
              <w:t>1. Thông tin chung</w:t>
            </w:r>
          </w:p>
        </w:tc>
        <w:tc>
          <w:tcPr>
            <w:tcW w:w="2425" w:type="pct"/>
            <w:vAlign w:val="center"/>
          </w:tcPr>
          <w:p w14:paraId="50C0CC3F" w14:textId="77777777" w:rsidR="00173EE6" w:rsidRPr="00181ADB" w:rsidRDefault="00173EE6" w:rsidP="002F1A33">
            <w:pPr>
              <w:pStyle w:val="TableParagraph"/>
              <w:spacing w:before="120" w:after="120"/>
              <w:ind w:left="0"/>
              <w:jc w:val="both"/>
            </w:pPr>
            <w:r w:rsidRPr="00181ADB">
              <w:rPr>
                <w:i/>
              </w:rPr>
              <w:t>Mẫu</w:t>
            </w:r>
            <w:r w:rsidRPr="00181ADB">
              <w:rPr>
                <w:i/>
                <w:spacing w:val="-13"/>
              </w:rPr>
              <w:t xml:space="preserve"> </w:t>
            </w:r>
            <w:r w:rsidRPr="00181ADB">
              <w:rPr>
                <w:i/>
              </w:rPr>
              <w:t>số</w:t>
            </w:r>
            <w:r w:rsidRPr="00181ADB">
              <w:rPr>
                <w:i/>
                <w:spacing w:val="-13"/>
              </w:rPr>
              <w:t xml:space="preserve"> </w:t>
            </w:r>
            <w:r w:rsidRPr="00181ADB">
              <w:rPr>
                <w:i/>
              </w:rPr>
              <w:t>15</w:t>
            </w:r>
            <w:r w:rsidRPr="00181ADB">
              <w:rPr>
                <w:i/>
                <w:spacing w:val="-11"/>
              </w:rPr>
              <w:t xml:space="preserve"> </w:t>
            </w:r>
            <w:r w:rsidRPr="00181ADB">
              <w:rPr>
                <w:i/>
              </w:rPr>
              <w:t>Bảng</w:t>
            </w:r>
            <w:r w:rsidRPr="00181ADB">
              <w:rPr>
                <w:i/>
                <w:spacing w:val="-13"/>
              </w:rPr>
              <w:t xml:space="preserve"> </w:t>
            </w:r>
            <w:r w:rsidRPr="00181ADB">
              <w:rPr>
                <w:i/>
              </w:rPr>
              <w:t>tổng</w:t>
            </w:r>
            <w:r w:rsidRPr="00181ADB">
              <w:rPr>
                <w:i/>
                <w:spacing w:val="-13"/>
              </w:rPr>
              <w:t xml:space="preserve"> </w:t>
            </w:r>
            <w:r w:rsidRPr="00181ADB">
              <w:rPr>
                <w:i/>
              </w:rPr>
              <w:t>hợp</w:t>
            </w:r>
            <w:r w:rsidRPr="00181ADB">
              <w:rPr>
                <w:i/>
                <w:spacing w:val="-13"/>
              </w:rPr>
              <w:t xml:space="preserve"> </w:t>
            </w:r>
            <w:r w:rsidRPr="00181ADB">
              <w:rPr>
                <w:i/>
              </w:rPr>
              <w:t>điểm</w:t>
            </w:r>
            <w:r w:rsidRPr="00181ADB">
              <w:rPr>
                <w:i/>
                <w:spacing w:val="-13"/>
              </w:rPr>
              <w:t xml:space="preserve"> </w:t>
            </w:r>
            <w:r w:rsidRPr="00181ADB">
              <w:rPr>
                <w:i/>
              </w:rPr>
              <w:t>kỹ</w:t>
            </w:r>
            <w:r w:rsidRPr="00181ADB">
              <w:rPr>
                <w:i/>
                <w:spacing w:val="-13"/>
              </w:rPr>
              <w:t xml:space="preserve"> </w:t>
            </w:r>
            <w:r w:rsidRPr="00181ADB">
              <w:rPr>
                <w:i/>
              </w:rPr>
              <w:t>thuật</w:t>
            </w:r>
            <w:r w:rsidRPr="00181ADB">
              <w:rPr>
                <w:i/>
                <w:spacing w:val="-13"/>
              </w:rPr>
              <w:t xml:space="preserve"> </w:t>
            </w:r>
            <w:r w:rsidRPr="00181ADB">
              <w:rPr>
                <w:i/>
              </w:rPr>
              <w:t>của</w:t>
            </w:r>
            <w:r w:rsidRPr="00181ADB">
              <w:rPr>
                <w:i/>
                <w:spacing w:val="-15"/>
              </w:rPr>
              <w:t xml:space="preserve"> </w:t>
            </w:r>
            <w:r w:rsidRPr="00181ADB">
              <w:rPr>
                <w:i/>
              </w:rPr>
              <w:t xml:space="preserve">từng sản phẩm dự thầu do nhà thầu tự đánh giá </w:t>
            </w:r>
            <w:r w:rsidRPr="00181ADB">
              <w:t>(file scan bản gốc có chữ ký đại diện hợp pháp của nhà thầu và file excel);</w:t>
            </w:r>
          </w:p>
          <w:p w14:paraId="320350EB" w14:textId="0F686E86" w:rsidR="00173EE6" w:rsidRPr="00181ADB" w:rsidRDefault="00173EE6" w:rsidP="002F1A33">
            <w:pPr>
              <w:spacing w:before="120" w:after="120"/>
              <w:jc w:val="both"/>
              <w:rPr>
                <w:rFonts w:ascii="Times New Roman" w:hAnsi="Times New Roman"/>
              </w:rPr>
            </w:pPr>
            <w:r w:rsidRPr="00181ADB">
              <w:rPr>
                <w:rFonts w:ascii="Times New Roman" w:hAnsi="Times New Roman"/>
              </w:rPr>
              <w:t>Lưu</w:t>
            </w:r>
            <w:r w:rsidRPr="00181ADB">
              <w:rPr>
                <w:rFonts w:ascii="Times New Roman" w:hAnsi="Times New Roman"/>
                <w:spacing w:val="-1"/>
              </w:rPr>
              <w:t xml:space="preserve"> </w:t>
            </w:r>
            <w:r w:rsidRPr="00181ADB">
              <w:rPr>
                <w:rFonts w:ascii="Times New Roman" w:hAnsi="Times New Roman"/>
              </w:rPr>
              <w:t>ý: Dữ</w:t>
            </w:r>
            <w:r w:rsidRPr="00181ADB">
              <w:rPr>
                <w:rFonts w:ascii="Times New Roman" w:hAnsi="Times New Roman"/>
                <w:spacing w:val="-3"/>
              </w:rPr>
              <w:t xml:space="preserve"> </w:t>
            </w:r>
            <w:r w:rsidRPr="00181ADB">
              <w:rPr>
                <w:rFonts w:ascii="Times New Roman" w:hAnsi="Times New Roman"/>
              </w:rPr>
              <w:t>liệu</w:t>
            </w:r>
            <w:r w:rsidRPr="00181ADB">
              <w:rPr>
                <w:rFonts w:ascii="Times New Roman" w:hAnsi="Times New Roman"/>
                <w:spacing w:val="-1"/>
              </w:rPr>
              <w:t xml:space="preserve"> </w:t>
            </w:r>
            <w:r w:rsidRPr="00181ADB">
              <w:rPr>
                <w:rFonts w:ascii="Times New Roman" w:hAnsi="Times New Roman"/>
              </w:rPr>
              <w:t>trong</w:t>
            </w:r>
            <w:r w:rsidRPr="00181ADB">
              <w:rPr>
                <w:rFonts w:ascii="Times New Roman" w:hAnsi="Times New Roman"/>
                <w:spacing w:val="-1"/>
              </w:rPr>
              <w:t xml:space="preserve"> </w:t>
            </w:r>
            <w:r w:rsidRPr="00181ADB">
              <w:rPr>
                <w:rFonts w:ascii="Times New Roman" w:hAnsi="Times New Roman"/>
              </w:rPr>
              <w:t>file excel định</w:t>
            </w:r>
            <w:r w:rsidRPr="00181ADB">
              <w:rPr>
                <w:rFonts w:ascii="Times New Roman" w:hAnsi="Times New Roman"/>
                <w:spacing w:val="-1"/>
              </w:rPr>
              <w:t xml:space="preserve"> </w:t>
            </w:r>
            <w:r w:rsidRPr="00181ADB">
              <w:rPr>
                <w:rFonts w:ascii="Times New Roman" w:hAnsi="Times New Roman"/>
              </w:rPr>
              <w:t>dạng</w:t>
            </w:r>
            <w:r w:rsidRPr="00181ADB">
              <w:rPr>
                <w:rFonts w:ascii="Times New Roman" w:hAnsi="Times New Roman"/>
                <w:spacing w:val="-1"/>
              </w:rPr>
              <w:t xml:space="preserve"> </w:t>
            </w:r>
            <w:r w:rsidRPr="00181ADB">
              <w:rPr>
                <w:rFonts w:ascii="Times New Roman" w:hAnsi="Times New Roman"/>
              </w:rPr>
              <w:t>Value, xóa toàn bộ objects có trong file trước khi đính kèm trên hệ thống.</w:t>
            </w:r>
          </w:p>
        </w:tc>
      </w:tr>
      <w:tr w:rsidR="00173EE6" w:rsidRPr="00181ADB" w14:paraId="3354B8A3" w14:textId="44440377" w:rsidTr="00ED2AAB">
        <w:trPr>
          <w:jc w:val="center"/>
        </w:trPr>
        <w:tc>
          <w:tcPr>
            <w:tcW w:w="498" w:type="pct"/>
            <w:vAlign w:val="center"/>
          </w:tcPr>
          <w:p w14:paraId="763E4BAA" w14:textId="6C78D7C6" w:rsidR="00173EE6" w:rsidRPr="00181ADB" w:rsidRDefault="003807DD" w:rsidP="000F4F5F">
            <w:pPr>
              <w:spacing w:before="120" w:after="120"/>
              <w:jc w:val="center"/>
              <w:rPr>
                <w:rFonts w:ascii="Times New Roman" w:hAnsi="Times New Roman"/>
              </w:rPr>
            </w:pPr>
            <w:r w:rsidRPr="00181ADB">
              <w:rPr>
                <w:rFonts w:ascii="Times New Roman" w:hAnsi="Times New Roman"/>
              </w:rPr>
              <w:t>4</w:t>
            </w:r>
          </w:p>
        </w:tc>
        <w:tc>
          <w:tcPr>
            <w:tcW w:w="864" w:type="pct"/>
            <w:vMerge/>
            <w:vAlign w:val="center"/>
          </w:tcPr>
          <w:p w14:paraId="461BDE3D" w14:textId="6E16A82A" w:rsidR="00173EE6" w:rsidRPr="00181ADB" w:rsidRDefault="00173EE6" w:rsidP="000F4F5F">
            <w:pPr>
              <w:spacing w:before="120" w:after="120"/>
              <w:jc w:val="center"/>
              <w:rPr>
                <w:rFonts w:ascii="Times New Roman" w:hAnsi="Times New Roman"/>
              </w:rPr>
            </w:pPr>
          </w:p>
        </w:tc>
        <w:tc>
          <w:tcPr>
            <w:tcW w:w="1213" w:type="pct"/>
            <w:vMerge/>
            <w:vAlign w:val="center"/>
          </w:tcPr>
          <w:p w14:paraId="3629B323" w14:textId="1273B5B2" w:rsidR="00173EE6" w:rsidRPr="00181ADB" w:rsidRDefault="00173EE6" w:rsidP="000F4F5F">
            <w:pPr>
              <w:spacing w:before="120" w:after="120"/>
              <w:jc w:val="center"/>
              <w:rPr>
                <w:rFonts w:ascii="Times New Roman" w:hAnsi="Times New Roman"/>
              </w:rPr>
            </w:pPr>
          </w:p>
        </w:tc>
        <w:tc>
          <w:tcPr>
            <w:tcW w:w="2425" w:type="pct"/>
            <w:vAlign w:val="center"/>
          </w:tcPr>
          <w:p w14:paraId="0045B9A3" w14:textId="3B8B2CD4" w:rsidR="00173EE6" w:rsidRPr="00181ADB" w:rsidRDefault="00173EE6" w:rsidP="002F1A33">
            <w:pPr>
              <w:spacing w:before="120" w:after="120"/>
              <w:jc w:val="both"/>
              <w:rPr>
                <w:rFonts w:ascii="Times New Roman" w:hAnsi="Times New Roman"/>
              </w:rPr>
            </w:pPr>
            <w:r w:rsidRPr="00181ADB">
              <w:rPr>
                <w:rFonts w:ascii="Times New Roman" w:hAnsi="Times New Roman"/>
                <w:i/>
              </w:rPr>
              <w:t xml:space="preserve">Mẫu số 16. Cam kết khả năng đáp ứng về điều kiện giao hàng </w:t>
            </w:r>
            <w:r w:rsidRPr="00181ADB">
              <w:rPr>
                <w:rFonts w:ascii="Times New Roman" w:hAnsi="Times New Roman"/>
              </w:rPr>
              <w:t xml:space="preserve">– Chương V E-HSMT (file scan bản gốc có chữ ký đại diện hợp pháp của nhà </w:t>
            </w:r>
            <w:r w:rsidRPr="00181ADB">
              <w:rPr>
                <w:rFonts w:ascii="Times New Roman" w:hAnsi="Times New Roman"/>
                <w:spacing w:val="-2"/>
              </w:rPr>
              <w:t>thầu)</w:t>
            </w:r>
          </w:p>
        </w:tc>
      </w:tr>
      <w:tr w:rsidR="00173EE6" w:rsidRPr="00181ADB" w14:paraId="2CEF55DD" w14:textId="0DEF47AF" w:rsidTr="00ED2AAB">
        <w:trPr>
          <w:jc w:val="center"/>
        </w:trPr>
        <w:tc>
          <w:tcPr>
            <w:tcW w:w="498" w:type="pct"/>
            <w:vAlign w:val="center"/>
          </w:tcPr>
          <w:p w14:paraId="76D40DD6" w14:textId="04CD7591" w:rsidR="00173EE6" w:rsidRPr="00181ADB" w:rsidRDefault="003807DD" w:rsidP="000F4F5F">
            <w:pPr>
              <w:spacing w:before="120" w:after="120"/>
              <w:jc w:val="center"/>
              <w:rPr>
                <w:rFonts w:ascii="Times New Roman" w:hAnsi="Times New Roman"/>
              </w:rPr>
            </w:pPr>
            <w:r w:rsidRPr="00181ADB">
              <w:rPr>
                <w:rFonts w:ascii="Times New Roman" w:hAnsi="Times New Roman"/>
              </w:rPr>
              <w:t>5</w:t>
            </w:r>
          </w:p>
        </w:tc>
        <w:tc>
          <w:tcPr>
            <w:tcW w:w="864" w:type="pct"/>
            <w:vMerge/>
            <w:vAlign w:val="center"/>
          </w:tcPr>
          <w:p w14:paraId="543C032E" w14:textId="4EE9B510" w:rsidR="00173EE6" w:rsidRPr="00181ADB" w:rsidRDefault="00173EE6" w:rsidP="000F4F5F">
            <w:pPr>
              <w:spacing w:before="120" w:after="120"/>
              <w:jc w:val="center"/>
              <w:rPr>
                <w:rFonts w:ascii="Times New Roman" w:hAnsi="Times New Roman"/>
              </w:rPr>
            </w:pPr>
          </w:p>
        </w:tc>
        <w:tc>
          <w:tcPr>
            <w:tcW w:w="1213" w:type="pct"/>
            <w:vMerge/>
            <w:vAlign w:val="center"/>
          </w:tcPr>
          <w:p w14:paraId="1D52DDDF" w14:textId="77777777" w:rsidR="00173EE6" w:rsidRPr="00181ADB" w:rsidRDefault="00173EE6" w:rsidP="000F4F5F">
            <w:pPr>
              <w:spacing w:before="120" w:after="120"/>
              <w:jc w:val="center"/>
              <w:rPr>
                <w:rFonts w:ascii="Times New Roman" w:hAnsi="Times New Roman"/>
              </w:rPr>
            </w:pPr>
          </w:p>
        </w:tc>
        <w:tc>
          <w:tcPr>
            <w:tcW w:w="2425" w:type="pct"/>
            <w:vAlign w:val="center"/>
          </w:tcPr>
          <w:p w14:paraId="2F9DB129" w14:textId="1C3874E6" w:rsidR="00173EE6" w:rsidRPr="00181ADB" w:rsidRDefault="00173EE6" w:rsidP="002F1A33">
            <w:pPr>
              <w:pStyle w:val="TableParagraph"/>
              <w:spacing w:before="120" w:after="120" w:line="322" w:lineRule="exact"/>
              <w:ind w:left="0"/>
              <w:jc w:val="both"/>
            </w:pPr>
            <w:r w:rsidRPr="00181ADB">
              <w:t>Tài</w:t>
            </w:r>
            <w:r w:rsidRPr="00181ADB">
              <w:rPr>
                <w:spacing w:val="30"/>
              </w:rPr>
              <w:t xml:space="preserve"> </w:t>
            </w:r>
            <w:r w:rsidRPr="00181ADB">
              <w:t>liệu</w:t>
            </w:r>
            <w:r w:rsidRPr="00181ADB">
              <w:rPr>
                <w:spacing w:val="32"/>
              </w:rPr>
              <w:t xml:space="preserve"> </w:t>
            </w:r>
            <w:r w:rsidRPr="00181ADB">
              <w:t>chứng</w:t>
            </w:r>
            <w:r w:rsidRPr="00181ADB">
              <w:rPr>
                <w:spacing w:val="31"/>
              </w:rPr>
              <w:t xml:space="preserve"> </w:t>
            </w:r>
            <w:r w:rsidRPr="00181ADB">
              <w:t>minh</w:t>
            </w:r>
            <w:r w:rsidRPr="00181ADB">
              <w:rPr>
                <w:spacing w:val="32"/>
              </w:rPr>
              <w:t xml:space="preserve"> </w:t>
            </w:r>
            <w:r w:rsidRPr="00181ADB">
              <w:t>các</w:t>
            </w:r>
            <w:r w:rsidRPr="00181ADB">
              <w:rPr>
                <w:spacing w:val="30"/>
              </w:rPr>
              <w:t xml:space="preserve"> </w:t>
            </w:r>
            <w:r w:rsidRPr="00181ADB">
              <w:t>tiêu</w:t>
            </w:r>
            <w:r w:rsidRPr="00181ADB">
              <w:rPr>
                <w:spacing w:val="31"/>
              </w:rPr>
              <w:t xml:space="preserve"> </w:t>
            </w:r>
            <w:r w:rsidRPr="00181ADB">
              <w:t>chí</w:t>
            </w:r>
            <w:r w:rsidRPr="00181ADB">
              <w:rPr>
                <w:spacing w:val="29"/>
              </w:rPr>
              <w:t xml:space="preserve"> </w:t>
            </w:r>
            <w:r w:rsidRPr="00181ADB">
              <w:t>TC</w:t>
            </w:r>
            <w:r w:rsidRPr="00181ADB">
              <w:rPr>
                <w:spacing w:val="30"/>
              </w:rPr>
              <w:t xml:space="preserve"> </w:t>
            </w:r>
            <w:r w:rsidRPr="00181ADB">
              <w:t>II.11,</w:t>
            </w:r>
            <w:r w:rsidRPr="00181ADB">
              <w:rPr>
                <w:spacing w:val="30"/>
              </w:rPr>
              <w:t xml:space="preserve"> </w:t>
            </w:r>
            <w:r w:rsidRPr="00181ADB">
              <w:rPr>
                <w:spacing w:val="-5"/>
              </w:rPr>
              <w:t>TC</w:t>
            </w:r>
            <w:r w:rsidRPr="00181ADB">
              <w:rPr>
                <w:spacing w:val="-5"/>
                <w:lang w:val="en-US"/>
              </w:rPr>
              <w:t xml:space="preserve"> </w:t>
            </w:r>
            <w:r w:rsidRPr="00181ADB">
              <w:t>II.12 và TC II.13 – Bảng tiêu chuẩn đánh giá về kỹ thuật</w:t>
            </w:r>
          </w:p>
        </w:tc>
      </w:tr>
      <w:tr w:rsidR="00173EE6" w:rsidRPr="00181ADB" w14:paraId="11983C2F" w14:textId="77777777" w:rsidTr="00ED2AAB">
        <w:trPr>
          <w:jc w:val="center"/>
        </w:trPr>
        <w:tc>
          <w:tcPr>
            <w:tcW w:w="498" w:type="pct"/>
            <w:vAlign w:val="center"/>
          </w:tcPr>
          <w:p w14:paraId="61712F5D" w14:textId="5923E57C" w:rsidR="00173EE6" w:rsidRPr="00181ADB" w:rsidRDefault="003807DD" w:rsidP="000F4F5F">
            <w:pPr>
              <w:spacing w:before="120" w:after="120"/>
              <w:jc w:val="center"/>
              <w:rPr>
                <w:rFonts w:ascii="Times New Roman" w:hAnsi="Times New Roman"/>
              </w:rPr>
            </w:pPr>
            <w:r w:rsidRPr="00181ADB">
              <w:rPr>
                <w:rFonts w:ascii="Times New Roman" w:hAnsi="Times New Roman"/>
              </w:rPr>
              <w:t>6</w:t>
            </w:r>
          </w:p>
        </w:tc>
        <w:tc>
          <w:tcPr>
            <w:tcW w:w="864" w:type="pct"/>
            <w:vMerge/>
            <w:vAlign w:val="center"/>
          </w:tcPr>
          <w:p w14:paraId="4E32E8FD" w14:textId="77777777" w:rsidR="00173EE6" w:rsidRPr="00181ADB" w:rsidRDefault="00173EE6" w:rsidP="000F4F5F">
            <w:pPr>
              <w:spacing w:before="120" w:after="120"/>
              <w:jc w:val="center"/>
              <w:rPr>
                <w:rFonts w:ascii="Times New Roman" w:hAnsi="Times New Roman"/>
              </w:rPr>
            </w:pPr>
          </w:p>
        </w:tc>
        <w:tc>
          <w:tcPr>
            <w:tcW w:w="1213" w:type="pct"/>
            <w:vAlign w:val="center"/>
          </w:tcPr>
          <w:p w14:paraId="12210276" w14:textId="269E3CAD" w:rsidR="00173EE6" w:rsidRPr="00181ADB" w:rsidRDefault="00173EE6" w:rsidP="00416DAF">
            <w:pPr>
              <w:spacing w:before="120" w:after="120"/>
              <w:jc w:val="center"/>
              <w:rPr>
                <w:rFonts w:ascii="Times New Roman" w:hAnsi="Times New Roman"/>
                <w:spacing w:val="-2"/>
              </w:rPr>
            </w:pPr>
            <w:r w:rsidRPr="00181ADB">
              <w:rPr>
                <w:rFonts w:ascii="Times New Roman" w:hAnsi="Times New Roman"/>
              </w:rPr>
              <w:t xml:space="preserve">2. </w:t>
            </w:r>
            <w:r w:rsidRPr="00181ADB">
              <w:rPr>
                <w:rFonts w:ascii="Times New Roman" w:hAnsi="Times New Roman"/>
              </w:rPr>
              <w:t>Thông</w:t>
            </w:r>
            <w:r w:rsidRPr="00181ADB">
              <w:rPr>
                <w:rFonts w:ascii="Times New Roman" w:hAnsi="Times New Roman"/>
                <w:spacing w:val="-2"/>
              </w:rPr>
              <w:t xml:space="preserve"> </w:t>
            </w:r>
            <w:r w:rsidRPr="00181ADB">
              <w:rPr>
                <w:rFonts w:ascii="Times New Roman" w:hAnsi="Times New Roman"/>
              </w:rPr>
              <w:t>tin</w:t>
            </w:r>
            <w:r w:rsidRPr="00181ADB">
              <w:rPr>
                <w:rFonts w:ascii="Times New Roman" w:hAnsi="Times New Roman"/>
                <w:spacing w:val="-2"/>
              </w:rPr>
              <w:t xml:space="preserve"> </w:t>
            </w:r>
            <w:r w:rsidRPr="00181ADB">
              <w:rPr>
                <w:rFonts w:ascii="Times New Roman" w:hAnsi="Times New Roman"/>
              </w:rPr>
              <w:t>chi</w:t>
            </w:r>
            <w:r w:rsidRPr="00181ADB">
              <w:rPr>
                <w:rFonts w:ascii="Times New Roman" w:hAnsi="Times New Roman"/>
                <w:spacing w:val="-2"/>
              </w:rPr>
              <w:t xml:space="preserve"> </w:t>
            </w:r>
            <w:r w:rsidRPr="00181ADB">
              <w:rPr>
                <w:rFonts w:ascii="Times New Roman" w:hAnsi="Times New Roman"/>
              </w:rPr>
              <w:t>tiết</w:t>
            </w:r>
            <w:r w:rsidRPr="00181ADB">
              <w:rPr>
                <w:rFonts w:ascii="Times New Roman" w:hAnsi="Times New Roman"/>
                <w:spacing w:val="-3"/>
              </w:rPr>
              <w:t xml:space="preserve"> </w:t>
            </w:r>
            <w:r w:rsidRPr="00181ADB">
              <w:rPr>
                <w:rFonts w:ascii="Times New Roman" w:hAnsi="Times New Roman"/>
              </w:rPr>
              <w:t>sản</w:t>
            </w:r>
            <w:r w:rsidRPr="00181ADB">
              <w:rPr>
                <w:rFonts w:ascii="Times New Roman" w:hAnsi="Times New Roman"/>
                <w:spacing w:val="-2"/>
              </w:rPr>
              <w:t xml:space="preserve"> phẩm</w:t>
            </w:r>
          </w:p>
        </w:tc>
        <w:tc>
          <w:tcPr>
            <w:tcW w:w="2425" w:type="pct"/>
            <w:vAlign w:val="center"/>
          </w:tcPr>
          <w:p w14:paraId="3BACAC31" w14:textId="77777777" w:rsidR="00173EE6" w:rsidRPr="00181ADB" w:rsidRDefault="00173EE6" w:rsidP="002F1A33">
            <w:pPr>
              <w:pStyle w:val="TableParagraph"/>
              <w:spacing w:before="120" w:after="120" w:line="322" w:lineRule="exact"/>
              <w:ind w:left="0"/>
              <w:jc w:val="both"/>
              <w:rPr>
                <w:lang w:val="en-US"/>
              </w:rPr>
            </w:pPr>
            <w:r w:rsidRPr="00181ADB">
              <w:rPr>
                <w:lang w:val="en-US"/>
              </w:rPr>
              <w:t xml:space="preserve">- </w:t>
            </w:r>
            <w:r w:rsidRPr="00181ADB">
              <w:t xml:space="preserve">Tài liệu sản phẩm mỗi thuốc được lưu trữ trong 01 thư mục riêng, đặt tên thư mục như sau: </w:t>
            </w:r>
            <w:r w:rsidRPr="00181ADB">
              <w:rPr>
                <w:b/>
              </w:rPr>
              <w:t xml:space="preserve">Mã phần (lô) – Tên thuốc – SĐK </w:t>
            </w:r>
            <w:r w:rsidRPr="00181ADB">
              <w:t>(Ví dụ: PP24…– Paracetamol 500mg – VD-12345-23)</w:t>
            </w:r>
          </w:p>
          <w:p w14:paraId="17682676" w14:textId="44963AC6" w:rsidR="00173EE6" w:rsidRPr="00181ADB" w:rsidRDefault="00173EE6" w:rsidP="002F1A33">
            <w:pPr>
              <w:pStyle w:val="TableParagraph"/>
              <w:spacing w:before="120" w:after="120" w:line="322" w:lineRule="exact"/>
              <w:ind w:left="0"/>
              <w:jc w:val="both"/>
              <w:rPr>
                <w:lang w:val="en-US"/>
              </w:rPr>
            </w:pPr>
            <w:r w:rsidRPr="00181ADB">
              <w:rPr>
                <w:lang w:val="en-US"/>
              </w:rPr>
              <w:t xml:space="preserve">- Bao gồm tất cả các tài liệu chứng minh của sản phẩm yêu cầu tại </w:t>
            </w:r>
            <w:r w:rsidRPr="00181ADB">
              <w:t>Bảng tiêu chuẩn đánh giá về kỹ thuật</w:t>
            </w:r>
          </w:p>
        </w:tc>
      </w:tr>
    </w:tbl>
    <w:p w14:paraId="7027C7DD" w14:textId="77777777" w:rsidR="00891A42" w:rsidRPr="00181ADB" w:rsidRDefault="00C9632E" w:rsidP="00891A42">
      <w:pPr>
        <w:spacing w:before="120" w:after="120"/>
        <w:ind w:firstLine="720"/>
        <w:jc w:val="both"/>
        <w:rPr>
          <w:rFonts w:ascii="Times New Roman" w:hAnsi="Times New Roman"/>
          <w:sz w:val="28"/>
          <w:szCs w:val="28"/>
        </w:rPr>
      </w:pPr>
      <w:r w:rsidRPr="00181ADB">
        <w:rPr>
          <w:rFonts w:ascii="Times New Roman" w:hAnsi="Times New Roman"/>
          <w:sz w:val="28"/>
          <w:szCs w:val="28"/>
        </w:rPr>
        <w:t xml:space="preserve">- Cam kết thu hồi vô điều kiện kể cả khi hợp đồng đã chấm dứt nếu hàng cung ứng không đảm bảo đầy đủ các tiêu chuẩn kỹ thuật như đã chào thầu hoặc khi có yêu cầu thu hồi của cơ quan có thẩm quyền và đền bù các chi phí giám định độc lập và mọi tổn thất liên quan nếu có. </w:t>
      </w:r>
    </w:p>
    <w:p w14:paraId="64CDDA68" w14:textId="77777777" w:rsidR="00891A42" w:rsidRPr="00181ADB" w:rsidRDefault="00C9632E" w:rsidP="00891A42">
      <w:pPr>
        <w:spacing w:before="120" w:after="120"/>
        <w:ind w:firstLine="720"/>
        <w:jc w:val="both"/>
        <w:rPr>
          <w:rFonts w:ascii="Times New Roman" w:hAnsi="Times New Roman"/>
          <w:sz w:val="28"/>
          <w:szCs w:val="28"/>
        </w:rPr>
      </w:pPr>
      <w:r w:rsidRPr="00181ADB">
        <w:rPr>
          <w:rFonts w:ascii="Times New Roman" w:hAnsi="Times New Roman"/>
          <w:sz w:val="28"/>
          <w:szCs w:val="28"/>
        </w:rPr>
        <w:t>- Tùy từng trường hợp cụ thể, bên mời thầu có thể yêu cầu nhà thầu cung cấp thêm các tài liệu đặc thù khác để chứng minh chất lượng của sản phẩm.</w:t>
      </w:r>
      <w:r w:rsidRPr="00181ADB">
        <w:rPr>
          <w:rFonts w:ascii="Times New Roman" w:hAnsi="Times New Roman"/>
          <w:sz w:val="28"/>
          <w:szCs w:val="28"/>
        </w:rPr>
        <w:t xml:space="preserve"> </w:t>
      </w:r>
    </w:p>
    <w:p w14:paraId="16C51897" w14:textId="36729513" w:rsidR="006F3AEB" w:rsidRPr="00181ADB" w:rsidRDefault="006F3AEB" w:rsidP="00891A42">
      <w:pPr>
        <w:spacing w:before="120" w:after="120"/>
        <w:ind w:firstLine="720"/>
        <w:jc w:val="both"/>
        <w:rPr>
          <w:rFonts w:ascii="Times New Roman" w:hAnsi="Times New Roman"/>
          <w:b/>
          <w:bCs/>
          <w:i/>
          <w:iCs/>
          <w:sz w:val="28"/>
          <w:szCs w:val="28"/>
        </w:rPr>
      </w:pPr>
      <w:r w:rsidRPr="00181ADB">
        <w:rPr>
          <w:rFonts w:ascii="Times New Roman" w:hAnsi="Times New Roman"/>
          <w:b/>
          <w:bCs/>
          <w:sz w:val="28"/>
          <w:szCs w:val="28"/>
        </w:rPr>
        <w:t>Mục 3. Kiểm tra và thử nghiệm (nếu có)</w:t>
      </w:r>
      <w:bookmarkEnd w:id="4"/>
    </w:p>
    <w:p w14:paraId="3833C81F" w14:textId="77777777" w:rsidR="007E4F24" w:rsidRPr="00181ADB" w:rsidRDefault="007E4F24" w:rsidP="007E4F24">
      <w:pPr>
        <w:spacing w:before="120" w:after="120"/>
        <w:ind w:firstLine="720"/>
        <w:jc w:val="both"/>
        <w:rPr>
          <w:rFonts w:ascii="Times New Roman" w:hAnsi="Times New Roman"/>
          <w:sz w:val="28"/>
          <w:szCs w:val="28"/>
        </w:rPr>
      </w:pPr>
      <w:r w:rsidRPr="00181ADB">
        <w:rPr>
          <w:rFonts w:ascii="Times New Roman" w:hAnsi="Times New Roman"/>
          <w:sz w:val="28"/>
          <w:szCs w:val="28"/>
        </w:rPr>
        <w:t xml:space="preserve">Các kiểm tra và thử nghiệm cần tiến hành gồm có: </w:t>
      </w:r>
    </w:p>
    <w:p w14:paraId="21F384F8" w14:textId="77777777" w:rsidR="007E4F24" w:rsidRPr="00181ADB" w:rsidRDefault="007E4F24" w:rsidP="007E4F24">
      <w:pPr>
        <w:spacing w:before="120" w:after="120"/>
        <w:ind w:firstLine="720"/>
        <w:jc w:val="both"/>
        <w:rPr>
          <w:rFonts w:ascii="Times New Roman" w:hAnsi="Times New Roman"/>
          <w:sz w:val="28"/>
          <w:szCs w:val="28"/>
        </w:rPr>
      </w:pPr>
      <w:r w:rsidRPr="00181ADB">
        <w:rPr>
          <w:rFonts w:ascii="Times New Roman" w:hAnsi="Times New Roman"/>
          <w:sz w:val="28"/>
          <w:szCs w:val="28"/>
        </w:rPr>
        <w:t>- Kiểm tra tính phù hợp hàng hóa được giao so với đơn hàng gọi, có biên bản ký nhận giữa bên giao và bên nhận.</w:t>
      </w:r>
    </w:p>
    <w:p w14:paraId="39A87AE7" w14:textId="77777777" w:rsidR="007E4F24" w:rsidRPr="00181ADB" w:rsidRDefault="007E4F24" w:rsidP="007E4F24">
      <w:pPr>
        <w:spacing w:before="120" w:after="120"/>
        <w:ind w:firstLine="720"/>
        <w:jc w:val="both"/>
        <w:rPr>
          <w:rFonts w:ascii="Times New Roman" w:hAnsi="Times New Roman"/>
          <w:sz w:val="28"/>
          <w:szCs w:val="28"/>
        </w:rPr>
      </w:pPr>
      <w:r w:rsidRPr="00181ADB">
        <w:rPr>
          <w:rFonts w:ascii="Times New Roman" w:hAnsi="Times New Roman"/>
          <w:sz w:val="28"/>
          <w:szCs w:val="28"/>
        </w:rPr>
        <w:t>- Kiểm tra có biên bản ghi nhận hàng hóa giao thừa, thiếu.</w:t>
      </w:r>
    </w:p>
    <w:p w14:paraId="1A0CF45B" w14:textId="5127AD86" w:rsidR="00834E5F" w:rsidRDefault="007E4F24" w:rsidP="007E4F24">
      <w:pPr>
        <w:spacing w:before="120" w:after="120"/>
        <w:ind w:firstLine="720"/>
        <w:jc w:val="both"/>
      </w:pPr>
      <w:r w:rsidRPr="00181ADB">
        <w:rPr>
          <w:rFonts w:ascii="Times New Roman" w:hAnsi="Times New Roman"/>
          <w:sz w:val="28"/>
          <w:szCs w:val="28"/>
        </w:rPr>
        <w:t>- Kiểm tra cảm quan chất lượng thuốc.</w:t>
      </w:r>
      <w:r w:rsidRPr="007E4F24">
        <w:rPr>
          <w:rFonts w:ascii="Times New Roman" w:hAnsi="Times New Roman"/>
          <w:sz w:val="28"/>
          <w:szCs w:val="28"/>
        </w:rPr>
        <w:t xml:space="preserve"> </w:t>
      </w:r>
    </w:p>
    <w:sectPr w:rsidR="00834E5F" w:rsidSect="007E57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EB"/>
    <w:rsid w:val="000A79EC"/>
    <w:rsid w:val="000F4818"/>
    <w:rsid w:val="000F4F5F"/>
    <w:rsid w:val="00112451"/>
    <w:rsid w:val="00173EE6"/>
    <w:rsid w:val="00181ADB"/>
    <w:rsid w:val="001F5EEC"/>
    <w:rsid w:val="002C6921"/>
    <w:rsid w:val="002D5C80"/>
    <w:rsid w:val="002F1A33"/>
    <w:rsid w:val="003807DD"/>
    <w:rsid w:val="0038099D"/>
    <w:rsid w:val="00416DAF"/>
    <w:rsid w:val="00423840"/>
    <w:rsid w:val="00520D12"/>
    <w:rsid w:val="00541433"/>
    <w:rsid w:val="005767C9"/>
    <w:rsid w:val="006913B5"/>
    <w:rsid w:val="006C2B1F"/>
    <w:rsid w:val="006E3971"/>
    <w:rsid w:val="006F3AEB"/>
    <w:rsid w:val="007E4F24"/>
    <w:rsid w:val="007E57A1"/>
    <w:rsid w:val="00834E5F"/>
    <w:rsid w:val="00891A42"/>
    <w:rsid w:val="008C4E37"/>
    <w:rsid w:val="00915C2B"/>
    <w:rsid w:val="00A339FA"/>
    <w:rsid w:val="00A53F7B"/>
    <w:rsid w:val="00AD4038"/>
    <w:rsid w:val="00B852A7"/>
    <w:rsid w:val="00C95DED"/>
    <w:rsid w:val="00C9632E"/>
    <w:rsid w:val="00CC788C"/>
    <w:rsid w:val="00E231FD"/>
    <w:rsid w:val="00EA7684"/>
    <w:rsid w:val="00EC154A"/>
    <w:rsid w:val="00ED2AAB"/>
    <w:rsid w:val="00F262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5C83E"/>
  <w15:chartTrackingRefBased/>
  <w15:docId w15:val="{A0A7893D-366C-4D8F-86DC-687A77D5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EB"/>
    <w:pPr>
      <w:widowControl w:val="0"/>
      <w:spacing w:after="0" w:line="240" w:lineRule="auto"/>
    </w:pPr>
    <w:rPr>
      <w:rFonts w:ascii="Calibri" w:eastAsia="Calibri" w:hAnsi="Calibri" w:cs="Times New Roman"/>
      <w:lang w:val="en-US"/>
      <w14:ligatures w14:val="none"/>
    </w:rPr>
  </w:style>
  <w:style w:type="paragraph" w:styleId="Heading1">
    <w:name w:val="heading 1"/>
    <w:basedOn w:val="Normal"/>
    <w:next w:val="Normal"/>
    <w:link w:val="Heading1Char"/>
    <w:uiPriority w:val="9"/>
    <w:qFormat/>
    <w:rsid w:val="006F3AEB"/>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vi-VN"/>
      <w14:ligatures w14:val="standardContextual"/>
    </w:rPr>
  </w:style>
  <w:style w:type="paragraph" w:styleId="Heading2">
    <w:name w:val="heading 2"/>
    <w:basedOn w:val="Normal"/>
    <w:next w:val="Normal"/>
    <w:link w:val="Heading2Char"/>
    <w:uiPriority w:val="9"/>
    <w:semiHidden/>
    <w:unhideWhenUsed/>
    <w:qFormat/>
    <w:rsid w:val="006F3AEB"/>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vi-VN"/>
      <w14:ligatures w14:val="standardContextual"/>
    </w:rPr>
  </w:style>
  <w:style w:type="paragraph" w:styleId="Heading3">
    <w:name w:val="heading 3"/>
    <w:basedOn w:val="Normal"/>
    <w:next w:val="Normal"/>
    <w:link w:val="Heading3Char"/>
    <w:uiPriority w:val="9"/>
    <w:semiHidden/>
    <w:unhideWhenUsed/>
    <w:qFormat/>
    <w:rsid w:val="006F3AEB"/>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vi-VN"/>
      <w14:ligatures w14:val="standardContextual"/>
    </w:rPr>
  </w:style>
  <w:style w:type="paragraph" w:styleId="Heading4">
    <w:name w:val="heading 4"/>
    <w:basedOn w:val="Normal"/>
    <w:next w:val="Normal"/>
    <w:link w:val="Heading4Char"/>
    <w:uiPriority w:val="9"/>
    <w:semiHidden/>
    <w:unhideWhenUsed/>
    <w:qFormat/>
    <w:rsid w:val="006F3AEB"/>
    <w:pPr>
      <w:keepNext/>
      <w:keepLines/>
      <w:widowControl/>
      <w:spacing w:before="80" w:after="40" w:line="259" w:lineRule="auto"/>
      <w:outlineLvl w:val="3"/>
    </w:pPr>
    <w:rPr>
      <w:rFonts w:asciiTheme="minorHAnsi" w:eastAsiaTheme="majorEastAsia" w:hAnsiTheme="minorHAnsi" w:cstheme="majorBidi"/>
      <w:i/>
      <w:iCs/>
      <w:color w:val="2F5496" w:themeColor="accent1" w:themeShade="BF"/>
      <w:lang w:val="vi-VN"/>
      <w14:ligatures w14:val="standardContextual"/>
    </w:rPr>
  </w:style>
  <w:style w:type="paragraph" w:styleId="Heading5">
    <w:name w:val="heading 5"/>
    <w:basedOn w:val="Normal"/>
    <w:next w:val="Normal"/>
    <w:link w:val="Heading5Char"/>
    <w:semiHidden/>
    <w:unhideWhenUsed/>
    <w:qFormat/>
    <w:rsid w:val="006F3AEB"/>
    <w:pPr>
      <w:keepNext/>
      <w:keepLines/>
      <w:widowControl/>
      <w:spacing w:before="80" w:after="40" w:line="259" w:lineRule="auto"/>
      <w:outlineLvl w:val="4"/>
    </w:pPr>
    <w:rPr>
      <w:rFonts w:asciiTheme="minorHAnsi" w:eastAsiaTheme="majorEastAsia" w:hAnsiTheme="minorHAnsi" w:cstheme="majorBidi"/>
      <w:color w:val="2F5496" w:themeColor="accent1" w:themeShade="BF"/>
      <w:lang w:val="vi-VN"/>
      <w14:ligatures w14:val="standardContextual"/>
    </w:rPr>
  </w:style>
  <w:style w:type="paragraph" w:styleId="Heading6">
    <w:name w:val="heading 6"/>
    <w:basedOn w:val="Normal"/>
    <w:next w:val="Normal"/>
    <w:link w:val="Heading6Char"/>
    <w:semiHidden/>
    <w:unhideWhenUsed/>
    <w:qFormat/>
    <w:rsid w:val="006F3AEB"/>
    <w:pPr>
      <w:keepNext/>
      <w:keepLines/>
      <w:widowControl/>
      <w:spacing w:before="40" w:line="259" w:lineRule="auto"/>
      <w:outlineLvl w:val="5"/>
    </w:pPr>
    <w:rPr>
      <w:rFonts w:asciiTheme="minorHAnsi" w:eastAsiaTheme="majorEastAsia" w:hAnsiTheme="minorHAnsi" w:cstheme="majorBidi"/>
      <w:i/>
      <w:iCs/>
      <w:color w:val="595959" w:themeColor="text1" w:themeTint="A6"/>
      <w:lang w:val="vi-VN"/>
      <w14:ligatures w14:val="standardContextual"/>
    </w:rPr>
  </w:style>
  <w:style w:type="paragraph" w:styleId="Heading7">
    <w:name w:val="heading 7"/>
    <w:basedOn w:val="Normal"/>
    <w:next w:val="Normal"/>
    <w:link w:val="Heading7Char"/>
    <w:uiPriority w:val="9"/>
    <w:semiHidden/>
    <w:unhideWhenUsed/>
    <w:qFormat/>
    <w:rsid w:val="006F3AEB"/>
    <w:pPr>
      <w:keepNext/>
      <w:keepLines/>
      <w:widowControl/>
      <w:spacing w:before="40" w:line="259" w:lineRule="auto"/>
      <w:outlineLvl w:val="6"/>
    </w:pPr>
    <w:rPr>
      <w:rFonts w:asciiTheme="minorHAnsi" w:eastAsiaTheme="majorEastAsia" w:hAnsiTheme="minorHAnsi" w:cstheme="majorBidi"/>
      <w:color w:val="595959" w:themeColor="text1" w:themeTint="A6"/>
      <w:lang w:val="vi-VN"/>
      <w14:ligatures w14:val="standardContextual"/>
    </w:rPr>
  </w:style>
  <w:style w:type="paragraph" w:styleId="Heading8">
    <w:name w:val="heading 8"/>
    <w:basedOn w:val="Normal"/>
    <w:next w:val="Normal"/>
    <w:link w:val="Heading8Char"/>
    <w:uiPriority w:val="9"/>
    <w:semiHidden/>
    <w:unhideWhenUsed/>
    <w:qFormat/>
    <w:rsid w:val="006F3AEB"/>
    <w:pPr>
      <w:keepNext/>
      <w:keepLines/>
      <w:widowControl/>
      <w:spacing w:line="259" w:lineRule="auto"/>
      <w:outlineLvl w:val="7"/>
    </w:pPr>
    <w:rPr>
      <w:rFonts w:asciiTheme="minorHAnsi" w:eastAsiaTheme="majorEastAsia" w:hAnsiTheme="minorHAnsi" w:cstheme="majorBidi"/>
      <w:i/>
      <w:iCs/>
      <w:color w:val="272727" w:themeColor="text1" w:themeTint="D8"/>
      <w:lang w:val="vi-VN"/>
      <w14:ligatures w14:val="standardContextual"/>
    </w:rPr>
  </w:style>
  <w:style w:type="paragraph" w:styleId="Heading9">
    <w:name w:val="heading 9"/>
    <w:basedOn w:val="Normal"/>
    <w:next w:val="Normal"/>
    <w:link w:val="Heading9Char"/>
    <w:uiPriority w:val="9"/>
    <w:semiHidden/>
    <w:unhideWhenUsed/>
    <w:qFormat/>
    <w:rsid w:val="006F3AEB"/>
    <w:pPr>
      <w:keepNext/>
      <w:keepLines/>
      <w:widowControl/>
      <w:spacing w:line="259" w:lineRule="auto"/>
      <w:outlineLvl w:val="8"/>
    </w:pPr>
    <w:rPr>
      <w:rFonts w:asciiTheme="minorHAnsi" w:eastAsiaTheme="majorEastAsia" w:hAnsiTheme="minorHAnsi" w:cstheme="majorBidi"/>
      <w:color w:val="272727" w:themeColor="text1" w:themeTint="D8"/>
      <w:lang w:val="vi-V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A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3A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3A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3AEB"/>
    <w:rPr>
      <w:rFonts w:eastAsiaTheme="majorEastAsia" w:cstheme="majorBidi"/>
      <w:i/>
      <w:iCs/>
      <w:color w:val="2F5496" w:themeColor="accent1" w:themeShade="BF"/>
    </w:rPr>
  </w:style>
  <w:style w:type="character" w:customStyle="1" w:styleId="Heading5Char">
    <w:name w:val="Heading 5 Char"/>
    <w:basedOn w:val="DefaultParagraphFont"/>
    <w:link w:val="Heading5"/>
    <w:semiHidden/>
    <w:rsid w:val="006F3AEB"/>
    <w:rPr>
      <w:rFonts w:eastAsiaTheme="majorEastAsia" w:cstheme="majorBidi"/>
      <w:color w:val="2F5496" w:themeColor="accent1" w:themeShade="BF"/>
    </w:rPr>
  </w:style>
  <w:style w:type="character" w:customStyle="1" w:styleId="Heading6Char">
    <w:name w:val="Heading 6 Char"/>
    <w:basedOn w:val="DefaultParagraphFont"/>
    <w:link w:val="Heading6"/>
    <w:semiHidden/>
    <w:rsid w:val="006F3A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A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A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AEB"/>
    <w:rPr>
      <w:rFonts w:eastAsiaTheme="majorEastAsia" w:cstheme="majorBidi"/>
      <w:color w:val="272727" w:themeColor="text1" w:themeTint="D8"/>
    </w:rPr>
  </w:style>
  <w:style w:type="paragraph" w:styleId="Title">
    <w:name w:val="Title"/>
    <w:basedOn w:val="Normal"/>
    <w:next w:val="Normal"/>
    <w:link w:val="TitleChar"/>
    <w:uiPriority w:val="10"/>
    <w:qFormat/>
    <w:rsid w:val="006F3AEB"/>
    <w:pPr>
      <w:widowControl/>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6F3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AEB"/>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vi-VN"/>
      <w14:ligatures w14:val="standardContextual"/>
    </w:rPr>
  </w:style>
  <w:style w:type="character" w:customStyle="1" w:styleId="SubtitleChar">
    <w:name w:val="Subtitle Char"/>
    <w:basedOn w:val="DefaultParagraphFont"/>
    <w:link w:val="Subtitle"/>
    <w:uiPriority w:val="11"/>
    <w:rsid w:val="006F3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AEB"/>
    <w:pPr>
      <w:widowControl/>
      <w:spacing w:before="160" w:after="160" w:line="259" w:lineRule="auto"/>
      <w:jc w:val="center"/>
    </w:pPr>
    <w:rPr>
      <w:rFonts w:asciiTheme="minorHAnsi" w:eastAsiaTheme="minorHAnsi" w:hAnsiTheme="minorHAnsi" w:cstheme="minorBidi"/>
      <w:i/>
      <w:iCs/>
      <w:color w:val="404040" w:themeColor="text1" w:themeTint="BF"/>
      <w:lang w:val="vi-VN"/>
      <w14:ligatures w14:val="standardContextual"/>
    </w:rPr>
  </w:style>
  <w:style w:type="character" w:customStyle="1" w:styleId="QuoteChar">
    <w:name w:val="Quote Char"/>
    <w:basedOn w:val="DefaultParagraphFont"/>
    <w:link w:val="Quote"/>
    <w:uiPriority w:val="29"/>
    <w:rsid w:val="006F3AEB"/>
    <w:rPr>
      <w:i/>
      <w:iCs/>
      <w:color w:val="404040" w:themeColor="text1" w:themeTint="BF"/>
    </w:rPr>
  </w:style>
  <w:style w:type="paragraph" w:styleId="ListParagraph">
    <w:name w:val="List Paragraph"/>
    <w:basedOn w:val="Normal"/>
    <w:uiPriority w:val="34"/>
    <w:qFormat/>
    <w:rsid w:val="006F3AEB"/>
    <w:pPr>
      <w:widowControl/>
      <w:spacing w:after="160" w:line="259" w:lineRule="auto"/>
      <w:ind w:left="720"/>
      <w:contextualSpacing/>
    </w:pPr>
    <w:rPr>
      <w:rFonts w:asciiTheme="minorHAnsi" w:eastAsiaTheme="minorHAnsi" w:hAnsiTheme="minorHAnsi" w:cstheme="minorBidi"/>
      <w:lang w:val="vi-VN"/>
      <w14:ligatures w14:val="standardContextual"/>
    </w:rPr>
  </w:style>
  <w:style w:type="character" w:styleId="IntenseEmphasis">
    <w:name w:val="Intense Emphasis"/>
    <w:basedOn w:val="DefaultParagraphFont"/>
    <w:uiPriority w:val="21"/>
    <w:qFormat/>
    <w:rsid w:val="006F3AEB"/>
    <w:rPr>
      <w:i/>
      <w:iCs/>
      <w:color w:val="2F5496" w:themeColor="accent1" w:themeShade="BF"/>
    </w:rPr>
  </w:style>
  <w:style w:type="paragraph" w:styleId="IntenseQuote">
    <w:name w:val="Intense Quote"/>
    <w:basedOn w:val="Normal"/>
    <w:next w:val="Normal"/>
    <w:link w:val="IntenseQuoteChar"/>
    <w:uiPriority w:val="30"/>
    <w:qFormat/>
    <w:rsid w:val="006F3AEB"/>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lang w:val="vi-VN"/>
      <w14:ligatures w14:val="standardContextual"/>
    </w:rPr>
  </w:style>
  <w:style w:type="character" w:customStyle="1" w:styleId="IntenseQuoteChar">
    <w:name w:val="Intense Quote Char"/>
    <w:basedOn w:val="DefaultParagraphFont"/>
    <w:link w:val="IntenseQuote"/>
    <w:uiPriority w:val="30"/>
    <w:rsid w:val="006F3AEB"/>
    <w:rPr>
      <w:i/>
      <w:iCs/>
      <w:color w:val="2F5496" w:themeColor="accent1" w:themeShade="BF"/>
    </w:rPr>
  </w:style>
  <w:style w:type="character" w:styleId="IntenseReference">
    <w:name w:val="Intense Reference"/>
    <w:basedOn w:val="DefaultParagraphFont"/>
    <w:uiPriority w:val="32"/>
    <w:qFormat/>
    <w:rsid w:val="006F3AEB"/>
    <w:rPr>
      <w:b/>
      <w:bCs/>
      <w:smallCaps/>
      <w:color w:val="2F5496" w:themeColor="accent1" w:themeShade="BF"/>
      <w:spacing w:val="5"/>
    </w:rPr>
  </w:style>
  <w:style w:type="character" w:styleId="Hyperlink">
    <w:name w:val="Hyperlink"/>
    <w:basedOn w:val="DefaultParagraphFont"/>
    <w:uiPriority w:val="99"/>
    <w:unhideWhenUsed/>
    <w:rsid w:val="00C9632E"/>
    <w:rPr>
      <w:color w:val="0563C1" w:themeColor="hyperlink"/>
      <w:u w:val="single"/>
    </w:rPr>
  </w:style>
  <w:style w:type="character" w:styleId="UnresolvedMention">
    <w:name w:val="Unresolved Mention"/>
    <w:basedOn w:val="DefaultParagraphFont"/>
    <w:uiPriority w:val="99"/>
    <w:semiHidden/>
    <w:unhideWhenUsed/>
    <w:rsid w:val="00C9632E"/>
    <w:rPr>
      <w:color w:val="605E5C"/>
      <w:shd w:val="clear" w:color="auto" w:fill="E1DFDD"/>
    </w:rPr>
  </w:style>
  <w:style w:type="table" w:styleId="TableGrid">
    <w:name w:val="Table Grid"/>
    <w:basedOn w:val="TableNormal"/>
    <w:uiPriority w:val="39"/>
    <w:rsid w:val="00541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F1A33"/>
    <w:pPr>
      <w:autoSpaceDE w:val="0"/>
      <w:autoSpaceDN w:val="0"/>
      <w:spacing w:before="60"/>
      <w:ind w:left="108"/>
    </w:pPr>
    <w:rPr>
      <w:rFonts w:ascii="Times New Roman" w:eastAsia="Times New Roman" w:hAnsi="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av.gov.vn"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Tuan Tran</dc:creator>
  <cp:keywords/>
  <dc:description/>
  <cp:lastModifiedBy>Thanh Tuan Tran</cp:lastModifiedBy>
  <cp:revision>2</cp:revision>
  <dcterms:created xsi:type="dcterms:W3CDTF">2025-12-14T16:21:00Z</dcterms:created>
  <dcterms:modified xsi:type="dcterms:W3CDTF">2025-12-14T17:10:00Z</dcterms:modified>
</cp:coreProperties>
</file>