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00343092">
              <w:rPr>
                <w:sz w:val="28"/>
                <w:szCs w:val="28"/>
              </w:rPr>
              <w:t>thời gian thi công không quá 12</w:t>
            </w:r>
            <w:r w:rsidRPr="00E55670">
              <w:rPr>
                <w:sz w:val="28"/>
                <w:szCs w:val="28"/>
              </w:rPr>
              <w:t>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343092">
              <w:rPr>
                <w:sz w:val="28"/>
                <w:szCs w:val="28"/>
              </w:rPr>
              <w:t>12</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00343092">
              <w:rPr>
                <w:sz w:val="28"/>
                <w:szCs w:val="28"/>
              </w:rPr>
              <w:t>12</w:t>
            </w:r>
            <w:r w:rsidRPr="00E55670">
              <w:rPr>
                <w:sz w:val="28"/>
                <w:szCs w:val="28"/>
              </w:rPr>
              <w:t>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w:t>
            </w:r>
            <w:r w:rsidR="00343092">
              <w:rPr>
                <w:color w:val="000000"/>
                <w:sz w:val="28"/>
                <w:szCs w:val="28"/>
                <w:lang w:val="it-IT"/>
              </w:rPr>
              <w:t>ự thầu theo quy định tại Điều 20</w:t>
            </w:r>
            <w:r w:rsidRPr="00BE5E00">
              <w:rPr>
                <w:color w:val="000000"/>
                <w:sz w:val="28"/>
                <w:szCs w:val="28"/>
                <w:lang w:val="it-IT"/>
              </w:rPr>
              <w:t xml:space="preserve"> của Nghị định 2</w:t>
            </w:r>
            <w:r w:rsidR="00343092">
              <w:rPr>
                <w:color w:val="000000"/>
                <w:sz w:val="28"/>
                <w:szCs w:val="28"/>
                <w:lang w:val="it-IT"/>
              </w:rPr>
              <w:t>14/2025</w:t>
            </w:r>
            <w:r w:rsidRPr="00BE5E00">
              <w:rPr>
                <w:color w:val="000000"/>
                <w:sz w:val="28"/>
                <w:szCs w:val="28"/>
                <w:lang w:val="it-IT"/>
              </w:rPr>
              <w:t>/NĐ-CP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w:t>
            </w:r>
            <w:r w:rsidR="00343092">
              <w:rPr>
                <w:color w:val="000000"/>
                <w:sz w:val="28"/>
                <w:szCs w:val="28"/>
                <w:lang w:val="it-IT"/>
              </w:rPr>
              <w:t>ự thầu theo quy định tại Điều 20</w:t>
            </w:r>
            <w:bookmarkStart w:id="1" w:name="_GoBack"/>
            <w:bookmarkEnd w:id="1"/>
            <w:r w:rsidRPr="00BE5E00">
              <w:rPr>
                <w:color w:val="000000"/>
                <w:sz w:val="28"/>
                <w:szCs w:val="28"/>
                <w:lang w:val="it-IT"/>
              </w:rPr>
              <w:t xml:space="preserve"> của Nghị định 2</w:t>
            </w:r>
            <w:r w:rsidR="00343092">
              <w:rPr>
                <w:color w:val="000000"/>
                <w:sz w:val="28"/>
                <w:szCs w:val="28"/>
                <w:lang w:val="it-IT"/>
              </w:rPr>
              <w:t>1</w:t>
            </w:r>
            <w:r w:rsidRPr="00BE5E00">
              <w:rPr>
                <w:color w:val="000000"/>
                <w:sz w:val="28"/>
                <w:szCs w:val="28"/>
                <w:lang w:val="it-IT"/>
              </w:rPr>
              <w:t>4/2024/NĐ-CP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343092"/>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15:restartNumberingAfterBreak="0">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321097"/>
    <w:rsid w:val="00343092"/>
    <w:rsid w:val="003F0128"/>
    <w:rsid w:val="004F4E3F"/>
    <w:rsid w:val="00566CDC"/>
    <w:rsid w:val="00577B33"/>
    <w:rsid w:val="00653799"/>
    <w:rsid w:val="00826649"/>
    <w:rsid w:val="00C55ECD"/>
    <w:rsid w:val="00D15B1D"/>
    <w:rsid w:val="00D2397A"/>
    <w:rsid w:val="00D245AE"/>
    <w:rsid w:val="00D76489"/>
    <w:rsid w:val="00D96740"/>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08E3"/>
  <w15:docId w15:val="{BE9BEC51-CD9B-4B83-AD00-08B95A5F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P8-Dau Hoang Thanh</cp:lastModifiedBy>
  <cp:revision>10</cp:revision>
  <cp:lastPrinted>2025-09-02T08:00:00Z</cp:lastPrinted>
  <dcterms:created xsi:type="dcterms:W3CDTF">2025-09-05T07:53:00Z</dcterms:created>
  <dcterms:modified xsi:type="dcterms:W3CDTF">2025-11-14T01:46:00Z</dcterms:modified>
</cp:coreProperties>
</file>