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9041" w14:textId="77777777" w:rsidR="009919E6" w:rsidRDefault="00C42B30">
      <w:pPr>
        <w:pStyle w:val="Heading4"/>
        <w:rPr>
          <w:color w:val="000000" w:themeColor="text1"/>
          <w:sz w:val="26"/>
          <w:szCs w:val="26"/>
          <w:lang w:val="vi-VN"/>
        </w:rPr>
      </w:pPr>
      <w:bookmarkStart w:id="0" w:name="_Toc132613619"/>
      <w:r>
        <w:rPr>
          <w:color w:val="000000" w:themeColor="text1"/>
          <w:sz w:val="26"/>
          <w:szCs w:val="26"/>
          <w:lang w:val="vi-VN"/>
        </w:rPr>
        <w:t>Mục 3. Tiêu chuẩn đánh giá về kỹ thuật</w:t>
      </w:r>
      <w:bookmarkEnd w:id="0"/>
    </w:p>
    <w:p w14:paraId="4805F949" w14:textId="77777777" w:rsidR="009919E6" w:rsidRDefault="00C42B30">
      <w:pPr>
        <w:ind w:firstLine="709"/>
        <w:rPr>
          <w:rFonts w:eastAsia="Times New Roman"/>
          <w:color w:val="000000" w:themeColor="text1"/>
          <w:sz w:val="26"/>
          <w:szCs w:val="26"/>
        </w:rPr>
      </w:pPr>
      <w:r>
        <w:rPr>
          <w:rFonts w:eastAsia="Times New Roman"/>
          <w:color w:val="000000" w:themeColor="text1"/>
          <w:sz w:val="26"/>
          <w:szCs w:val="26"/>
        </w:rPr>
        <w:t>Sử dụng tiêu chí đạt/không đạt đánh giá về kỹ thuật</w:t>
      </w:r>
    </w:p>
    <w:p w14:paraId="28394009" w14:textId="77777777" w:rsidR="009919E6" w:rsidRDefault="009919E6">
      <w:pPr>
        <w:ind w:firstLine="709"/>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0345"/>
        <w:gridCol w:w="2167"/>
      </w:tblGrid>
      <w:tr w:rsidR="00704992" w:rsidRPr="00704992" w14:paraId="74B69F20" w14:textId="77777777" w:rsidTr="007201A4">
        <w:trPr>
          <w:trHeight w:val="567"/>
        </w:trPr>
        <w:tc>
          <w:tcPr>
            <w:tcW w:w="387" w:type="pct"/>
            <w:shd w:val="clear" w:color="auto" w:fill="AEAAAA"/>
          </w:tcPr>
          <w:p w14:paraId="375A5CEE" w14:textId="77777777" w:rsidR="009919E6" w:rsidRPr="00704992" w:rsidRDefault="00C42B30">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STT</w:t>
            </w:r>
          </w:p>
        </w:tc>
        <w:tc>
          <w:tcPr>
            <w:tcW w:w="3814" w:type="pct"/>
            <w:shd w:val="clear" w:color="auto" w:fill="AEAAAA"/>
          </w:tcPr>
          <w:p w14:paraId="20ABF120" w14:textId="77777777" w:rsidR="009919E6" w:rsidRPr="00704992" w:rsidRDefault="00C42B30">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Nội dung</w:t>
            </w:r>
          </w:p>
        </w:tc>
        <w:tc>
          <w:tcPr>
            <w:tcW w:w="799" w:type="pct"/>
            <w:shd w:val="clear" w:color="auto" w:fill="AEAAAA"/>
          </w:tcPr>
          <w:p w14:paraId="7F4E2A38" w14:textId="77777777" w:rsidR="009919E6" w:rsidRPr="00704992" w:rsidRDefault="00C42B30">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Đánh giá</w:t>
            </w:r>
          </w:p>
        </w:tc>
      </w:tr>
      <w:tr w:rsidR="00704992" w:rsidRPr="00704992" w14:paraId="5EBFB821" w14:textId="77777777">
        <w:trPr>
          <w:trHeight w:val="567"/>
        </w:trPr>
        <w:tc>
          <w:tcPr>
            <w:tcW w:w="387" w:type="pct"/>
          </w:tcPr>
          <w:p w14:paraId="1D038756" w14:textId="77777777" w:rsidR="009919E6" w:rsidRPr="00704992" w:rsidRDefault="00C42B30">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1</w:t>
            </w:r>
          </w:p>
        </w:tc>
        <w:tc>
          <w:tcPr>
            <w:tcW w:w="4613" w:type="pct"/>
            <w:gridSpan w:val="2"/>
          </w:tcPr>
          <w:p w14:paraId="2B6BB9B2" w14:textId="77777777" w:rsidR="009919E6" w:rsidRPr="00704992" w:rsidRDefault="00C42B30">
            <w:pPr>
              <w:widowControl w:val="0"/>
              <w:tabs>
                <w:tab w:val="right" w:leader="dot" w:pos="9062"/>
              </w:tabs>
              <w:spacing w:before="80"/>
              <w:rPr>
                <w:rFonts w:eastAsia="Times New Roman" w:cs="Times New Roman"/>
                <w:b/>
                <w:bCs/>
                <w:spacing w:val="-10"/>
                <w:sz w:val="26"/>
                <w:szCs w:val="26"/>
              </w:rPr>
            </w:pPr>
            <w:r w:rsidRPr="00704992">
              <w:rPr>
                <w:rFonts w:eastAsia="Times New Roman" w:cs="Times New Roman"/>
                <w:b/>
                <w:bCs/>
                <w:spacing w:val="-10"/>
                <w:sz w:val="26"/>
                <w:szCs w:val="26"/>
              </w:rPr>
              <w:t xml:space="preserve">Phạm vi và quy mô công việc </w:t>
            </w:r>
          </w:p>
        </w:tc>
      </w:tr>
      <w:tr w:rsidR="00704992" w:rsidRPr="00704992" w14:paraId="3DA76E69" w14:textId="77777777" w:rsidTr="007201A4">
        <w:trPr>
          <w:trHeight w:val="567"/>
        </w:trPr>
        <w:tc>
          <w:tcPr>
            <w:tcW w:w="387" w:type="pct"/>
          </w:tcPr>
          <w:p w14:paraId="7C07BB5A" w14:textId="77777777" w:rsidR="009919E6" w:rsidRPr="00704992" w:rsidRDefault="009919E6">
            <w:pPr>
              <w:widowControl w:val="0"/>
              <w:tabs>
                <w:tab w:val="right" w:leader="dot" w:pos="9062"/>
              </w:tabs>
              <w:spacing w:before="80"/>
              <w:jc w:val="center"/>
              <w:rPr>
                <w:rFonts w:eastAsia="Times New Roman" w:cs="Times New Roman"/>
                <w:b/>
                <w:bCs/>
                <w:spacing w:val="-10"/>
                <w:sz w:val="26"/>
                <w:szCs w:val="26"/>
              </w:rPr>
            </w:pPr>
          </w:p>
        </w:tc>
        <w:tc>
          <w:tcPr>
            <w:tcW w:w="3814" w:type="pct"/>
          </w:tcPr>
          <w:p w14:paraId="4FAB6514" w14:textId="6E7A0EC6" w:rsidR="009919E6" w:rsidRPr="00704992" w:rsidRDefault="00C42B30" w:rsidP="00C42B30">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Đề xuất đầy đủ phạm vi và quy mô công việc theo yêu cầu nêu tại Mục 1</w:t>
            </w:r>
            <w:r w:rsidRPr="00F576B8">
              <w:rPr>
                <w:rFonts w:eastAsia="Times New Roman" w:cs="Times New Roman"/>
                <w:spacing w:val="-10"/>
                <w:sz w:val="26"/>
                <w:szCs w:val="26"/>
              </w:rPr>
              <w:t>.1</w:t>
            </w:r>
            <w:r w:rsidRPr="00704992">
              <w:rPr>
                <w:rFonts w:eastAsia="Times New Roman" w:cs="Times New Roman"/>
                <w:spacing w:val="-10"/>
                <w:sz w:val="26"/>
                <w:szCs w:val="26"/>
              </w:rPr>
              <w:t xml:space="preserve"> và Mục</w:t>
            </w:r>
            <w:r w:rsidRPr="00F576B8">
              <w:rPr>
                <w:rFonts w:eastAsia="Times New Roman" w:cs="Times New Roman"/>
                <w:spacing w:val="-10"/>
                <w:sz w:val="26"/>
                <w:szCs w:val="26"/>
              </w:rPr>
              <w:t xml:space="preserve"> 1.</w:t>
            </w:r>
            <w:r w:rsidRPr="00704992">
              <w:rPr>
                <w:rFonts w:eastAsia="Times New Roman" w:cs="Times New Roman"/>
                <w:spacing w:val="-10"/>
                <w:sz w:val="26"/>
                <w:szCs w:val="26"/>
              </w:rPr>
              <w:t xml:space="preserve">2 Chương V- Yêu cầu về kỹ thuật và Mẫu số 01A Chương IV- Biểu mẫu mời thầu và dự thầu </w:t>
            </w:r>
          </w:p>
        </w:tc>
        <w:tc>
          <w:tcPr>
            <w:tcW w:w="799" w:type="pct"/>
          </w:tcPr>
          <w:p w14:paraId="7D5193FE" w14:textId="77777777" w:rsidR="009919E6" w:rsidRPr="00704992" w:rsidRDefault="00C42B30">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Đạt</w:t>
            </w:r>
          </w:p>
        </w:tc>
      </w:tr>
      <w:tr w:rsidR="00704992" w:rsidRPr="00704992" w14:paraId="57F1C40E" w14:textId="77777777" w:rsidTr="007201A4">
        <w:trPr>
          <w:trHeight w:val="567"/>
        </w:trPr>
        <w:tc>
          <w:tcPr>
            <w:tcW w:w="387" w:type="pct"/>
          </w:tcPr>
          <w:p w14:paraId="5B4384CA" w14:textId="77777777" w:rsidR="009919E6" w:rsidRPr="00704992" w:rsidRDefault="009919E6">
            <w:pPr>
              <w:widowControl w:val="0"/>
              <w:tabs>
                <w:tab w:val="right" w:leader="dot" w:pos="9062"/>
              </w:tabs>
              <w:spacing w:before="80"/>
              <w:jc w:val="center"/>
              <w:rPr>
                <w:rFonts w:eastAsia="Times New Roman" w:cs="Times New Roman"/>
                <w:b/>
                <w:bCs/>
                <w:spacing w:val="-10"/>
                <w:sz w:val="26"/>
                <w:szCs w:val="26"/>
              </w:rPr>
            </w:pPr>
          </w:p>
        </w:tc>
        <w:tc>
          <w:tcPr>
            <w:tcW w:w="3814" w:type="pct"/>
          </w:tcPr>
          <w:p w14:paraId="484A20A2" w14:textId="77777777" w:rsidR="009919E6" w:rsidRPr="00704992" w:rsidRDefault="00C42B30">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 xml:space="preserve">Các trường hợp còn lại </w:t>
            </w:r>
          </w:p>
        </w:tc>
        <w:tc>
          <w:tcPr>
            <w:tcW w:w="799" w:type="pct"/>
          </w:tcPr>
          <w:p w14:paraId="5ED2CC3A" w14:textId="77777777" w:rsidR="009919E6" w:rsidRPr="00704992" w:rsidRDefault="00C42B30">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Không Đạt</w:t>
            </w:r>
          </w:p>
        </w:tc>
      </w:tr>
      <w:tr w:rsidR="00704992" w:rsidRPr="00704992" w14:paraId="594C652D" w14:textId="77777777">
        <w:trPr>
          <w:trHeight w:val="567"/>
        </w:trPr>
        <w:tc>
          <w:tcPr>
            <w:tcW w:w="387" w:type="pct"/>
          </w:tcPr>
          <w:p w14:paraId="70FB3802" w14:textId="77777777" w:rsidR="009919E6" w:rsidRPr="00704992" w:rsidRDefault="00C42B30">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2</w:t>
            </w:r>
          </w:p>
        </w:tc>
        <w:tc>
          <w:tcPr>
            <w:tcW w:w="4613" w:type="pct"/>
            <w:gridSpan w:val="2"/>
          </w:tcPr>
          <w:p w14:paraId="70A08648" w14:textId="77777777" w:rsidR="009919E6" w:rsidRPr="00704992" w:rsidRDefault="00C42B30">
            <w:pPr>
              <w:widowControl w:val="0"/>
              <w:tabs>
                <w:tab w:val="right" w:leader="dot" w:pos="9062"/>
              </w:tabs>
              <w:spacing w:before="80"/>
              <w:rPr>
                <w:rFonts w:eastAsia="Times New Roman" w:cs="Times New Roman"/>
                <w:b/>
                <w:bCs/>
                <w:spacing w:val="-10"/>
                <w:sz w:val="26"/>
                <w:szCs w:val="26"/>
              </w:rPr>
            </w:pPr>
            <w:r w:rsidRPr="00704992">
              <w:rPr>
                <w:rFonts w:eastAsia="Times New Roman" w:cs="Times New Roman"/>
                <w:b/>
                <w:bCs/>
                <w:spacing w:val="-10"/>
                <w:sz w:val="26"/>
                <w:szCs w:val="26"/>
              </w:rPr>
              <w:t>Thời gian thực hiện hợp đồng (Tiến độ cung cấp)</w:t>
            </w:r>
          </w:p>
        </w:tc>
      </w:tr>
      <w:tr w:rsidR="00704992" w:rsidRPr="00704992" w14:paraId="0824878D" w14:textId="77777777" w:rsidTr="007201A4">
        <w:trPr>
          <w:trHeight w:val="567"/>
        </w:trPr>
        <w:tc>
          <w:tcPr>
            <w:tcW w:w="387" w:type="pct"/>
          </w:tcPr>
          <w:p w14:paraId="62D25446" w14:textId="77777777" w:rsidR="009919E6" w:rsidRPr="00704992" w:rsidRDefault="009919E6">
            <w:pPr>
              <w:widowControl w:val="0"/>
              <w:tabs>
                <w:tab w:val="right" w:leader="dot" w:pos="9062"/>
              </w:tabs>
              <w:spacing w:before="80"/>
              <w:jc w:val="center"/>
              <w:rPr>
                <w:rFonts w:eastAsia="Times New Roman" w:cs="Times New Roman"/>
                <w:spacing w:val="-10"/>
                <w:sz w:val="26"/>
                <w:szCs w:val="26"/>
              </w:rPr>
            </w:pPr>
          </w:p>
        </w:tc>
        <w:tc>
          <w:tcPr>
            <w:tcW w:w="3814" w:type="pct"/>
          </w:tcPr>
          <w:p w14:paraId="39F7F4F8" w14:textId="77777777" w:rsidR="009919E6" w:rsidRPr="00704992" w:rsidRDefault="00C42B30">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Đáp ứng hoặc đáp ứng tốt hơn yêu cầu về thời gian thực hiện hợp đồng (Tiến độ cung cấp) theo yêu cầu nêu tại Mẫu số 10 Chương IV và Mục 1.1 Chương V- Yêu cầu về kỹ thuật.</w:t>
            </w:r>
          </w:p>
        </w:tc>
        <w:tc>
          <w:tcPr>
            <w:tcW w:w="799" w:type="pct"/>
          </w:tcPr>
          <w:p w14:paraId="787DAB60" w14:textId="77777777" w:rsidR="009919E6" w:rsidRPr="00704992" w:rsidRDefault="00C42B30">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Đạt</w:t>
            </w:r>
          </w:p>
        </w:tc>
      </w:tr>
      <w:tr w:rsidR="00704992" w:rsidRPr="00704992" w14:paraId="06DBB6B5" w14:textId="77777777" w:rsidTr="007201A4">
        <w:trPr>
          <w:trHeight w:val="567"/>
        </w:trPr>
        <w:tc>
          <w:tcPr>
            <w:tcW w:w="387" w:type="pct"/>
          </w:tcPr>
          <w:p w14:paraId="7C70E17E" w14:textId="77777777" w:rsidR="009919E6" w:rsidRPr="00704992" w:rsidRDefault="009919E6">
            <w:pPr>
              <w:widowControl w:val="0"/>
              <w:tabs>
                <w:tab w:val="right" w:leader="dot" w:pos="9062"/>
              </w:tabs>
              <w:spacing w:before="80"/>
              <w:jc w:val="center"/>
              <w:rPr>
                <w:rFonts w:eastAsia="Times New Roman" w:cs="Times New Roman"/>
                <w:spacing w:val="-10"/>
                <w:sz w:val="26"/>
                <w:szCs w:val="26"/>
              </w:rPr>
            </w:pPr>
          </w:p>
        </w:tc>
        <w:tc>
          <w:tcPr>
            <w:tcW w:w="3814" w:type="pct"/>
          </w:tcPr>
          <w:p w14:paraId="1187A499" w14:textId="77777777" w:rsidR="009919E6" w:rsidRPr="00704992" w:rsidRDefault="00C42B30">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 xml:space="preserve">Các trường hợp còn lại </w:t>
            </w:r>
          </w:p>
        </w:tc>
        <w:tc>
          <w:tcPr>
            <w:tcW w:w="799" w:type="pct"/>
          </w:tcPr>
          <w:p w14:paraId="1BC244F2" w14:textId="77777777" w:rsidR="009919E6" w:rsidRPr="00704992" w:rsidRDefault="00C42B30">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Không Đạt</w:t>
            </w:r>
          </w:p>
        </w:tc>
      </w:tr>
      <w:tr w:rsidR="00704992" w:rsidRPr="00704992" w14:paraId="02FF8010" w14:textId="77777777" w:rsidTr="007201A4">
        <w:trPr>
          <w:trHeight w:val="567"/>
        </w:trPr>
        <w:tc>
          <w:tcPr>
            <w:tcW w:w="387" w:type="pct"/>
          </w:tcPr>
          <w:p w14:paraId="35FCF979" w14:textId="77777777" w:rsidR="009919E6" w:rsidRPr="00704992" w:rsidRDefault="00C42B30">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3</w:t>
            </w:r>
          </w:p>
        </w:tc>
        <w:tc>
          <w:tcPr>
            <w:tcW w:w="3814" w:type="pct"/>
          </w:tcPr>
          <w:p w14:paraId="44FB67E1" w14:textId="77777777" w:rsidR="009919E6" w:rsidRPr="00704992" w:rsidRDefault="00C42B30">
            <w:pPr>
              <w:widowControl w:val="0"/>
              <w:tabs>
                <w:tab w:val="right" w:leader="dot" w:pos="9062"/>
              </w:tabs>
              <w:spacing w:before="80"/>
              <w:rPr>
                <w:rFonts w:eastAsia="Times New Roman" w:cs="Times New Roman"/>
                <w:b/>
                <w:bCs/>
                <w:spacing w:val="-10"/>
                <w:sz w:val="26"/>
                <w:szCs w:val="26"/>
              </w:rPr>
            </w:pPr>
            <w:r w:rsidRPr="00704992">
              <w:rPr>
                <w:rFonts w:eastAsia="Times New Roman" w:cs="Times New Roman"/>
                <w:b/>
                <w:bCs/>
                <w:spacing w:val="-10"/>
                <w:sz w:val="26"/>
                <w:szCs w:val="26"/>
              </w:rPr>
              <w:t xml:space="preserve">Yêu cầu về kỹ thuật </w:t>
            </w:r>
          </w:p>
        </w:tc>
        <w:tc>
          <w:tcPr>
            <w:tcW w:w="799" w:type="pct"/>
          </w:tcPr>
          <w:p w14:paraId="7BCD032B" w14:textId="77777777" w:rsidR="009919E6" w:rsidRPr="00704992" w:rsidRDefault="009919E6">
            <w:pPr>
              <w:widowControl w:val="0"/>
              <w:tabs>
                <w:tab w:val="right" w:leader="dot" w:pos="9062"/>
              </w:tabs>
              <w:spacing w:before="80"/>
              <w:rPr>
                <w:rFonts w:eastAsia="Times New Roman" w:cs="Times New Roman"/>
                <w:spacing w:val="-10"/>
                <w:sz w:val="26"/>
                <w:szCs w:val="26"/>
              </w:rPr>
            </w:pPr>
          </w:p>
        </w:tc>
      </w:tr>
      <w:tr w:rsidR="00704992" w:rsidRPr="00704992" w14:paraId="3168927E" w14:textId="77777777" w:rsidTr="007201A4">
        <w:trPr>
          <w:trHeight w:val="567"/>
        </w:trPr>
        <w:tc>
          <w:tcPr>
            <w:tcW w:w="387" w:type="pct"/>
          </w:tcPr>
          <w:p w14:paraId="1EE0879C" w14:textId="77777777" w:rsidR="009919E6" w:rsidRPr="00704992" w:rsidRDefault="009919E6">
            <w:pPr>
              <w:widowControl w:val="0"/>
              <w:tabs>
                <w:tab w:val="right" w:leader="dot" w:pos="9062"/>
              </w:tabs>
              <w:spacing w:before="80"/>
              <w:jc w:val="center"/>
              <w:rPr>
                <w:rFonts w:eastAsia="Times New Roman" w:cs="Times New Roman"/>
                <w:spacing w:val="-10"/>
                <w:sz w:val="26"/>
                <w:szCs w:val="26"/>
              </w:rPr>
            </w:pPr>
          </w:p>
        </w:tc>
        <w:tc>
          <w:tcPr>
            <w:tcW w:w="3814" w:type="pct"/>
          </w:tcPr>
          <w:p w14:paraId="26BF1C14" w14:textId="77777777" w:rsidR="009919E6" w:rsidRPr="00704992" w:rsidRDefault="00C42B30">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Đáp ứng hoặc đáp ứng tốt hơn yêu cầu về kỹ thuật nêu tại Mục 1.2 Chương V- Yêu cầu về kỹ thuật.</w:t>
            </w:r>
          </w:p>
        </w:tc>
        <w:tc>
          <w:tcPr>
            <w:tcW w:w="799" w:type="pct"/>
          </w:tcPr>
          <w:p w14:paraId="0CA502C9" w14:textId="77777777" w:rsidR="009919E6" w:rsidRPr="00704992" w:rsidRDefault="00C42B30">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Đạt</w:t>
            </w:r>
          </w:p>
        </w:tc>
      </w:tr>
      <w:tr w:rsidR="00704992" w:rsidRPr="00704992" w14:paraId="50D968E6" w14:textId="77777777" w:rsidTr="007201A4">
        <w:trPr>
          <w:trHeight w:val="567"/>
        </w:trPr>
        <w:tc>
          <w:tcPr>
            <w:tcW w:w="387" w:type="pct"/>
          </w:tcPr>
          <w:p w14:paraId="13C8AB77" w14:textId="77777777" w:rsidR="009919E6" w:rsidRPr="00704992" w:rsidRDefault="009919E6">
            <w:pPr>
              <w:widowControl w:val="0"/>
              <w:tabs>
                <w:tab w:val="right" w:leader="dot" w:pos="9062"/>
              </w:tabs>
              <w:spacing w:before="80"/>
              <w:jc w:val="center"/>
              <w:rPr>
                <w:rFonts w:eastAsia="Times New Roman" w:cs="Times New Roman"/>
                <w:spacing w:val="-10"/>
                <w:sz w:val="26"/>
                <w:szCs w:val="26"/>
              </w:rPr>
            </w:pPr>
          </w:p>
        </w:tc>
        <w:tc>
          <w:tcPr>
            <w:tcW w:w="3814" w:type="pct"/>
          </w:tcPr>
          <w:p w14:paraId="1466B6D8" w14:textId="77777777" w:rsidR="009919E6" w:rsidRPr="00704992" w:rsidRDefault="00C42B30">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 xml:space="preserve">Các trường hợp còn lại </w:t>
            </w:r>
          </w:p>
        </w:tc>
        <w:tc>
          <w:tcPr>
            <w:tcW w:w="799" w:type="pct"/>
          </w:tcPr>
          <w:p w14:paraId="4381424D" w14:textId="77777777" w:rsidR="009919E6" w:rsidRPr="00704992" w:rsidRDefault="00C42B30">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Không Đạt</w:t>
            </w:r>
          </w:p>
        </w:tc>
      </w:tr>
      <w:tr w:rsidR="007201A4" w:rsidRPr="00704992" w14:paraId="3A1798F4" w14:textId="77777777" w:rsidTr="007201A4">
        <w:trPr>
          <w:trHeight w:val="567"/>
        </w:trPr>
        <w:tc>
          <w:tcPr>
            <w:tcW w:w="387" w:type="pct"/>
          </w:tcPr>
          <w:p w14:paraId="57542C35" w14:textId="577D0C74" w:rsidR="007201A4" w:rsidRPr="007201A4" w:rsidRDefault="00F576B8" w:rsidP="007201A4">
            <w:pPr>
              <w:widowControl w:val="0"/>
              <w:tabs>
                <w:tab w:val="right" w:leader="dot" w:pos="9062"/>
              </w:tabs>
              <w:spacing w:before="80"/>
              <w:jc w:val="center"/>
              <w:rPr>
                <w:rFonts w:eastAsia="Times New Roman" w:cs="Times New Roman"/>
                <w:b/>
                <w:spacing w:val="-10"/>
                <w:sz w:val="26"/>
                <w:szCs w:val="26"/>
                <w:lang w:val="en-US"/>
              </w:rPr>
            </w:pPr>
            <w:r>
              <w:rPr>
                <w:rFonts w:eastAsia="Times New Roman" w:cs="Times New Roman"/>
                <w:b/>
                <w:spacing w:val="-10"/>
                <w:sz w:val="26"/>
                <w:szCs w:val="26"/>
                <w:lang w:val="en-US"/>
              </w:rPr>
              <w:t>4</w:t>
            </w:r>
          </w:p>
        </w:tc>
        <w:tc>
          <w:tcPr>
            <w:tcW w:w="3814" w:type="pct"/>
          </w:tcPr>
          <w:p w14:paraId="5330E3B7" w14:textId="292BB918" w:rsidR="007201A4" w:rsidRPr="00704992" w:rsidRDefault="007201A4" w:rsidP="007201A4">
            <w:pPr>
              <w:widowControl w:val="0"/>
              <w:tabs>
                <w:tab w:val="right" w:leader="dot" w:pos="9062"/>
              </w:tabs>
              <w:spacing w:before="80"/>
              <w:rPr>
                <w:rFonts w:eastAsia="Times New Roman" w:cs="Times New Roman"/>
                <w:spacing w:val="-10"/>
                <w:sz w:val="26"/>
                <w:szCs w:val="26"/>
              </w:rPr>
            </w:pPr>
            <w:r w:rsidRPr="00025B84">
              <w:rPr>
                <w:rFonts w:ascii="Times" w:eastAsia="Calibri" w:hAnsi="Times" w:cs="Times"/>
                <w:b/>
                <w:iCs/>
                <w:sz w:val="26"/>
                <w:szCs w:val="26"/>
              </w:rPr>
              <w:t>Xuất xứ và thương hiệu sản phẩm</w:t>
            </w:r>
          </w:p>
        </w:tc>
        <w:tc>
          <w:tcPr>
            <w:tcW w:w="799" w:type="pct"/>
          </w:tcPr>
          <w:p w14:paraId="159CC3FE"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p>
        </w:tc>
      </w:tr>
      <w:tr w:rsidR="007201A4" w:rsidRPr="00704992" w14:paraId="42EB9AFB" w14:textId="77777777" w:rsidTr="007201A4">
        <w:trPr>
          <w:trHeight w:val="567"/>
        </w:trPr>
        <w:tc>
          <w:tcPr>
            <w:tcW w:w="387" w:type="pct"/>
          </w:tcPr>
          <w:p w14:paraId="4F9B1CF3" w14:textId="77777777" w:rsidR="007201A4" w:rsidRPr="007201A4" w:rsidRDefault="007201A4" w:rsidP="007201A4">
            <w:pPr>
              <w:widowControl w:val="0"/>
              <w:tabs>
                <w:tab w:val="right" w:leader="dot" w:pos="9062"/>
              </w:tabs>
              <w:spacing w:before="80"/>
              <w:jc w:val="center"/>
              <w:rPr>
                <w:rFonts w:eastAsia="Times New Roman" w:cs="Times New Roman"/>
                <w:b/>
                <w:spacing w:val="-10"/>
                <w:sz w:val="26"/>
                <w:szCs w:val="26"/>
                <w:lang w:val="en-US"/>
              </w:rPr>
            </w:pPr>
          </w:p>
        </w:tc>
        <w:tc>
          <w:tcPr>
            <w:tcW w:w="3814" w:type="pct"/>
          </w:tcPr>
          <w:p w14:paraId="0CB27956" w14:textId="577FA692" w:rsidR="007201A4" w:rsidRPr="007201A4" w:rsidRDefault="007201A4" w:rsidP="007201A4">
            <w:pPr>
              <w:widowControl w:val="0"/>
              <w:tabs>
                <w:tab w:val="right" w:leader="dot" w:pos="9062"/>
              </w:tabs>
              <w:spacing w:before="80"/>
              <w:rPr>
                <w:rFonts w:ascii="Times" w:eastAsia="Calibri" w:hAnsi="Times" w:cs="Times"/>
                <w:b/>
                <w:iCs/>
                <w:sz w:val="26"/>
                <w:szCs w:val="26"/>
                <w:lang w:val="en-US"/>
              </w:rPr>
            </w:pPr>
            <w:proofErr w:type="spellStart"/>
            <w:r w:rsidRPr="00025B84">
              <w:rPr>
                <w:rFonts w:ascii="Times" w:eastAsia="Calibri" w:hAnsi="Times" w:cs="Times"/>
                <w:bCs/>
                <w:iCs/>
                <w:sz w:val="26"/>
                <w:szCs w:val="26"/>
                <w:lang w:val="en-US"/>
              </w:rPr>
              <w:t>Nhà</w:t>
            </w:r>
            <w:proofErr w:type="spellEnd"/>
            <w:r w:rsidRPr="00025B84">
              <w:rPr>
                <w:rFonts w:ascii="Times" w:eastAsia="Calibri" w:hAnsi="Times" w:cs="Times"/>
                <w:bCs/>
                <w:iCs/>
                <w:sz w:val="26"/>
                <w:szCs w:val="26"/>
                <w:lang w:val="en-US"/>
              </w:rPr>
              <w:t xml:space="preserve"> </w:t>
            </w:r>
            <w:proofErr w:type="spellStart"/>
            <w:r w:rsidRPr="00025B84">
              <w:rPr>
                <w:rFonts w:ascii="Times" w:eastAsia="Calibri" w:hAnsi="Times" w:cs="Times"/>
                <w:bCs/>
                <w:iCs/>
                <w:sz w:val="26"/>
                <w:szCs w:val="26"/>
                <w:lang w:val="en-US"/>
              </w:rPr>
              <w:t>Thầu</w:t>
            </w:r>
            <w:proofErr w:type="spellEnd"/>
            <w:r w:rsidRPr="00025B84">
              <w:rPr>
                <w:rFonts w:ascii="Times" w:eastAsia="Calibri" w:hAnsi="Times" w:cs="Times"/>
                <w:bCs/>
                <w:iCs/>
                <w:sz w:val="26"/>
                <w:szCs w:val="26"/>
                <w:lang w:val="en-US"/>
              </w:rPr>
              <w:t xml:space="preserve"> </w:t>
            </w:r>
            <w:proofErr w:type="spellStart"/>
            <w:r w:rsidRPr="00025B84">
              <w:rPr>
                <w:rFonts w:ascii="Times" w:eastAsia="Calibri" w:hAnsi="Times" w:cs="Times"/>
                <w:bCs/>
                <w:iCs/>
                <w:sz w:val="26"/>
                <w:szCs w:val="26"/>
                <w:lang w:val="en-US"/>
              </w:rPr>
              <w:t>có</w:t>
            </w:r>
            <w:proofErr w:type="spellEnd"/>
            <w:r w:rsidRPr="00025B84">
              <w:rPr>
                <w:rFonts w:ascii="Times" w:eastAsia="Calibri" w:hAnsi="Times" w:cs="Times"/>
                <w:bCs/>
                <w:iCs/>
                <w:sz w:val="26"/>
                <w:szCs w:val="26"/>
                <w:lang w:val="en-US"/>
              </w:rPr>
              <w:t xml:space="preserve"> </w:t>
            </w:r>
            <w:proofErr w:type="spellStart"/>
            <w:r w:rsidRPr="00025B84">
              <w:rPr>
                <w:rFonts w:ascii="Times" w:eastAsia="Calibri" w:hAnsi="Times" w:cs="Times"/>
                <w:bCs/>
                <w:iCs/>
                <w:sz w:val="26"/>
                <w:szCs w:val="26"/>
                <w:lang w:val="en-US"/>
              </w:rPr>
              <w:t>bản</w:t>
            </w:r>
            <w:proofErr w:type="spellEnd"/>
            <w:r w:rsidRPr="00025B84">
              <w:rPr>
                <w:rFonts w:ascii="Times" w:eastAsia="Calibri" w:hAnsi="Times" w:cs="Times"/>
                <w:bCs/>
                <w:iCs/>
                <w:sz w:val="26"/>
                <w:szCs w:val="26"/>
                <w:lang w:val="en-US"/>
              </w:rPr>
              <w:t xml:space="preserve"> cam </w:t>
            </w:r>
            <w:proofErr w:type="spellStart"/>
            <w:r w:rsidRPr="00025B84">
              <w:rPr>
                <w:rFonts w:ascii="Times" w:eastAsia="Calibri" w:hAnsi="Times" w:cs="Times"/>
                <w:bCs/>
                <w:iCs/>
                <w:sz w:val="26"/>
                <w:szCs w:val="26"/>
                <w:lang w:val="en-US"/>
              </w:rPr>
              <w:t>kế</w:t>
            </w:r>
            <w:r>
              <w:rPr>
                <w:rFonts w:ascii="Times" w:eastAsia="Calibri" w:hAnsi="Times" w:cs="Times"/>
                <w:bCs/>
                <w:iCs/>
                <w:sz w:val="26"/>
                <w:szCs w:val="26"/>
                <w:lang w:val="en-US"/>
              </w:rPr>
              <w:t>t</w:t>
            </w:r>
            <w:proofErr w:type="spellEnd"/>
            <w:r>
              <w:rPr>
                <w:rFonts w:ascii="Times" w:eastAsia="Calibri" w:hAnsi="Times" w:cs="Times"/>
                <w:bCs/>
                <w:iCs/>
                <w:sz w:val="26"/>
                <w:szCs w:val="26"/>
                <w:lang w:val="en-US"/>
              </w:rPr>
              <w:t xml:space="preserve"> </w:t>
            </w:r>
            <w:proofErr w:type="spellStart"/>
            <w:r>
              <w:rPr>
                <w:rFonts w:ascii="Times" w:eastAsia="Calibri" w:hAnsi="Times" w:cs="Times"/>
                <w:bCs/>
                <w:iCs/>
                <w:sz w:val="26"/>
                <w:szCs w:val="26"/>
                <w:lang w:val="en-US"/>
              </w:rPr>
              <w:t>nộp</w:t>
            </w:r>
            <w:proofErr w:type="spellEnd"/>
            <w:r>
              <w:rPr>
                <w:rFonts w:ascii="Times" w:eastAsia="Calibri" w:hAnsi="Times" w:cs="Times"/>
                <w:bCs/>
                <w:iCs/>
                <w:sz w:val="26"/>
                <w:szCs w:val="26"/>
                <w:lang w:val="en-US"/>
              </w:rPr>
              <w:t xml:space="preserve"> </w:t>
            </w:r>
            <w:proofErr w:type="spellStart"/>
            <w:r>
              <w:rPr>
                <w:rFonts w:ascii="Times" w:eastAsia="Calibri" w:hAnsi="Times" w:cs="Times"/>
                <w:bCs/>
                <w:iCs/>
                <w:sz w:val="26"/>
                <w:szCs w:val="26"/>
                <w:lang w:val="en-US"/>
              </w:rPr>
              <w:t>các</w:t>
            </w:r>
            <w:proofErr w:type="spellEnd"/>
            <w:r>
              <w:rPr>
                <w:rFonts w:ascii="Times" w:eastAsia="Calibri" w:hAnsi="Times" w:cs="Times"/>
                <w:bCs/>
                <w:iCs/>
                <w:sz w:val="26"/>
                <w:szCs w:val="26"/>
                <w:lang w:val="en-US"/>
              </w:rPr>
              <w:t xml:space="preserve"> </w:t>
            </w:r>
            <w:r w:rsidRPr="00025B84">
              <w:rPr>
                <w:rFonts w:ascii="Times" w:eastAsia="Calibri" w:hAnsi="Times" w:cs="Times"/>
                <w:bCs/>
                <w:iCs/>
                <w:sz w:val="26"/>
                <w:szCs w:val="26"/>
              </w:rPr>
              <w:t>Giấy tờ chứng nhận khi thực hiện hợp đồng</w:t>
            </w:r>
            <w:r>
              <w:rPr>
                <w:rFonts w:ascii="Times" w:eastAsia="Calibri" w:hAnsi="Times" w:cs="Times"/>
                <w:bCs/>
                <w:iCs/>
                <w:sz w:val="26"/>
                <w:szCs w:val="26"/>
                <w:lang w:val="en-US"/>
              </w:rPr>
              <w:t xml:space="preserve"> </w:t>
            </w:r>
            <w:r w:rsidRPr="00704992">
              <w:rPr>
                <w:rFonts w:eastAsia="Times New Roman" w:cs="Times New Roman"/>
                <w:spacing w:val="-10"/>
                <w:sz w:val="26"/>
                <w:szCs w:val="26"/>
              </w:rPr>
              <w:t>nêu tại Mục 1.</w:t>
            </w:r>
            <w:r>
              <w:rPr>
                <w:rFonts w:eastAsia="Times New Roman" w:cs="Times New Roman"/>
                <w:spacing w:val="-10"/>
                <w:sz w:val="26"/>
                <w:szCs w:val="26"/>
                <w:lang w:val="en-US"/>
              </w:rPr>
              <w:t>4</w:t>
            </w:r>
            <w:r w:rsidRPr="00704992">
              <w:rPr>
                <w:rFonts w:eastAsia="Times New Roman" w:cs="Times New Roman"/>
                <w:spacing w:val="-10"/>
                <w:sz w:val="26"/>
                <w:szCs w:val="26"/>
              </w:rPr>
              <w:t xml:space="preserve"> Chương V- Yêu cầu về kỹ thuật.</w:t>
            </w:r>
          </w:p>
        </w:tc>
        <w:tc>
          <w:tcPr>
            <w:tcW w:w="799" w:type="pct"/>
          </w:tcPr>
          <w:p w14:paraId="35E590AA" w14:textId="7BB2BE7C"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Đạt</w:t>
            </w:r>
          </w:p>
        </w:tc>
      </w:tr>
      <w:tr w:rsidR="007201A4" w:rsidRPr="00704992" w14:paraId="243621CD" w14:textId="77777777" w:rsidTr="007201A4">
        <w:trPr>
          <w:trHeight w:val="567"/>
        </w:trPr>
        <w:tc>
          <w:tcPr>
            <w:tcW w:w="387" w:type="pct"/>
          </w:tcPr>
          <w:p w14:paraId="2EE6AE2D" w14:textId="77777777" w:rsidR="007201A4" w:rsidRPr="007201A4" w:rsidRDefault="007201A4" w:rsidP="007201A4">
            <w:pPr>
              <w:widowControl w:val="0"/>
              <w:tabs>
                <w:tab w:val="right" w:leader="dot" w:pos="9062"/>
              </w:tabs>
              <w:spacing w:before="80"/>
              <w:jc w:val="center"/>
              <w:rPr>
                <w:rFonts w:eastAsia="Times New Roman" w:cs="Times New Roman"/>
                <w:b/>
                <w:spacing w:val="-10"/>
                <w:sz w:val="26"/>
                <w:szCs w:val="26"/>
                <w:lang w:val="en-US"/>
              </w:rPr>
            </w:pPr>
          </w:p>
        </w:tc>
        <w:tc>
          <w:tcPr>
            <w:tcW w:w="3814" w:type="pct"/>
          </w:tcPr>
          <w:p w14:paraId="62B4B768" w14:textId="2F397B95" w:rsidR="007201A4" w:rsidRPr="00025B84" w:rsidRDefault="007201A4" w:rsidP="007201A4">
            <w:pPr>
              <w:widowControl w:val="0"/>
              <w:tabs>
                <w:tab w:val="right" w:leader="dot" w:pos="9062"/>
              </w:tabs>
              <w:spacing w:before="80"/>
              <w:rPr>
                <w:rFonts w:ascii="Times" w:eastAsia="Calibri" w:hAnsi="Times" w:cs="Times"/>
                <w:b/>
                <w:iCs/>
                <w:sz w:val="26"/>
                <w:szCs w:val="26"/>
              </w:rPr>
            </w:pPr>
            <w:proofErr w:type="spellStart"/>
            <w:r w:rsidRPr="00025B84">
              <w:rPr>
                <w:rFonts w:ascii="Times" w:eastAsia="Calibri" w:hAnsi="Times" w:cs="Times"/>
                <w:bCs/>
                <w:iCs/>
                <w:sz w:val="26"/>
                <w:szCs w:val="26"/>
                <w:lang w:val="en-US"/>
              </w:rPr>
              <w:t>Nhà</w:t>
            </w:r>
            <w:proofErr w:type="spellEnd"/>
            <w:r w:rsidRPr="00025B84">
              <w:rPr>
                <w:rFonts w:ascii="Times" w:eastAsia="Calibri" w:hAnsi="Times" w:cs="Times"/>
                <w:bCs/>
                <w:iCs/>
                <w:sz w:val="26"/>
                <w:szCs w:val="26"/>
                <w:lang w:val="en-US"/>
              </w:rPr>
              <w:t xml:space="preserve"> </w:t>
            </w:r>
            <w:proofErr w:type="spellStart"/>
            <w:r w:rsidRPr="00025B84">
              <w:rPr>
                <w:rFonts w:ascii="Times" w:eastAsia="Calibri" w:hAnsi="Times" w:cs="Times"/>
                <w:bCs/>
                <w:iCs/>
                <w:sz w:val="26"/>
                <w:szCs w:val="26"/>
                <w:lang w:val="en-US"/>
              </w:rPr>
              <w:t>Thầu</w:t>
            </w:r>
            <w:proofErr w:type="spellEnd"/>
            <w:r>
              <w:rPr>
                <w:rFonts w:ascii="Times" w:eastAsia="Calibri" w:hAnsi="Times" w:cs="Times"/>
                <w:bCs/>
                <w:iCs/>
                <w:sz w:val="26"/>
                <w:szCs w:val="26"/>
                <w:lang w:val="en-US"/>
              </w:rPr>
              <w:t xml:space="preserve"> </w:t>
            </w:r>
            <w:proofErr w:type="spellStart"/>
            <w:r>
              <w:rPr>
                <w:rFonts w:ascii="Times" w:eastAsia="Calibri" w:hAnsi="Times" w:cs="Times"/>
                <w:bCs/>
                <w:iCs/>
                <w:sz w:val="26"/>
                <w:szCs w:val="26"/>
                <w:lang w:val="en-US"/>
              </w:rPr>
              <w:t>không</w:t>
            </w:r>
            <w:proofErr w:type="spellEnd"/>
            <w:r w:rsidRPr="00025B84">
              <w:rPr>
                <w:rFonts w:ascii="Times" w:eastAsia="Calibri" w:hAnsi="Times" w:cs="Times"/>
                <w:bCs/>
                <w:iCs/>
                <w:sz w:val="26"/>
                <w:szCs w:val="26"/>
                <w:lang w:val="en-US"/>
              </w:rPr>
              <w:t xml:space="preserve"> </w:t>
            </w:r>
            <w:proofErr w:type="spellStart"/>
            <w:r w:rsidRPr="00025B84">
              <w:rPr>
                <w:rFonts w:ascii="Times" w:eastAsia="Calibri" w:hAnsi="Times" w:cs="Times"/>
                <w:bCs/>
                <w:iCs/>
                <w:sz w:val="26"/>
                <w:szCs w:val="26"/>
                <w:lang w:val="en-US"/>
              </w:rPr>
              <w:t>có</w:t>
            </w:r>
            <w:proofErr w:type="spellEnd"/>
            <w:r w:rsidRPr="00025B84">
              <w:rPr>
                <w:rFonts w:ascii="Times" w:eastAsia="Calibri" w:hAnsi="Times" w:cs="Times"/>
                <w:bCs/>
                <w:iCs/>
                <w:sz w:val="26"/>
                <w:szCs w:val="26"/>
                <w:lang w:val="en-US"/>
              </w:rPr>
              <w:t xml:space="preserve"> </w:t>
            </w:r>
            <w:proofErr w:type="spellStart"/>
            <w:r w:rsidRPr="00025B84">
              <w:rPr>
                <w:rFonts w:ascii="Times" w:eastAsia="Calibri" w:hAnsi="Times" w:cs="Times"/>
                <w:bCs/>
                <w:iCs/>
                <w:sz w:val="26"/>
                <w:szCs w:val="26"/>
                <w:lang w:val="en-US"/>
              </w:rPr>
              <w:t>bản</w:t>
            </w:r>
            <w:proofErr w:type="spellEnd"/>
            <w:r w:rsidRPr="00025B84">
              <w:rPr>
                <w:rFonts w:ascii="Times" w:eastAsia="Calibri" w:hAnsi="Times" w:cs="Times"/>
                <w:bCs/>
                <w:iCs/>
                <w:sz w:val="26"/>
                <w:szCs w:val="26"/>
                <w:lang w:val="en-US"/>
              </w:rPr>
              <w:t xml:space="preserve"> cam </w:t>
            </w:r>
            <w:proofErr w:type="spellStart"/>
            <w:r w:rsidRPr="00025B84">
              <w:rPr>
                <w:rFonts w:ascii="Times" w:eastAsia="Calibri" w:hAnsi="Times" w:cs="Times"/>
                <w:bCs/>
                <w:iCs/>
                <w:sz w:val="26"/>
                <w:szCs w:val="26"/>
                <w:lang w:val="en-US"/>
              </w:rPr>
              <w:t>kế</w:t>
            </w:r>
            <w:r>
              <w:rPr>
                <w:rFonts w:ascii="Times" w:eastAsia="Calibri" w:hAnsi="Times" w:cs="Times"/>
                <w:bCs/>
                <w:iCs/>
                <w:sz w:val="26"/>
                <w:szCs w:val="26"/>
                <w:lang w:val="en-US"/>
              </w:rPr>
              <w:t>t</w:t>
            </w:r>
            <w:proofErr w:type="spellEnd"/>
          </w:p>
        </w:tc>
        <w:tc>
          <w:tcPr>
            <w:tcW w:w="799" w:type="pct"/>
          </w:tcPr>
          <w:p w14:paraId="49ED006D" w14:textId="13429CD3"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Không Đạt</w:t>
            </w:r>
          </w:p>
        </w:tc>
      </w:tr>
      <w:tr w:rsidR="007201A4" w:rsidRPr="00704992" w14:paraId="0D851820" w14:textId="77777777" w:rsidTr="007201A4">
        <w:trPr>
          <w:trHeight w:val="567"/>
        </w:trPr>
        <w:tc>
          <w:tcPr>
            <w:tcW w:w="387" w:type="pct"/>
          </w:tcPr>
          <w:p w14:paraId="3F9A3318" w14:textId="67E94D24" w:rsidR="007201A4" w:rsidRPr="007201A4" w:rsidRDefault="00F576B8" w:rsidP="007201A4">
            <w:pPr>
              <w:widowControl w:val="0"/>
              <w:tabs>
                <w:tab w:val="right" w:leader="dot" w:pos="9062"/>
              </w:tabs>
              <w:spacing w:before="80"/>
              <w:jc w:val="center"/>
              <w:rPr>
                <w:rFonts w:eastAsia="Times New Roman" w:cs="Times New Roman"/>
                <w:b/>
                <w:bCs/>
                <w:spacing w:val="-10"/>
                <w:sz w:val="26"/>
                <w:szCs w:val="26"/>
                <w:lang w:val="en-US"/>
              </w:rPr>
            </w:pPr>
            <w:r>
              <w:rPr>
                <w:rFonts w:eastAsia="Times New Roman" w:cs="Times New Roman"/>
                <w:b/>
                <w:bCs/>
                <w:spacing w:val="-10"/>
                <w:sz w:val="26"/>
                <w:szCs w:val="26"/>
                <w:lang w:val="en-US"/>
              </w:rPr>
              <w:t>5</w:t>
            </w:r>
          </w:p>
        </w:tc>
        <w:tc>
          <w:tcPr>
            <w:tcW w:w="3814" w:type="pct"/>
          </w:tcPr>
          <w:p w14:paraId="19A6FD02" w14:textId="77777777" w:rsidR="007201A4" w:rsidRPr="00704992" w:rsidRDefault="007201A4" w:rsidP="007201A4">
            <w:pPr>
              <w:widowControl w:val="0"/>
              <w:tabs>
                <w:tab w:val="right" w:leader="dot" w:pos="9062"/>
              </w:tabs>
              <w:spacing w:before="80"/>
              <w:rPr>
                <w:rFonts w:eastAsia="Times New Roman" w:cs="Times New Roman"/>
                <w:b/>
                <w:bCs/>
                <w:spacing w:val="-10"/>
                <w:sz w:val="26"/>
                <w:szCs w:val="26"/>
              </w:rPr>
            </w:pPr>
            <w:r w:rsidRPr="00704992">
              <w:rPr>
                <w:rFonts w:eastAsia="Times New Roman" w:cs="Times New Roman"/>
                <w:b/>
                <w:bCs/>
                <w:spacing w:val="-10"/>
                <w:sz w:val="26"/>
                <w:szCs w:val="26"/>
              </w:rPr>
              <w:t xml:space="preserve">Yêu cầu khác </w:t>
            </w:r>
          </w:p>
        </w:tc>
        <w:tc>
          <w:tcPr>
            <w:tcW w:w="799" w:type="pct"/>
          </w:tcPr>
          <w:p w14:paraId="3644EEAC"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p>
        </w:tc>
      </w:tr>
      <w:tr w:rsidR="007201A4" w:rsidRPr="00704992" w14:paraId="10EB1E52" w14:textId="77777777" w:rsidTr="007201A4">
        <w:trPr>
          <w:trHeight w:val="567"/>
        </w:trPr>
        <w:tc>
          <w:tcPr>
            <w:tcW w:w="387" w:type="pct"/>
          </w:tcPr>
          <w:p w14:paraId="45FB3CB8"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p>
        </w:tc>
        <w:tc>
          <w:tcPr>
            <w:tcW w:w="3814" w:type="pct"/>
          </w:tcPr>
          <w:p w14:paraId="5255486B" w14:textId="0B671D8B" w:rsidR="007201A4" w:rsidRPr="00704992" w:rsidRDefault="007201A4" w:rsidP="007201A4">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Đáp ứng hoặc đáp ứng tốt hơn Các yêu cầu khác nêu tại Mục 1.</w:t>
            </w:r>
            <w:r w:rsidRPr="00F576B8">
              <w:rPr>
                <w:rFonts w:eastAsia="Times New Roman" w:cs="Times New Roman"/>
                <w:spacing w:val="-10"/>
                <w:sz w:val="26"/>
                <w:szCs w:val="26"/>
              </w:rPr>
              <w:t>5</w:t>
            </w:r>
            <w:r w:rsidRPr="00704992">
              <w:rPr>
                <w:rFonts w:eastAsia="Times New Roman" w:cs="Times New Roman"/>
                <w:spacing w:val="-10"/>
                <w:sz w:val="26"/>
                <w:szCs w:val="26"/>
              </w:rPr>
              <w:t xml:space="preserve"> Chương V - Yêu cầu về kỹ thuật.</w:t>
            </w:r>
          </w:p>
        </w:tc>
        <w:tc>
          <w:tcPr>
            <w:tcW w:w="799" w:type="pct"/>
          </w:tcPr>
          <w:p w14:paraId="2CC80817"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Đạt</w:t>
            </w:r>
          </w:p>
        </w:tc>
      </w:tr>
      <w:tr w:rsidR="007201A4" w:rsidRPr="00704992" w14:paraId="522461C5" w14:textId="77777777" w:rsidTr="007201A4">
        <w:trPr>
          <w:trHeight w:val="567"/>
        </w:trPr>
        <w:tc>
          <w:tcPr>
            <w:tcW w:w="387" w:type="pct"/>
          </w:tcPr>
          <w:p w14:paraId="26F6D99A"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p>
        </w:tc>
        <w:tc>
          <w:tcPr>
            <w:tcW w:w="3814" w:type="pct"/>
          </w:tcPr>
          <w:p w14:paraId="6706AA0E" w14:textId="77777777" w:rsidR="007201A4" w:rsidRPr="00704992" w:rsidRDefault="007201A4" w:rsidP="007201A4">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 xml:space="preserve">Các trường hợp còn lại </w:t>
            </w:r>
          </w:p>
        </w:tc>
        <w:tc>
          <w:tcPr>
            <w:tcW w:w="799" w:type="pct"/>
          </w:tcPr>
          <w:p w14:paraId="05B6D55F"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Không Đạt</w:t>
            </w:r>
          </w:p>
        </w:tc>
      </w:tr>
      <w:tr w:rsidR="007201A4" w:rsidRPr="00704992" w14:paraId="4F75A5F6" w14:textId="77777777">
        <w:trPr>
          <w:trHeight w:val="567"/>
        </w:trPr>
        <w:tc>
          <w:tcPr>
            <w:tcW w:w="387" w:type="pct"/>
          </w:tcPr>
          <w:p w14:paraId="58C7AE9D" w14:textId="72914469" w:rsidR="007201A4" w:rsidRPr="007201A4" w:rsidRDefault="00F576B8" w:rsidP="007201A4">
            <w:pPr>
              <w:widowControl w:val="0"/>
              <w:tabs>
                <w:tab w:val="right" w:leader="dot" w:pos="9062"/>
              </w:tabs>
              <w:spacing w:before="80"/>
              <w:jc w:val="center"/>
              <w:rPr>
                <w:rFonts w:eastAsia="Times New Roman" w:cs="Times New Roman"/>
                <w:b/>
                <w:spacing w:val="-10"/>
                <w:sz w:val="26"/>
                <w:szCs w:val="26"/>
                <w:lang w:val="en-US"/>
              </w:rPr>
            </w:pPr>
            <w:r>
              <w:rPr>
                <w:rFonts w:eastAsia="Times New Roman" w:cs="Times New Roman"/>
                <w:b/>
                <w:spacing w:val="-10"/>
                <w:sz w:val="26"/>
                <w:szCs w:val="26"/>
                <w:lang w:val="en-US"/>
              </w:rPr>
              <w:t>6</w:t>
            </w:r>
          </w:p>
        </w:tc>
        <w:tc>
          <w:tcPr>
            <w:tcW w:w="4613" w:type="pct"/>
            <w:gridSpan w:val="2"/>
          </w:tcPr>
          <w:p w14:paraId="7F829406" w14:textId="77777777" w:rsidR="007201A4" w:rsidRPr="00704992" w:rsidRDefault="007201A4" w:rsidP="007201A4">
            <w:pPr>
              <w:widowControl w:val="0"/>
              <w:tabs>
                <w:tab w:val="right" w:leader="dot" w:pos="9062"/>
              </w:tabs>
              <w:spacing w:before="80"/>
              <w:jc w:val="left"/>
              <w:rPr>
                <w:rFonts w:eastAsia="Times New Roman" w:cs="Times New Roman"/>
                <w:spacing w:val="-10"/>
                <w:sz w:val="26"/>
                <w:szCs w:val="26"/>
              </w:rPr>
            </w:pPr>
            <w:r w:rsidRPr="00704992">
              <w:rPr>
                <w:rFonts w:eastAsia="Times New Roman" w:cs="Times New Roman"/>
                <w:b/>
                <w:bCs/>
                <w:spacing w:val="-10"/>
                <w:sz w:val="26"/>
                <w:szCs w:val="26"/>
              </w:rPr>
              <w:t>Uy tín của nhà thầu:</w:t>
            </w:r>
            <w:r w:rsidRPr="00704992">
              <w:rPr>
                <w:rFonts w:eastAsia="Times New Roman" w:cs="Times New Roman"/>
                <w:spacing w:val="-10"/>
                <w:sz w:val="26"/>
                <w:szCs w:val="26"/>
              </w:rPr>
              <w:t xml:space="preserve"> Uy tín của nhà thầu thông qua việc tham dự thầu và thực hiện các hợp đồng tương tự trước đó.</w:t>
            </w:r>
          </w:p>
        </w:tc>
      </w:tr>
      <w:tr w:rsidR="007201A4" w:rsidRPr="00704992" w14:paraId="4E7AA32F" w14:textId="77777777" w:rsidTr="007201A4">
        <w:trPr>
          <w:trHeight w:val="567"/>
        </w:trPr>
        <w:tc>
          <w:tcPr>
            <w:tcW w:w="387" w:type="pct"/>
          </w:tcPr>
          <w:p w14:paraId="6F6CAAE7"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p>
        </w:tc>
        <w:tc>
          <w:tcPr>
            <w:tcW w:w="3814" w:type="pct"/>
          </w:tcPr>
          <w:p w14:paraId="36E54645" w14:textId="29CE5ADA" w:rsidR="007201A4" w:rsidRPr="00704992" w:rsidRDefault="007201A4" w:rsidP="007201A4">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 Không có hợp đồng tương tự chậm tiến độ hoặc bỏ dở hợp đồng tương tự do lỗi của nhà thầu trong thời gian từ năm 202</w:t>
            </w:r>
            <w:r w:rsidRPr="00F576B8">
              <w:rPr>
                <w:rFonts w:eastAsia="Times New Roman" w:cs="Times New Roman"/>
                <w:spacing w:val="-10"/>
                <w:sz w:val="26"/>
                <w:szCs w:val="26"/>
              </w:rPr>
              <w:t>2</w:t>
            </w:r>
            <w:r w:rsidRPr="00704992">
              <w:rPr>
                <w:rFonts w:eastAsia="Times New Roman" w:cs="Times New Roman"/>
                <w:spacing w:val="-10"/>
                <w:sz w:val="26"/>
                <w:szCs w:val="26"/>
              </w:rPr>
              <w:t xml:space="preserve"> đến thời điểm đóng thầu.</w:t>
            </w:r>
          </w:p>
          <w:p w14:paraId="14C5A3B4" w14:textId="77777777" w:rsidR="007201A4" w:rsidRPr="00704992" w:rsidRDefault="007201A4" w:rsidP="007201A4">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 Không bị đánh giá trình bày sai một các cố ý hoặc làm sai lệch thông tin, hồ sơ, tài liệu...trong quá trình tham dự thầu các gói thầu của Bên mời thầu (Ban Khách hàng Tổ Chức Doanh Nghiệp - Chi nhánh Tổng Công ty Dịch Vụ Viễn Thông).</w:t>
            </w:r>
          </w:p>
          <w:p w14:paraId="7D25F3AC" w14:textId="77777777" w:rsidR="007201A4" w:rsidRPr="00704992" w:rsidRDefault="007201A4" w:rsidP="007201A4">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 Không bị cấm tham gia hoạt động đấu thầu bởi các cơ quan (do gian lận, kê khai không trung thực, làm giả hồ sơ...).</w:t>
            </w:r>
          </w:p>
        </w:tc>
        <w:tc>
          <w:tcPr>
            <w:tcW w:w="799" w:type="pct"/>
          </w:tcPr>
          <w:p w14:paraId="34021209"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Đạt</w:t>
            </w:r>
          </w:p>
        </w:tc>
      </w:tr>
      <w:tr w:rsidR="007201A4" w:rsidRPr="00704992" w14:paraId="70BBE0E2" w14:textId="77777777" w:rsidTr="007201A4">
        <w:trPr>
          <w:trHeight w:val="567"/>
        </w:trPr>
        <w:tc>
          <w:tcPr>
            <w:tcW w:w="387" w:type="pct"/>
          </w:tcPr>
          <w:p w14:paraId="51D31997"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p>
        </w:tc>
        <w:tc>
          <w:tcPr>
            <w:tcW w:w="3814" w:type="pct"/>
          </w:tcPr>
          <w:p w14:paraId="2A8995B1" w14:textId="77777777" w:rsidR="007201A4" w:rsidRPr="00704992" w:rsidRDefault="007201A4" w:rsidP="007201A4">
            <w:pPr>
              <w:widowControl w:val="0"/>
              <w:tabs>
                <w:tab w:val="right" w:leader="dot" w:pos="9062"/>
              </w:tabs>
              <w:spacing w:before="80"/>
              <w:rPr>
                <w:rFonts w:eastAsia="Times New Roman" w:cs="Times New Roman"/>
                <w:spacing w:val="-10"/>
                <w:sz w:val="26"/>
                <w:szCs w:val="26"/>
              </w:rPr>
            </w:pPr>
            <w:r w:rsidRPr="00704992">
              <w:rPr>
                <w:rFonts w:eastAsia="Times New Roman" w:cs="Times New Roman"/>
                <w:spacing w:val="-10"/>
                <w:sz w:val="26"/>
                <w:szCs w:val="26"/>
              </w:rPr>
              <w:t>Có hợp đồng tương tự chậm tiến độ hoặc bỏ dở hợp đồng tương tự do lỗi của nhà thầu hoặc có hành vi gian lận, kê khai không trung thực, làm giả hồ sơ... khi tham gia đấu thầu dẫn đến bị các cơ quan cấm tham gia hoạt động đấu thầu hoặc bị đánh giá trình bày sai một cách cố ý hoặc làm sai lệch thông tin, hồ sơ, tài liệu... trong quá trình tham dự thầu cac gói thầu của Bên mời thầu (Ban Khách hàng Tổ Chức Doanh Nghiệp - Chi nhánh Tổng Công ty Dịch Vụ Viễn Thông).</w:t>
            </w:r>
          </w:p>
        </w:tc>
        <w:tc>
          <w:tcPr>
            <w:tcW w:w="799" w:type="pct"/>
          </w:tcPr>
          <w:p w14:paraId="7B4066FD" w14:textId="77777777" w:rsidR="007201A4" w:rsidRPr="00704992" w:rsidRDefault="007201A4" w:rsidP="007201A4">
            <w:pPr>
              <w:widowControl w:val="0"/>
              <w:tabs>
                <w:tab w:val="right" w:leader="dot" w:pos="9062"/>
              </w:tabs>
              <w:spacing w:before="80"/>
              <w:jc w:val="center"/>
              <w:rPr>
                <w:rFonts w:eastAsia="Times New Roman" w:cs="Times New Roman"/>
                <w:spacing w:val="-10"/>
                <w:sz w:val="26"/>
                <w:szCs w:val="26"/>
              </w:rPr>
            </w:pPr>
            <w:r w:rsidRPr="00704992">
              <w:rPr>
                <w:rFonts w:eastAsia="Times New Roman" w:cs="Times New Roman"/>
                <w:spacing w:val="-10"/>
                <w:sz w:val="26"/>
                <w:szCs w:val="26"/>
              </w:rPr>
              <w:t>Không Đạt</w:t>
            </w:r>
          </w:p>
        </w:tc>
      </w:tr>
      <w:tr w:rsidR="007201A4" w:rsidRPr="00704992" w14:paraId="7F8E56F2" w14:textId="77777777" w:rsidTr="007201A4">
        <w:trPr>
          <w:trHeight w:val="567"/>
        </w:trPr>
        <w:tc>
          <w:tcPr>
            <w:tcW w:w="387" w:type="pct"/>
            <w:vMerge w:val="restart"/>
          </w:tcPr>
          <w:p w14:paraId="72AF2A5F" w14:textId="77777777" w:rsidR="007201A4" w:rsidRPr="00704992" w:rsidRDefault="007201A4" w:rsidP="007201A4">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Kết luận</w:t>
            </w:r>
          </w:p>
        </w:tc>
        <w:tc>
          <w:tcPr>
            <w:tcW w:w="3814" w:type="pct"/>
          </w:tcPr>
          <w:p w14:paraId="44F96A7C" w14:textId="77777777" w:rsidR="007201A4" w:rsidRPr="00704992" w:rsidRDefault="007201A4" w:rsidP="007201A4">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Tất cả các tiêu chí trên được xác định là “Đạt”</w:t>
            </w:r>
          </w:p>
        </w:tc>
        <w:tc>
          <w:tcPr>
            <w:tcW w:w="799" w:type="pct"/>
          </w:tcPr>
          <w:p w14:paraId="2F76E726" w14:textId="77777777" w:rsidR="007201A4" w:rsidRPr="00704992" w:rsidRDefault="007201A4" w:rsidP="007201A4">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Đạt</w:t>
            </w:r>
          </w:p>
        </w:tc>
      </w:tr>
      <w:tr w:rsidR="007201A4" w:rsidRPr="00704992" w14:paraId="2F021B36" w14:textId="77777777" w:rsidTr="007201A4">
        <w:trPr>
          <w:trHeight w:val="567"/>
        </w:trPr>
        <w:tc>
          <w:tcPr>
            <w:tcW w:w="387" w:type="pct"/>
            <w:vMerge/>
          </w:tcPr>
          <w:p w14:paraId="12AA8052" w14:textId="77777777" w:rsidR="007201A4" w:rsidRPr="00704992" w:rsidRDefault="007201A4" w:rsidP="007201A4">
            <w:pPr>
              <w:widowControl w:val="0"/>
              <w:tabs>
                <w:tab w:val="right" w:leader="dot" w:pos="9062"/>
              </w:tabs>
              <w:spacing w:before="80"/>
              <w:jc w:val="center"/>
              <w:rPr>
                <w:rFonts w:eastAsia="Times New Roman" w:cs="Times New Roman"/>
                <w:b/>
                <w:bCs/>
                <w:spacing w:val="-10"/>
                <w:sz w:val="26"/>
                <w:szCs w:val="26"/>
              </w:rPr>
            </w:pPr>
          </w:p>
        </w:tc>
        <w:tc>
          <w:tcPr>
            <w:tcW w:w="3814" w:type="pct"/>
          </w:tcPr>
          <w:p w14:paraId="32098DC0" w14:textId="77777777" w:rsidR="007201A4" w:rsidRPr="00704992" w:rsidRDefault="007201A4" w:rsidP="007201A4">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Các trường hợp còn lại</w:t>
            </w:r>
          </w:p>
        </w:tc>
        <w:tc>
          <w:tcPr>
            <w:tcW w:w="799" w:type="pct"/>
          </w:tcPr>
          <w:p w14:paraId="338FCEED" w14:textId="77777777" w:rsidR="007201A4" w:rsidRPr="00704992" w:rsidRDefault="007201A4" w:rsidP="007201A4">
            <w:pPr>
              <w:widowControl w:val="0"/>
              <w:tabs>
                <w:tab w:val="right" w:leader="dot" w:pos="9062"/>
              </w:tabs>
              <w:spacing w:before="80"/>
              <w:jc w:val="center"/>
              <w:rPr>
                <w:rFonts w:eastAsia="Times New Roman" w:cs="Times New Roman"/>
                <w:b/>
                <w:bCs/>
                <w:spacing w:val="-10"/>
                <w:sz w:val="26"/>
                <w:szCs w:val="26"/>
              </w:rPr>
            </w:pPr>
            <w:r w:rsidRPr="00704992">
              <w:rPr>
                <w:rFonts w:eastAsia="Times New Roman" w:cs="Times New Roman"/>
                <w:b/>
                <w:bCs/>
                <w:spacing w:val="-10"/>
                <w:sz w:val="26"/>
                <w:szCs w:val="26"/>
              </w:rPr>
              <w:t>Không Đạt</w:t>
            </w:r>
          </w:p>
        </w:tc>
      </w:tr>
    </w:tbl>
    <w:p w14:paraId="7EDABA89" w14:textId="77777777" w:rsidR="009919E6" w:rsidRDefault="009919E6">
      <w:pPr>
        <w:pStyle w:val="Heading4"/>
        <w:rPr>
          <w:color w:val="000000" w:themeColor="text1"/>
          <w:sz w:val="26"/>
          <w:szCs w:val="26"/>
          <w:lang w:val="vi-VN"/>
        </w:rPr>
      </w:pPr>
    </w:p>
    <w:p w14:paraId="28330465" w14:textId="77777777" w:rsidR="009919E6" w:rsidRDefault="009919E6">
      <w:pPr>
        <w:spacing w:after="160" w:line="259" w:lineRule="auto"/>
        <w:jc w:val="left"/>
        <w:rPr>
          <w:sz w:val="26"/>
          <w:szCs w:val="26"/>
        </w:rPr>
      </w:pPr>
    </w:p>
    <w:sectPr w:rsidR="009919E6">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9E6"/>
    <w:rsid w:val="001D1F1F"/>
    <w:rsid w:val="00366E79"/>
    <w:rsid w:val="00704992"/>
    <w:rsid w:val="007201A4"/>
    <w:rsid w:val="009919E6"/>
    <w:rsid w:val="00A94F63"/>
    <w:rsid w:val="00C42B30"/>
    <w:rsid w:val="00E622BD"/>
    <w:rsid w:val="00F5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74F5"/>
  <w15:chartTrackingRefBased/>
  <w15:docId w15:val="{A823916B-EF2D-4C61-9088-A2386BA8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8"/>
      <w:szCs w:val="28"/>
      <w:lang w:val="vi-VN"/>
      <w14:ligatures w14:val="none"/>
    </w:rPr>
  </w:style>
  <w:style w:type="paragraph" w:styleId="Heading4">
    <w:name w:val="heading 4"/>
    <w:aliases w:val="Heading 4 - HocThatNhanh.vn"/>
    <w:basedOn w:val="Normal"/>
    <w:next w:val="Normal"/>
    <w:link w:val="Heading4Char"/>
    <w:qFormat/>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 HocThatNhanh.vn Char"/>
    <w:basedOn w:val="DefaultParagraphFont"/>
    <w:link w:val="Heading4"/>
    <w:rPr>
      <w:rFonts w:ascii="Times New Roman" w:hAnsi="Times New Roman"/>
      <w:b/>
      <w:sz w:val="28"/>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DF697-B65C-41ED-8080-906D96F5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cp:lastModifiedBy>
  <cp:revision>2</cp:revision>
  <dcterms:created xsi:type="dcterms:W3CDTF">2025-12-15T02:47:00Z</dcterms:created>
  <dcterms:modified xsi:type="dcterms:W3CDTF">2025-12-15T02:47:00Z</dcterms:modified>
</cp:coreProperties>
</file>