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E05D" w14:textId="77777777" w:rsidR="00BE37BF" w:rsidRPr="00BE37BF" w:rsidRDefault="00BE37BF" w:rsidP="00BE37BF">
      <w:pPr>
        <w:spacing w:before="120" w:after="120"/>
        <w:ind w:firstLine="709"/>
        <w:outlineLvl w:val="1"/>
        <w:rPr>
          <w:rFonts w:eastAsia="MS Mincho"/>
          <w:b/>
          <w:szCs w:val="24"/>
          <w:lang w:val="vi-VN" w:eastAsia="vi-VN"/>
        </w:rPr>
      </w:pPr>
      <w:r w:rsidRPr="00BE37BF">
        <w:rPr>
          <w:b/>
          <w:bCs/>
          <w:sz w:val="28"/>
          <w:szCs w:val="28"/>
          <w:lang w:val="vi-VN"/>
        </w:rPr>
        <w:t xml:space="preserve">Mục </w:t>
      </w:r>
      <w:r w:rsidRPr="00BE37BF">
        <w:rPr>
          <w:b/>
          <w:bCs/>
          <w:sz w:val="28"/>
          <w:szCs w:val="28"/>
          <w:lang w:val="pl-PL"/>
        </w:rPr>
        <w:t>3</w:t>
      </w:r>
      <w:r w:rsidRPr="00BE37BF">
        <w:rPr>
          <w:b/>
          <w:bCs/>
          <w:sz w:val="28"/>
          <w:szCs w:val="28"/>
          <w:lang w:val="vi-VN"/>
        </w:rPr>
        <w:t>. Tiêu chuẩn đánh giá về kỹ thuật</w:t>
      </w:r>
      <w:r w:rsidRPr="00BE37BF">
        <w:rPr>
          <w:rFonts w:eastAsia="MS Mincho"/>
          <w:b/>
          <w:szCs w:val="24"/>
          <w:lang w:val="vi-VN" w:eastAsia="vi-VN"/>
        </w:rPr>
        <w:t xml:space="preserve"> </w:t>
      </w:r>
    </w:p>
    <w:p w14:paraId="7FD52054" w14:textId="77777777" w:rsidR="00BE37BF" w:rsidRPr="00BE37BF" w:rsidRDefault="00BE37BF" w:rsidP="00BE37BF">
      <w:pPr>
        <w:spacing w:before="120" w:after="120"/>
        <w:ind w:firstLine="709"/>
        <w:rPr>
          <w:spacing w:val="2"/>
          <w:sz w:val="28"/>
          <w:szCs w:val="28"/>
          <w:lang w:val="vi-VN"/>
        </w:rPr>
      </w:pPr>
      <w:bookmarkStart w:id="0" w:name="_Hlk99723051"/>
      <w:r w:rsidRPr="00BE37BF">
        <w:rPr>
          <w:spacing w:val="2"/>
          <w:sz w:val="28"/>
          <w:szCs w:val="28"/>
          <w:lang w:val="vi-VN"/>
        </w:rPr>
        <w:t xml:space="preserve">Sử dụng tiêu chí đạt/không đạt để xây dựng tiêu chuẩn đánh giá về kỹ thuật. </w:t>
      </w:r>
    </w:p>
    <w:bookmarkEnd w:id="0"/>
    <w:p w14:paraId="2E4640D6" w14:textId="77777777" w:rsidR="00BE37BF" w:rsidRPr="00BE37BF" w:rsidRDefault="00BE37BF" w:rsidP="00BE37BF">
      <w:pPr>
        <w:spacing w:before="120" w:after="120"/>
        <w:ind w:firstLine="709"/>
        <w:rPr>
          <w:sz w:val="28"/>
          <w:szCs w:val="28"/>
        </w:rPr>
      </w:pPr>
      <w:r w:rsidRPr="00BE37BF">
        <w:rPr>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14:paraId="58321135" w14:textId="77777777" w:rsidR="00BE37BF" w:rsidRPr="00BE37BF" w:rsidRDefault="00BE37BF" w:rsidP="00BE37BF">
      <w:pPr>
        <w:spacing w:before="120" w:after="120"/>
        <w:ind w:firstLine="709"/>
        <w:rPr>
          <w:sz w:val="28"/>
          <w:szCs w:val="28"/>
        </w:rPr>
      </w:pPr>
      <w:r w:rsidRPr="00BE37BF">
        <w:rPr>
          <w:sz w:val="28"/>
          <w:szCs w:val="28"/>
        </w:rPr>
        <w:t>E-HSDT được đánh giá là đáp ứng yêu cầu về kỹ thuật khi có tất cả các tiêu chí tổng quát đều được đánh giá là đạt.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520"/>
        <w:gridCol w:w="1667"/>
      </w:tblGrid>
      <w:tr w:rsidR="00BE37BF" w:rsidRPr="00BE37BF" w14:paraId="20153624" w14:textId="77777777" w:rsidTr="00BE37BF">
        <w:trPr>
          <w:trHeight w:val="227"/>
          <w:tblHeader/>
          <w:jc w:val="center"/>
        </w:trPr>
        <w:tc>
          <w:tcPr>
            <w:tcW w:w="8534" w:type="dxa"/>
            <w:gridSpan w:val="2"/>
            <w:vAlign w:val="center"/>
          </w:tcPr>
          <w:p w14:paraId="13CAF254" w14:textId="77777777" w:rsidR="00BE37BF" w:rsidRPr="00BE37BF" w:rsidRDefault="00BE37BF" w:rsidP="00847510">
            <w:pPr>
              <w:jc w:val="center"/>
              <w:rPr>
                <w:b/>
                <w:sz w:val="28"/>
                <w:szCs w:val="28"/>
              </w:rPr>
            </w:pPr>
            <w:r w:rsidRPr="00BE37BF">
              <w:rPr>
                <w:b/>
                <w:sz w:val="28"/>
                <w:szCs w:val="28"/>
              </w:rPr>
              <w:t>Nội dung đánh giá</w:t>
            </w:r>
          </w:p>
        </w:tc>
        <w:tc>
          <w:tcPr>
            <w:tcW w:w="1667" w:type="dxa"/>
            <w:vAlign w:val="center"/>
          </w:tcPr>
          <w:p w14:paraId="6BBF2C59" w14:textId="77777777" w:rsidR="00BE37BF" w:rsidRPr="00BE37BF" w:rsidRDefault="00BE37BF" w:rsidP="00847510">
            <w:pPr>
              <w:jc w:val="center"/>
              <w:rPr>
                <w:b/>
                <w:sz w:val="28"/>
                <w:szCs w:val="28"/>
              </w:rPr>
            </w:pPr>
            <w:r w:rsidRPr="00BE37BF">
              <w:rPr>
                <w:b/>
                <w:sz w:val="28"/>
                <w:szCs w:val="28"/>
              </w:rPr>
              <w:t>Sử dụng tiêu chí đạt, không đạt</w:t>
            </w:r>
          </w:p>
        </w:tc>
      </w:tr>
      <w:tr w:rsidR="00BE37BF" w:rsidRPr="00BE37BF" w14:paraId="4379BAE1" w14:textId="77777777" w:rsidTr="00BE37BF">
        <w:trPr>
          <w:trHeight w:val="227"/>
          <w:jc w:val="center"/>
        </w:trPr>
        <w:tc>
          <w:tcPr>
            <w:tcW w:w="10201" w:type="dxa"/>
            <w:gridSpan w:val="3"/>
            <w:vAlign w:val="center"/>
          </w:tcPr>
          <w:p w14:paraId="68CAB474" w14:textId="77777777" w:rsidR="00BE37BF" w:rsidRPr="00BE37BF" w:rsidRDefault="00BE37BF" w:rsidP="00847510">
            <w:pPr>
              <w:jc w:val="left"/>
              <w:rPr>
                <w:b/>
                <w:sz w:val="28"/>
                <w:szCs w:val="28"/>
              </w:rPr>
            </w:pPr>
            <w:r w:rsidRPr="00BE37BF">
              <w:rPr>
                <w:b/>
                <w:sz w:val="28"/>
                <w:szCs w:val="28"/>
              </w:rPr>
              <w:t>1. Tính hiệu quả của việc cung cấp dịch vụ</w:t>
            </w:r>
          </w:p>
        </w:tc>
      </w:tr>
      <w:tr w:rsidR="00BE37BF" w:rsidRPr="00BE37BF" w14:paraId="64BB6FD1" w14:textId="77777777" w:rsidTr="00BE37BF">
        <w:trPr>
          <w:trHeight w:val="227"/>
          <w:jc w:val="center"/>
        </w:trPr>
        <w:tc>
          <w:tcPr>
            <w:tcW w:w="2014" w:type="dxa"/>
            <w:vMerge w:val="restart"/>
            <w:vAlign w:val="center"/>
          </w:tcPr>
          <w:p w14:paraId="3003236E" w14:textId="77777777" w:rsidR="00BE37BF" w:rsidRPr="00BE37BF" w:rsidRDefault="00BE37BF" w:rsidP="00847510">
            <w:pPr>
              <w:rPr>
                <w:bCs/>
                <w:sz w:val="28"/>
                <w:szCs w:val="28"/>
              </w:rPr>
            </w:pPr>
            <w:r w:rsidRPr="00BE37BF">
              <w:rPr>
                <w:bCs/>
                <w:sz w:val="28"/>
                <w:szCs w:val="28"/>
              </w:rPr>
              <w:t>Tính hiệu quả của việc cung cấp dịch vụ</w:t>
            </w:r>
          </w:p>
        </w:tc>
        <w:tc>
          <w:tcPr>
            <w:tcW w:w="6520" w:type="dxa"/>
            <w:vAlign w:val="center"/>
          </w:tcPr>
          <w:p w14:paraId="0372F6B3" w14:textId="77777777" w:rsidR="00BE37BF" w:rsidRPr="00BE37BF" w:rsidRDefault="00BE37BF" w:rsidP="00847510">
            <w:pPr>
              <w:rPr>
                <w:bCs/>
                <w:sz w:val="28"/>
                <w:szCs w:val="28"/>
              </w:rPr>
            </w:pPr>
            <w:r w:rsidRPr="00BE37BF">
              <w:rPr>
                <w:bCs/>
                <w:sz w:val="28"/>
                <w:szCs w:val="28"/>
              </w:rPr>
              <w:t>Nhà thầu có cam kết về các nội dung sau:</w:t>
            </w:r>
          </w:p>
          <w:p w14:paraId="6C6EEC4B" w14:textId="77777777" w:rsidR="00BE37BF" w:rsidRPr="00BE37BF" w:rsidRDefault="00BE37BF" w:rsidP="00847510">
            <w:pPr>
              <w:rPr>
                <w:bCs/>
                <w:sz w:val="28"/>
                <w:szCs w:val="28"/>
              </w:rPr>
            </w:pPr>
            <w:r w:rsidRPr="00BE37BF">
              <w:rPr>
                <w:bCs/>
                <w:sz w:val="28"/>
                <w:szCs w:val="28"/>
              </w:rPr>
              <w:t>- Sửa chữa thiết bị, thay thế linh kiện theo đúng quy trình hướng dẫn, khuyến cáo của nhà sản xuất;</w:t>
            </w:r>
          </w:p>
          <w:p w14:paraId="766BED15" w14:textId="77777777" w:rsidR="00BE37BF" w:rsidRPr="00BE37BF" w:rsidRDefault="00BE37BF" w:rsidP="00847510">
            <w:pPr>
              <w:rPr>
                <w:bCs/>
                <w:sz w:val="28"/>
                <w:szCs w:val="28"/>
              </w:rPr>
            </w:pPr>
            <w:r w:rsidRPr="00BE37BF">
              <w:rPr>
                <w:bCs/>
                <w:sz w:val="28"/>
                <w:szCs w:val="28"/>
              </w:rPr>
              <w:t>- Đảm bảo thiết bị sau sửa chữa hoạt động ổn định, an toàn theo đúng tiêu chuẩn của nhà sản xuất, quy định hiện hành của pháp luật;</w:t>
            </w:r>
          </w:p>
          <w:p w14:paraId="257337F1" w14:textId="77777777" w:rsidR="00BE37BF" w:rsidRPr="00BE37BF" w:rsidRDefault="00BE37BF" w:rsidP="00847510">
            <w:pPr>
              <w:rPr>
                <w:bCs/>
                <w:sz w:val="28"/>
                <w:szCs w:val="28"/>
              </w:rPr>
            </w:pPr>
            <w:r w:rsidRPr="00BE37BF">
              <w:rPr>
                <w:bCs/>
                <w:sz w:val="28"/>
                <w:szCs w:val="28"/>
              </w:rPr>
              <w:t>- Không gây phát sinh hỏng hóc thiết bị, không làm ảnh hưởng đến các hoạt động khác của Bệnh viện. Bằng chi phí của mình, chịu mọi trách nhiệm về hư hỏng phát sinh của thiết bị trong quá trình sửa chữa hoặc trong quá trình bảo hành;</w:t>
            </w:r>
          </w:p>
          <w:p w14:paraId="5035CF06" w14:textId="77777777" w:rsidR="00BE37BF" w:rsidRPr="00BE37BF" w:rsidRDefault="00BE37BF" w:rsidP="00847510">
            <w:pPr>
              <w:rPr>
                <w:bCs/>
                <w:sz w:val="28"/>
                <w:szCs w:val="28"/>
              </w:rPr>
            </w:pPr>
            <w:r w:rsidRPr="00BE37BF">
              <w:rPr>
                <w:noProof/>
                <w:sz w:val="28"/>
                <w:szCs w:val="28"/>
              </w:rPr>
              <w:t>- Nếu để xảy ra sự cố phát sinh hư hỏng của thiết bị sửa chữa và của các thiết bị khác trong bệnh viện do lỗi của nhà thầu trong quá trình thực hiện nhiệm vụ thì nhà thầu chịu trách nhiệm khắc phục. Chi phí do nhà thầu chi trả;</w:t>
            </w:r>
          </w:p>
          <w:p w14:paraId="3B53F50B" w14:textId="05169590" w:rsidR="00BE37BF" w:rsidRPr="00BE37BF" w:rsidRDefault="00BE37BF" w:rsidP="00847510">
            <w:pPr>
              <w:rPr>
                <w:noProof/>
                <w:sz w:val="28"/>
                <w:szCs w:val="28"/>
              </w:rPr>
            </w:pPr>
            <w:r w:rsidRPr="00BE37BF">
              <w:rPr>
                <w:bCs/>
                <w:sz w:val="28"/>
                <w:szCs w:val="28"/>
              </w:rPr>
              <w:t xml:space="preserve">- Linh kiện được Nhà thầu cung cấp mới 100%, còn nguyên đai nguyên kiện, sản xuất từ năm </w:t>
            </w:r>
            <w:r w:rsidR="00B36133">
              <w:rPr>
                <w:bCs/>
                <w:sz w:val="28"/>
                <w:szCs w:val="28"/>
              </w:rPr>
              <w:t>2024</w:t>
            </w:r>
            <w:r w:rsidRPr="00BE37BF">
              <w:rPr>
                <w:bCs/>
                <w:sz w:val="28"/>
                <w:szCs w:val="28"/>
              </w:rPr>
              <w:t xml:space="preserve"> trở về sau, đảm </w:t>
            </w:r>
            <w:r w:rsidRPr="00BE37BF">
              <w:rPr>
                <w:noProof/>
                <w:sz w:val="28"/>
                <w:szCs w:val="28"/>
              </w:rPr>
              <w:t>bảo tính tương thích chính xác và phù hợp với thiết bị cần sửa chữa; đảm bảo sau khi sửa chữa, thiết bị hoạt động bình thường;</w:t>
            </w:r>
          </w:p>
          <w:p w14:paraId="1EEC7500" w14:textId="77777777" w:rsidR="00BE37BF" w:rsidRPr="00BE37BF" w:rsidRDefault="00BE37BF" w:rsidP="00847510">
            <w:pPr>
              <w:rPr>
                <w:noProof/>
                <w:sz w:val="28"/>
                <w:szCs w:val="28"/>
              </w:rPr>
            </w:pPr>
            <w:r w:rsidRPr="00BE37BF">
              <w:rPr>
                <w:noProof/>
                <w:sz w:val="28"/>
                <w:szCs w:val="28"/>
              </w:rPr>
              <w:t>- Cung cấp các chứng từ chứng minh nguồn gốc xuất xứ  tại thời điểm nghiệm thu.</w:t>
            </w:r>
          </w:p>
          <w:p w14:paraId="705137D8" w14:textId="77777777" w:rsidR="00BE37BF" w:rsidRPr="00BE37BF" w:rsidRDefault="00BE37BF" w:rsidP="00847510">
            <w:pPr>
              <w:rPr>
                <w:bCs/>
                <w:sz w:val="28"/>
                <w:szCs w:val="28"/>
              </w:rPr>
            </w:pPr>
            <w:r w:rsidRPr="00BE37BF">
              <w:rPr>
                <w:noProof/>
                <w:sz w:val="28"/>
                <w:szCs w:val="28"/>
              </w:rPr>
              <w:t>- Có cảnh báo kịp thời, đầy đủ, chính xác về nguy cơ thiết bị có thể gây ảnh hưởng xấu đến sức</w:t>
            </w:r>
            <w:r w:rsidRPr="00BE37BF">
              <w:rPr>
                <w:bCs/>
                <w:sz w:val="28"/>
                <w:szCs w:val="28"/>
              </w:rPr>
              <w:t xml:space="preserve"> khoẻ, an toàn của người sử dụng, người vận hành, môi trường và đề xuất với Chủ đầu tư cách phòng ngừa để đảm bảo an toàn cho người sử dụng, người vận hành (nếu có).</w:t>
            </w:r>
          </w:p>
        </w:tc>
        <w:tc>
          <w:tcPr>
            <w:tcW w:w="1667" w:type="dxa"/>
            <w:vAlign w:val="center"/>
          </w:tcPr>
          <w:p w14:paraId="76D8582B" w14:textId="77777777" w:rsidR="00BE37BF" w:rsidRPr="00BE37BF" w:rsidRDefault="00BE37BF" w:rsidP="00847510">
            <w:pPr>
              <w:jc w:val="center"/>
              <w:rPr>
                <w:b/>
                <w:sz w:val="28"/>
                <w:szCs w:val="28"/>
              </w:rPr>
            </w:pPr>
            <w:r w:rsidRPr="00BE37BF">
              <w:rPr>
                <w:b/>
                <w:sz w:val="28"/>
                <w:szCs w:val="28"/>
              </w:rPr>
              <w:t>Đạt</w:t>
            </w:r>
          </w:p>
        </w:tc>
      </w:tr>
      <w:tr w:rsidR="00BE37BF" w:rsidRPr="00BE37BF" w14:paraId="465936AF" w14:textId="77777777" w:rsidTr="00BE37BF">
        <w:trPr>
          <w:trHeight w:val="227"/>
          <w:jc w:val="center"/>
        </w:trPr>
        <w:tc>
          <w:tcPr>
            <w:tcW w:w="2014" w:type="dxa"/>
            <w:vMerge/>
            <w:vAlign w:val="center"/>
          </w:tcPr>
          <w:p w14:paraId="05BD8B0F" w14:textId="77777777" w:rsidR="00BE37BF" w:rsidRPr="00BE37BF" w:rsidRDefault="00BE37BF" w:rsidP="00847510">
            <w:pPr>
              <w:jc w:val="center"/>
              <w:rPr>
                <w:b/>
                <w:sz w:val="28"/>
                <w:szCs w:val="28"/>
              </w:rPr>
            </w:pPr>
          </w:p>
        </w:tc>
        <w:tc>
          <w:tcPr>
            <w:tcW w:w="6520" w:type="dxa"/>
            <w:vAlign w:val="center"/>
          </w:tcPr>
          <w:p w14:paraId="538C61AA" w14:textId="77777777" w:rsidR="00BE37BF" w:rsidRPr="00BE37BF" w:rsidRDefault="00BE37BF" w:rsidP="00847510">
            <w:pPr>
              <w:rPr>
                <w:bCs/>
                <w:sz w:val="28"/>
                <w:szCs w:val="28"/>
              </w:rPr>
            </w:pPr>
            <w:r w:rsidRPr="00BE37BF">
              <w:rPr>
                <w:bCs/>
                <w:sz w:val="28"/>
                <w:szCs w:val="28"/>
              </w:rPr>
              <w:t>Không có cam kết hoặc cam kết không đầy đủ các nội dung nêu trên</w:t>
            </w:r>
          </w:p>
        </w:tc>
        <w:tc>
          <w:tcPr>
            <w:tcW w:w="1667" w:type="dxa"/>
            <w:vAlign w:val="center"/>
          </w:tcPr>
          <w:p w14:paraId="4B8B9ED5"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259D1D1E" w14:textId="77777777" w:rsidTr="00BE37BF">
        <w:trPr>
          <w:trHeight w:val="227"/>
          <w:jc w:val="center"/>
        </w:trPr>
        <w:tc>
          <w:tcPr>
            <w:tcW w:w="10201" w:type="dxa"/>
            <w:gridSpan w:val="3"/>
            <w:vAlign w:val="center"/>
          </w:tcPr>
          <w:p w14:paraId="6793A13A" w14:textId="77777777" w:rsidR="00BE37BF" w:rsidRPr="00BE37BF" w:rsidRDefault="00BE37BF" w:rsidP="00847510">
            <w:pPr>
              <w:jc w:val="left"/>
              <w:rPr>
                <w:b/>
                <w:bCs/>
                <w:sz w:val="28"/>
                <w:szCs w:val="28"/>
              </w:rPr>
            </w:pPr>
            <w:r w:rsidRPr="00BE37BF">
              <w:rPr>
                <w:b/>
                <w:bCs/>
                <w:spacing w:val="2"/>
                <w:sz w:val="28"/>
                <w:szCs w:val="28"/>
              </w:rPr>
              <w:t xml:space="preserve">2. </w:t>
            </w:r>
            <w:r w:rsidRPr="00BE37BF">
              <w:rPr>
                <w:b/>
                <w:bCs/>
                <w:spacing w:val="2"/>
                <w:sz w:val="28"/>
                <w:szCs w:val="28"/>
                <w:lang w:val="vi-VN"/>
              </w:rPr>
              <w:t>Mức độ h</w:t>
            </w:r>
            <w:r w:rsidRPr="00BE37BF">
              <w:rPr>
                <w:b/>
                <w:bCs/>
                <w:sz w:val="28"/>
                <w:szCs w:val="28"/>
                <w:lang w:val="vi-VN"/>
              </w:rPr>
              <w:t>iểu biết về tính chất và mục đích công việc</w:t>
            </w:r>
          </w:p>
        </w:tc>
      </w:tr>
      <w:tr w:rsidR="00BE37BF" w:rsidRPr="00BE37BF" w14:paraId="469389B6" w14:textId="77777777" w:rsidTr="00BE37BF">
        <w:trPr>
          <w:trHeight w:val="227"/>
          <w:jc w:val="center"/>
        </w:trPr>
        <w:tc>
          <w:tcPr>
            <w:tcW w:w="2014" w:type="dxa"/>
            <w:vMerge w:val="restart"/>
            <w:vAlign w:val="center"/>
          </w:tcPr>
          <w:p w14:paraId="1772C2B8" w14:textId="77777777" w:rsidR="00BE37BF" w:rsidRPr="00BE37BF" w:rsidRDefault="00BE37BF" w:rsidP="00847510">
            <w:pPr>
              <w:rPr>
                <w:bCs/>
                <w:sz w:val="28"/>
                <w:szCs w:val="28"/>
              </w:rPr>
            </w:pPr>
            <w:r w:rsidRPr="00BE37BF">
              <w:rPr>
                <w:spacing w:val="2"/>
                <w:sz w:val="28"/>
                <w:szCs w:val="28"/>
                <w:lang w:val="vi-VN"/>
              </w:rPr>
              <w:t>Mức độ h</w:t>
            </w:r>
            <w:r w:rsidRPr="00BE37BF">
              <w:rPr>
                <w:sz w:val="28"/>
                <w:szCs w:val="28"/>
                <w:lang w:val="vi-VN"/>
              </w:rPr>
              <w:t>iểu biết về tính chất và mục đích công việc</w:t>
            </w:r>
          </w:p>
        </w:tc>
        <w:tc>
          <w:tcPr>
            <w:tcW w:w="6520" w:type="dxa"/>
          </w:tcPr>
          <w:p w14:paraId="28A4D6E0" w14:textId="77777777" w:rsidR="00BE37BF" w:rsidRPr="00BE37BF" w:rsidRDefault="00BE37BF" w:rsidP="00847510">
            <w:pPr>
              <w:rPr>
                <w:sz w:val="28"/>
                <w:szCs w:val="28"/>
              </w:rPr>
            </w:pPr>
            <w:r w:rsidRPr="00BE37BF">
              <w:rPr>
                <w:bCs/>
                <w:sz w:val="28"/>
                <w:szCs w:val="28"/>
              </w:rPr>
              <w:t>- Có</w:t>
            </w:r>
            <w:r w:rsidRPr="00BE37BF">
              <w:rPr>
                <w:spacing w:val="2"/>
                <w:sz w:val="28"/>
                <w:szCs w:val="28"/>
                <w:lang w:val="vi-VN"/>
              </w:rPr>
              <w:t xml:space="preserve"> h</w:t>
            </w:r>
            <w:r w:rsidRPr="00BE37BF">
              <w:rPr>
                <w:sz w:val="28"/>
                <w:szCs w:val="28"/>
                <w:lang w:val="vi-VN"/>
              </w:rPr>
              <w:t>iểu biết về tính chất và mục đích công việc</w:t>
            </w:r>
            <w:r w:rsidRPr="00BE37BF">
              <w:rPr>
                <w:sz w:val="28"/>
                <w:szCs w:val="28"/>
              </w:rPr>
              <w:t>;</w:t>
            </w:r>
          </w:p>
          <w:p w14:paraId="56D41488" w14:textId="77777777" w:rsidR="00BE37BF" w:rsidRPr="00BE37BF" w:rsidRDefault="00BE37BF" w:rsidP="00847510">
            <w:pPr>
              <w:rPr>
                <w:sz w:val="28"/>
                <w:szCs w:val="28"/>
              </w:rPr>
            </w:pPr>
            <w:r w:rsidRPr="00BE37BF">
              <w:rPr>
                <w:sz w:val="28"/>
                <w:szCs w:val="28"/>
              </w:rPr>
              <w:lastRenderedPageBreak/>
              <w:t xml:space="preserve">- </w:t>
            </w:r>
            <w:r w:rsidRPr="00BE37BF">
              <w:rPr>
                <w:spacing w:val="2"/>
                <w:sz w:val="28"/>
                <w:szCs w:val="28"/>
              </w:rPr>
              <w:t>Có bảng đề xuất linh kiện/vật tư cho gói thầu đang xét. Trong đó, nêu đầy đủ tên linh kiện/vật, ký mã hiệu/nhãn hiệu (nếu có), hãng sản xuất,</w:t>
            </w:r>
            <w:r w:rsidRPr="00BE37BF">
              <w:rPr>
                <w:spacing w:val="-2"/>
                <w:sz w:val="28"/>
                <w:szCs w:val="28"/>
              </w:rPr>
              <w:t xml:space="preserve"> xuất xứ của linh kiện/vật tư</w:t>
            </w:r>
          </w:p>
          <w:p w14:paraId="21249859" w14:textId="77777777" w:rsidR="00BE37BF" w:rsidRPr="00BE37BF" w:rsidRDefault="00BE37BF" w:rsidP="00847510">
            <w:pPr>
              <w:rPr>
                <w:bCs/>
                <w:sz w:val="28"/>
                <w:szCs w:val="28"/>
              </w:rPr>
            </w:pPr>
            <w:r w:rsidRPr="00BE37BF">
              <w:rPr>
                <w:bCs/>
                <w:sz w:val="28"/>
                <w:szCs w:val="28"/>
              </w:rPr>
              <w:t>- Có đề xuất các mẫu bảng kiểm (check list), biên bản kỹ thuật (service report) trước và sau khi hoàn tất công việc sửa chữa, trong đó mô tả rõ công việc cần thực hiện.</w:t>
            </w:r>
          </w:p>
        </w:tc>
        <w:tc>
          <w:tcPr>
            <w:tcW w:w="1667" w:type="dxa"/>
            <w:vAlign w:val="center"/>
          </w:tcPr>
          <w:p w14:paraId="13F55A3D" w14:textId="77777777" w:rsidR="00BE37BF" w:rsidRPr="00BE37BF" w:rsidRDefault="00BE37BF" w:rsidP="00847510">
            <w:pPr>
              <w:jc w:val="center"/>
              <w:rPr>
                <w:b/>
                <w:sz w:val="28"/>
                <w:szCs w:val="28"/>
              </w:rPr>
            </w:pPr>
            <w:r w:rsidRPr="00BE37BF">
              <w:rPr>
                <w:b/>
                <w:sz w:val="28"/>
                <w:szCs w:val="28"/>
              </w:rPr>
              <w:lastRenderedPageBreak/>
              <w:t>Đạt</w:t>
            </w:r>
          </w:p>
        </w:tc>
      </w:tr>
      <w:tr w:rsidR="00BE37BF" w:rsidRPr="00BE37BF" w14:paraId="6FA91937" w14:textId="77777777" w:rsidTr="00BE37BF">
        <w:trPr>
          <w:trHeight w:val="227"/>
          <w:jc w:val="center"/>
        </w:trPr>
        <w:tc>
          <w:tcPr>
            <w:tcW w:w="2014" w:type="dxa"/>
            <w:vMerge/>
          </w:tcPr>
          <w:p w14:paraId="2516E3C2" w14:textId="77777777" w:rsidR="00BE37BF" w:rsidRPr="00BE37BF" w:rsidRDefault="00BE37BF" w:rsidP="00847510">
            <w:pPr>
              <w:rPr>
                <w:bCs/>
                <w:sz w:val="28"/>
                <w:szCs w:val="28"/>
              </w:rPr>
            </w:pPr>
          </w:p>
        </w:tc>
        <w:tc>
          <w:tcPr>
            <w:tcW w:w="6520" w:type="dxa"/>
          </w:tcPr>
          <w:p w14:paraId="7A2C5EBE" w14:textId="77777777" w:rsidR="00BE37BF" w:rsidRPr="00BE37BF" w:rsidRDefault="00BE37BF" w:rsidP="00847510">
            <w:pPr>
              <w:rPr>
                <w:bCs/>
                <w:sz w:val="28"/>
                <w:szCs w:val="28"/>
              </w:rPr>
            </w:pPr>
            <w:r w:rsidRPr="00BE37BF">
              <w:rPr>
                <w:sz w:val="28"/>
                <w:szCs w:val="28"/>
                <w:lang w:val="pl-PL"/>
              </w:rPr>
              <w:t>Không đáp ứng một trong các yêu cầu nêu trên</w:t>
            </w:r>
          </w:p>
        </w:tc>
        <w:tc>
          <w:tcPr>
            <w:tcW w:w="1667" w:type="dxa"/>
            <w:vAlign w:val="center"/>
          </w:tcPr>
          <w:p w14:paraId="133B93FD"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3F1A1336" w14:textId="77777777" w:rsidTr="00BE37BF">
        <w:trPr>
          <w:trHeight w:val="227"/>
          <w:jc w:val="center"/>
        </w:trPr>
        <w:tc>
          <w:tcPr>
            <w:tcW w:w="10201" w:type="dxa"/>
            <w:gridSpan w:val="3"/>
            <w:vAlign w:val="center"/>
          </w:tcPr>
          <w:p w14:paraId="453937AF" w14:textId="77777777" w:rsidR="00BE37BF" w:rsidRPr="00BE37BF" w:rsidRDefault="00BE37BF" w:rsidP="00847510">
            <w:pPr>
              <w:jc w:val="left"/>
              <w:rPr>
                <w:b/>
                <w:bCs/>
                <w:sz w:val="28"/>
                <w:szCs w:val="28"/>
              </w:rPr>
            </w:pPr>
            <w:r w:rsidRPr="00BE37BF">
              <w:rPr>
                <w:b/>
                <w:bCs/>
                <w:sz w:val="28"/>
                <w:szCs w:val="28"/>
              </w:rPr>
              <w:t>3. G</w:t>
            </w:r>
            <w:r w:rsidRPr="00BE37BF">
              <w:rPr>
                <w:b/>
                <w:bCs/>
                <w:sz w:val="28"/>
                <w:szCs w:val="28"/>
                <w:lang w:val="vi-VN"/>
              </w:rPr>
              <w:t>iải pháp kỹ thuật, biện pháp tổ chức cung cấp dịch vụ</w:t>
            </w:r>
          </w:p>
        </w:tc>
      </w:tr>
      <w:tr w:rsidR="00BE37BF" w:rsidRPr="00BE37BF" w14:paraId="7E2EE665" w14:textId="77777777" w:rsidTr="00BE37BF">
        <w:trPr>
          <w:trHeight w:val="227"/>
          <w:jc w:val="center"/>
        </w:trPr>
        <w:tc>
          <w:tcPr>
            <w:tcW w:w="2014" w:type="dxa"/>
            <w:vMerge w:val="restart"/>
            <w:vAlign w:val="center"/>
          </w:tcPr>
          <w:p w14:paraId="665FC1E7" w14:textId="77777777" w:rsidR="00BE37BF" w:rsidRPr="00BE37BF" w:rsidRDefault="00BE37BF" w:rsidP="00847510">
            <w:pPr>
              <w:rPr>
                <w:bCs/>
                <w:sz w:val="28"/>
                <w:szCs w:val="28"/>
              </w:rPr>
            </w:pPr>
            <w:r w:rsidRPr="00BE37BF">
              <w:rPr>
                <w:sz w:val="28"/>
                <w:szCs w:val="28"/>
              </w:rPr>
              <w:t>Giải pháp kỹ thuật, biện pháp tổ chức cung cấp dịch vụ</w:t>
            </w:r>
          </w:p>
        </w:tc>
        <w:tc>
          <w:tcPr>
            <w:tcW w:w="6520" w:type="dxa"/>
          </w:tcPr>
          <w:p w14:paraId="029E991B" w14:textId="77777777" w:rsidR="00BE37BF" w:rsidRPr="00BE37BF" w:rsidRDefault="00BE37BF" w:rsidP="00847510">
            <w:pPr>
              <w:rPr>
                <w:sz w:val="28"/>
                <w:szCs w:val="28"/>
              </w:rPr>
            </w:pPr>
            <w:r w:rsidRPr="00BE37BF">
              <w:rPr>
                <w:sz w:val="28"/>
                <w:szCs w:val="28"/>
              </w:rPr>
              <w:t>- Có thuyết minh giải pháp kỹ thuật, biện pháp tổ chức cung cấp dịch vụ với đầy đủ các nội dung:</w:t>
            </w:r>
          </w:p>
          <w:p w14:paraId="196460A6" w14:textId="77777777" w:rsidR="00BE37BF" w:rsidRPr="00BE37BF" w:rsidRDefault="00BE37BF" w:rsidP="00847510">
            <w:pPr>
              <w:rPr>
                <w:bCs/>
                <w:sz w:val="28"/>
                <w:szCs w:val="28"/>
              </w:rPr>
            </w:pPr>
            <w:r w:rsidRPr="00BE37BF">
              <w:rPr>
                <w:bCs/>
                <w:sz w:val="28"/>
                <w:szCs w:val="28"/>
              </w:rPr>
              <w:t xml:space="preserve">+ Phương án cung cấp linh kiện thay thế: Nhà thầu đề xuất đầy đủ, cụ thể trong E-HSDT về tên vật tư/linh kiện thay thế, mã hiệu/ký hiệu (nếu có), hãng sản xuất, xuất xứ; </w:t>
            </w:r>
          </w:p>
          <w:p w14:paraId="3ADC90DB" w14:textId="77777777" w:rsidR="00BE37BF" w:rsidRPr="00BE37BF" w:rsidRDefault="00BE37BF" w:rsidP="00847510">
            <w:pPr>
              <w:rPr>
                <w:bCs/>
                <w:sz w:val="28"/>
                <w:szCs w:val="28"/>
              </w:rPr>
            </w:pPr>
            <w:r w:rsidRPr="00BE37BF">
              <w:rPr>
                <w:bCs/>
                <w:sz w:val="28"/>
                <w:szCs w:val="28"/>
              </w:rPr>
              <w:t>+ Giải pháp sửa chữa, thay thế vật tư/linh kiện theo khuyến cáo của nhà sản xuất;</w:t>
            </w:r>
          </w:p>
          <w:p w14:paraId="3AADF627" w14:textId="77777777" w:rsidR="00BE37BF" w:rsidRPr="00BE37BF" w:rsidRDefault="00BE37BF" w:rsidP="00847510">
            <w:pPr>
              <w:rPr>
                <w:bCs/>
                <w:sz w:val="28"/>
                <w:szCs w:val="28"/>
              </w:rPr>
            </w:pPr>
            <w:r w:rsidRPr="00BE37BF">
              <w:rPr>
                <w:bCs/>
                <w:sz w:val="28"/>
                <w:szCs w:val="28"/>
              </w:rPr>
              <w:t>+ Biện pháp phối hợp với Chủ đầu tư để xử lý các vấn đề phát sinh liên quan (sửa chữa, khắc phục các sự cố)</w:t>
            </w:r>
          </w:p>
          <w:p w14:paraId="3EC912C8" w14:textId="77777777" w:rsidR="00BE37BF" w:rsidRPr="00BE37BF" w:rsidRDefault="00BE37BF" w:rsidP="00847510">
            <w:pPr>
              <w:rPr>
                <w:bCs/>
                <w:sz w:val="28"/>
                <w:szCs w:val="28"/>
              </w:rPr>
            </w:pPr>
            <w:r w:rsidRPr="00BE37BF">
              <w:rPr>
                <w:bCs/>
                <w:sz w:val="28"/>
                <w:szCs w:val="28"/>
              </w:rPr>
              <w:t xml:space="preserve">- </w:t>
            </w:r>
            <w:r w:rsidRPr="00BE37BF">
              <w:rPr>
                <w:iCs/>
                <w:sz w:val="28"/>
                <w:szCs w:val="28"/>
              </w:rPr>
              <w:t>Nhà thầu cung cấp giấy ủy quyền của nhà sản xuất hoặc của đại lý phân phối hoặc giấy chứng nhận quan hệ đối tác hoặc tài liệu khác có giá trị tương đương của hãng sản xuất thiết bị về việc bảo trì, bảo dưỡng hoặc cung cấp các dịch vụ kỹ thuật.</w:t>
            </w:r>
          </w:p>
        </w:tc>
        <w:tc>
          <w:tcPr>
            <w:tcW w:w="1667" w:type="dxa"/>
            <w:vAlign w:val="center"/>
          </w:tcPr>
          <w:p w14:paraId="42E2499D" w14:textId="77777777" w:rsidR="00BE37BF" w:rsidRPr="00BE37BF" w:rsidRDefault="00BE37BF" w:rsidP="00847510">
            <w:pPr>
              <w:jc w:val="center"/>
              <w:rPr>
                <w:b/>
                <w:sz w:val="28"/>
                <w:szCs w:val="28"/>
              </w:rPr>
            </w:pPr>
            <w:r w:rsidRPr="00BE37BF">
              <w:rPr>
                <w:b/>
                <w:sz w:val="28"/>
                <w:szCs w:val="28"/>
              </w:rPr>
              <w:t>Đạt</w:t>
            </w:r>
          </w:p>
        </w:tc>
      </w:tr>
      <w:tr w:rsidR="00BE37BF" w:rsidRPr="00BE37BF" w14:paraId="4BC7680C" w14:textId="77777777" w:rsidTr="00BE37BF">
        <w:trPr>
          <w:trHeight w:val="227"/>
          <w:jc w:val="center"/>
        </w:trPr>
        <w:tc>
          <w:tcPr>
            <w:tcW w:w="2014" w:type="dxa"/>
            <w:vMerge/>
          </w:tcPr>
          <w:p w14:paraId="6849B324" w14:textId="77777777" w:rsidR="00BE37BF" w:rsidRPr="00BE37BF" w:rsidRDefault="00BE37BF" w:rsidP="00847510">
            <w:pPr>
              <w:rPr>
                <w:bCs/>
                <w:sz w:val="28"/>
                <w:szCs w:val="28"/>
              </w:rPr>
            </w:pPr>
          </w:p>
        </w:tc>
        <w:tc>
          <w:tcPr>
            <w:tcW w:w="6520" w:type="dxa"/>
          </w:tcPr>
          <w:p w14:paraId="6E6A4F0E" w14:textId="77777777" w:rsidR="00BE37BF" w:rsidRPr="00BE37BF" w:rsidRDefault="00BE37BF" w:rsidP="00847510">
            <w:pPr>
              <w:rPr>
                <w:bCs/>
                <w:sz w:val="28"/>
                <w:szCs w:val="28"/>
              </w:rPr>
            </w:pPr>
            <w:r w:rsidRPr="00BE37BF">
              <w:rPr>
                <w:sz w:val="28"/>
                <w:szCs w:val="28"/>
                <w:lang w:val="pl-PL"/>
              </w:rPr>
              <w:t>Không đáp ứng một trong các yêu cầu nêu trên</w:t>
            </w:r>
          </w:p>
        </w:tc>
        <w:tc>
          <w:tcPr>
            <w:tcW w:w="1667" w:type="dxa"/>
            <w:vAlign w:val="center"/>
          </w:tcPr>
          <w:p w14:paraId="7F67CA43"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6AC27370" w14:textId="77777777" w:rsidTr="00BE37BF">
        <w:trPr>
          <w:trHeight w:val="227"/>
          <w:jc w:val="center"/>
        </w:trPr>
        <w:tc>
          <w:tcPr>
            <w:tcW w:w="10201" w:type="dxa"/>
            <w:gridSpan w:val="3"/>
          </w:tcPr>
          <w:p w14:paraId="3BEF6A01" w14:textId="77777777" w:rsidR="00BE37BF" w:rsidRPr="00BE37BF" w:rsidRDefault="00BE37BF" w:rsidP="00847510">
            <w:pPr>
              <w:rPr>
                <w:b/>
                <w:sz w:val="28"/>
                <w:szCs w:val="28"/>
              </w:rPr>
            </w:pPr>
            <w:r w:rsidRPr="00BE37BF">
              <w:rPr>
                <w:b/>
                <w:sz w:val="28"/>
                <w:szCs w:val="28"/>
              </w:rPr>
              <w:t>4. Tiến độ cung cấp dịch vụ</w:t>
            </w:r>
          </w:p>
        </w:tc>
      </w:tr>
      <w:tr w:rsidR="00BE37BF" w:rsidRPr="00BE37BF" w14:paraId="323DCB76" w14:textId="77777777" w:rsidTr="00BE37BF">
        <w:trPr>
          <w:trHeight w:val="227"/>
          <w:jc w:val="center"/>
        </w:trPr>
        <w:tc>
          <w:tcPr>
            <w:tcW w:w="2014" w:type="dxa"/>
            <w:vMerge w:val="restart"/>
          </w:tcPr>
          <w:p w14:paraId="40D3900A" w14:textId="77777777" w:rsidR="00BE37BF" w:rsidRPr="00BE37BF" w:rsidRDefault="00BE37BF" w:rsidP="00847510">
            <w:pPr>
              <w:rPr>
                <w:bCs/>
                <w:sz w:val="28"/>
                <w:szCs w:val="28"/>
              </w:rPr>
            </w:pPr>
            <w:r w:rsidRPr="00BE37BF">
              <w:rPr>
                <w:bCs/>
                <w:sz w:val="28"/>
                <w:szCs w:val="28"/>
              </w:rPr>
              <w:t>Tiến độ cung cấp dịch vụ</w:t>
            </w:r>
          </w:p>
        </w:tc>
        <w:tc>
          <w:tcPr>
            <w:tcW w:w="6520" w:type="dxa"/>
          </w:tcPr>
          <w:p w14:paraId="0F49AF3F" w14:textId="77777777" w:rsidR="00BE37BF" w:rsidRPr="00BE37BF" w:rsidRDefault="00BE37BF" w:rsidP="00847510">
            <w:pPr>
              <w:rPr>
                <w:sz w:val="28"/>
                <w:szCs w:val="28"/>
              </w:rPr>
            </w:pPr>
            <w:r w:rsidRPr="00BE37BF">
              <w:rPr>
                <w:sz w:val="28"/>
                <w:szCs w:val="28"/>
              </w:rPr>
              <w:t>Tiến độ thực hiện gói thầu ≤ 60 ngày</w:t>
            </w:r>
          </w:p>
        </w:tc>
        <w:tc>
          <w:tcPr>
            <w:tcW w:w="1667" w:type="dxa"/>
            <w:vAlign w:val="center"/>
          </w:tcPr>
          <w:p w14:paraId="18D4AEAC" w14:textId="77777777" w:rsidR="00BE37BF" w:rsidRPr="00BE37BF" w:rsidRDefault="00BE37BF" w:rsidP="00847510">
            <w:pPr>
              <w:jc w:val="center"/>
              <w:rPr>
                <w:b/>
                <w:sz w:val="28"/>
                <w:szCs w:val="28"/>
              </w:rPr>
            </w:pPr>
            <w:r w:rsidRPr="00BE37BF">
              <w:rPr>
                <w:b/>
                <w:sz w:val="28"/>
                <w:szCs w:val="28"/>
              </w:rPr>
              <w:t>Đạt</w:t>
            </w:r>
          </w:p>
        </w:tc>
      </w:tr>
      <w:tr w:rsidR="00BE37BF" w:rsidRPr="00BE37BF" w14:paraId="00D1B0F6" w14:textId="77777777" w:rsidTr="00BE37BF">
        <w:trPr>
          <w:trHeight w:val="227"/>
          <w:jc w:val="center"/>
        </w:trPr>
        <w:tc>
          <w:tcPr>
            <w:tcW w:w="2014" w:type="dxa"/>
            <w:vMerge/>
          </w:tcPr>
          <w:p w14:paraId="07B33295" w14:textId="77777777" w:rsidR="00BE37BF" w:rsidRPr="00BE37BF" w:rsidRDefault="00BE37BF" w:rsidP="00847510">
            <w:pPr>
              <w:rPr>
                <w:bCs/>
                <w:sz w:val="28"/>
                <w:szCs w:val="28"/>
              </w:rPr>
            </w:pPr>
          </w:p>
        </w:tc>
        <w:tc>
          <w:tcPr>
            <w:tcW w:w="6520" w:type="dxa"/>
          </w:tcPr>
          <w:p w14:paraId="00A820E6" w14:textId="77777777" w:rsidR="00BE37BF" w:rsidRPr="00BE37BF" w:rsidRDefault="00BE37BF" w:rsidP="00847510">
            <w:pPr>
              <w:rPr>
                <w:sz w:val="28"/>
                <w:szCs w:val="28"/>
              </w:rPr>
            </w:pPr>
            <w:r w:rsidRPr="00BE37BF">
              <w:rPr>
                <w:sz w:val="28"/>
                <w:szCs w:val="28"/>
              </w:rPr>
              <w:t>Tiến độ thực hiện gói thầu &gt; 60 ngày</w:t>
            </w:r>
          </w:p>
        </w:tc>
        <w:tc>
          <w:tcPr>
            <w:tcW w:w="1667" w:type="dxa"/>
            <w:vAlign w:val="center"/>
          </w:tcPr>
          <w:p w14:paraId="4D02D5D2"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1A165C2C" w14:textId="77777777" w:rsidTr="00BE37BF">
        <w:trPr>
          <w:trHeight w:val="227"/>
          <w:jc w:val="center"/>
        </w:trPr>
        <w:tc>
          <w:tcPr>
            <w:tcW w:w="10201" w:type="dxa"/>
            <w:gridSpan w:val="3"/>
          </w:tcPr>
          <w:p w14:paraId="077E79E1" w14:textId="77777777" w:rsidR="00BE37BF" w:rsidRPr="00BE37BF" w:rsidRDefault="00BE37BF" w:rsidP="00847510">
            <w:pPr>
              <w:rPr>
                <w:b/>
                <w:bCs/>
                <w:sz w:val="28"/>
                <w:szCs w:val="28"/>
              </w:rPr>
            </w:pPr>
            <w:r w:rsidRPr="00BE37BF">
              <w:rPr>
                <w:b/>
                <w:bCs/>
                <w:sz w:val="28"/>
                <w:szCs w:val="28"/>
                <w:lang w:val="pl-PL"/>
              </w:rPr>
              <w:t>5. Bảo đảm điều kiện vệ sinh môi trường và các điều kiện khác như phòng cháy, chữa cháy, an toàn lao động</w:t>
            </w:r>
          </w:p>
        </w:tc>
      </w:tr>
      <w:tr w:rsidR="00BE37BF" w:rsidRPr="00BE37BF" w14:paraId="4AEA3477" w14:textId="77777777" w:rsidTr="00BE37BF">
        <w:trPr>
          <w:trHeight w:val="227"/>
          <w:jc w:val="center"/>
        </w:trPr>
        <w:tc>
          <w:tcPr>
            <w:tcW w:w="2014" w:type="dxa"/>
            <w:vMerge w:val="restart"/>
            <w:vAlign w:val="center"/>
          </w:tcPr>
          <w:p w14:paraId="66DAC223" w14:textId="77777777" w:rsidR="00BE37BF" w:rsidRPr="00BE37BF" w:rsidRDefault="00BE37BF" w:rsidP="00847510">
            <w:pPr>
              <w:rPr>
                <w:bCs/>
                <w:sz w:val="28"/>
                <w:szCs w:val="28"/>
              </w:rPr>
            </w:pPr>
            <w:r w:rsidRPr="00BE37BF">
              <w:rPr>
                <w:sz w:val="28"/>
                <w:szCs w:val="28"/>
                <w:lang w:val="pl-PL"/>
              </w:rPr>
              <w:t>Bảo đảm điều kiện vệ sinh môi trường và các điều kiện khác như phòng cháy, chữa cháy, an toàn lao động</w:t>
            </w:r>
          </w:p>
        </w:tc>
        <w:tc>
          <w:tcPr>
            <w:tcW w:w="6520" w:type="dxa"/>
          </w:tcPr>
          <w:p w14:paraId="7156991B" w14:textId="77777777" w:rsidR="00BE37BF" w:rsidRPr="00BE37BF" w:rsidRDefault="00BE37BF" w:rsidP="00847510">
            <w:pPr>
              <w:rPr>
                <w:sz w:val="28"/>
                <w:szCs w:val="28"/>
                <w:lang w:val="pl-PL"/>
              </w:rPr>
            </w:pPr>
            <w:r w:rsidRPr="00BE37BF">
              <w:rPr>
                <w:sz w:val="28"/>
                <w:szCs w:val="28"/>
                <w:lang w:val="pl-PL"/>
              </w:rPr>
              <w:t xml:space="preserve">- Có thuyết minh biện pháp bảo đảm an toàn lao động, vệ sinh môi trường, phòng cháy, chữa cháy, an toàn về người và tài sản của Chủ đầu tư </w:t>
            </w:r>
          </w:p>
          <w:p w14:paraId="223CA7FB" w14:textId="77777777" w:rsidR="00BE37BF" w:rsidRPr="00BE37BF" w:rsidRDefault="00BE37BF" w:rsidP="00847510">
            <w:pPr>
              <w:rPr>
                <w:sz w:val="28"/>
                <w:szCs w:val="28"/>
                <w:lang w:val="pl-PL"/>
              </w:rPr>
            </w:pPr>
            <w:r w:rsidRPr="00BE37BF">
              <w:rPr>
                <w:sz w:val="28"/>
                <w:szCs w:val="28"/>
                <w:lang w:val="pl-PL"/>
              </w:rPr>
              <w:t>- Nhà thầu có cam kết về các nội dung sau:</w:t>
            </w:r>
          </w:p>
          <w:p w14:paraId="0C0515BD" w14:textId="77777777" w:rsidR="00BE37BF" w:rsidRPr="00BE37BF" w:rsidRDefault="00BE37BF" w:rsidP="00847510">
            <w:pPr>
              <w:rPr>
                <w:sz w:val="28"/>
                <w:szCs w:val="28"/>
                <w:lang w:val="pl-PL"/>
              </w:rPr>
            </w:pPr>
            <w:r w:rsidRPr="00BE37BF">
              <w:rPr>
                <w:sz w:val="28"/>
                <w:szCs w:val="28"/>
                <w:lang w:val="pl-PL"/>
              </w:rPr>
              <w:t>+ Tự chịu trách nhiệm về an toàn lao động, tài sản, vệ sinh môi trường và cháy, nổ trong quá trình thực hiện công việc</w:t>
            </w:r>
          </w:p>
          <w:p w14:paraId="3A1FA710" w14:textId="77777777" w:rsidR="00BE37BF" w:rsidRPr="00BE37BF" w:rsidRDefault="00BE37BF" w:rsidP="00847510">
            <w:pPr>
              <w:tabs>
                <w:tab w:val="left" w:pos="720"/>
              </w:tabs>
              <w:rPr>
                <w:noProof/>
                <w:sz w:val="28"/>
                <w:szCs w:val="28"/>
              </w:rPr>
            </w:pPr>
            <w:r w:rsidRPr="00BE37BF">
              <w:rPr>
                <w:noProof/>
                <w:sz w:val="28"/>
                <w:szCs w:val="28"/>
              </w:rPr>
              <w:t>+ Đảm bảo các điều kiện về vệ sinh môi trường, an toàn lao động, phòng cháy chữa cháy trong quá trình thực hiện công việc và chịu hoàn toàn trách nhiệm và đền bù toàn bộ thiệt hại nếu để xảy ra các sai phạm về vệ sinh môi trường, an toàn lao động, phòng cháy chữa cháy.</w:t>
            </w:r>
          </w:p>
        </w:tc>
        <w:tc>
          <w:tcPr>
            <w:tcW w:w="1667" w:type="dxa"/>
            <w:vAlign w:val="center"/>
          </w:tcPr>
          <w:p w14:paraId="6B58DB84" w14:textId="77777777" w:rsidR="00BE37BF" w:rsidRPr="00BE37BF" w:rsidRDefault="00BE37BF" w:rsidP="00847510">
            <w:pPr>
              <w:jc w:val="center"/>
              <w:rPr>
                <w:b/>
                <w:sz w:val="28"/>
                <w:szCs w:val="28"/>
              </w:rPr>
            </w:pPr>
            <w:r w:rsidRPr="00BE37BF">
              <w:rPr>
                <w:b/>
                <w:sz w:val="28"/>
                <w:szCs w:val="28"/>
              </w:rPr>
              <w:t>Đạt</w:t>
            </w:r>
          </w:p>
        </w:tc>
      </w:tr>
      <w:tr w:rsidR="00BE37BF" w:rsidRPr="00BE37BF" w14:paraId="4ED10A82" w14:textId="77777777" w:rsidTr="00BE37BF">
        <w:trPr>
          <w:trHeight w:val="227"/>
          <w:jc w:val="center"/>
        </w:trPr>
        <w:tc>
          <w:tcPr>
            <w:tcW w:w="2014" w:type="dxa"/>
            <w:vMerge/>
          </w:tcPr>
          <w:p w14:paraId="15EB8715" w14:textId="77777777" w:rsidR="00BE37BF" w:rsidRPr="00BE37BF" w:rsidRDefault="00BE37BF" w:rsidP="00847510">
            <w:pPr>
              <w:rPr>
                <w:bCs/>
                <w:sz w:val="28"/>
                <w:szCs w:val="28"/>
              </w:rPr>
            </w:pPr>
          </w:p>
        </w:tc>
        <w:tc>
          <w:tcPr>
            <w:tcW w:w="6520" w:type="dxa"/>
          </w:tcPr>
          <w:p w14:paraId="07A9FFE8" w14:textId="77777777" w:rsidR="00BE37BF" w:rsidRPr="00BE37BF" w:rsidRDefault="00BE37BF" w:rsidP="00847510">
            <w:pPr>
              <w:rPr>
                <w:bCs/>
                <w:sz w:val="28"/>
                <w:szCs w:val="28"/>
              </w:rPr>
            </w:pPr>
            <w:r w:rsidRPr="00BE37BF">
              <w:rPr>
                <w:sz w:val="28"/>
                <w:szCs w:val="28"/>
                <w:lang w:val="pl-PL"/>
              </w:rPr>
              <w:t>Không đáp ứng một trong các yêu cầu nêu trên</w:t>
            </w:r>
          </w:p>
        </w:tc>
        <w:tc>
          <w:tcPr>
            <w:tcW w:w="1667" w:type="dxa"/>
            <w:vAlign w:val="center"/>
          </w:tcPr>
          <w:p w14:paraId="1FCB2181"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70C683A3" w14:textId="77777777" w:rsidTr="00BE37BF">
        <w:trPr>
          <w:trHeight w:val="227"/>
          <w:jc w:val="center"/>
        </w:trPr>
        <w:tc>
          <w:tcPr>
            <w:tcW w:w="10201" w:type="dxa"/>
            <w:gridSpan w:val="3"/>
          </w:tcPr>
          <w:p w14:paraId="448D035B" w14:textId="77777777" w:rsidR="00BE37BF" w:rsidRPr="00BE37BF" w:rsidRDefault="00BE37BF" w:rsidP="00847510">
            <w:pPr>
              <w:jc w:val="left"/>
              <w:rPr>
                <w:b/>
                <w:sz w:val="28"/>
                <w:szCs w:val="28"/>
              </w:rPr>
            </w:pPr>
            <w:r w:rsidRPr="00BE37BF">
              <w:rPr>
                <w:b/>
                <w:spacing w:val="2"/>
                <w:sz w:val="28"/>
                <w:szCs w:val="28"/>
                <w:lang w:val="pl-PL"/>
              </w:rPr>
              <w:t>6. Mức độ đáp ứng các yêu cầu về bảo hành, bảo trì</w:t>
            </w:r>
          </w:p>
        </w:tc>
      </w:tr>
      <w:tr w:rsidR="00BE37BF" w:rsidRPr="00BE37BF" w14:paraId="57EA4F8F" w14:textId="77777777" w:rsidTr="00BE37BF">
        <w:trPr>
          <w:trHeight w:val="227"/>
          <w:jc w:val="center"/>
        </w:trPr>
        <w:tc>
          <w:tcPr>
            <w:tcW w:w="2014" w:type="dxa"/>
            <w:vMerge w:val="restart"/>
          </w:tcPr>
          <w:p w14:paraId="0AB4EC4B" w14:textId="77777777" w:rsidR="00BE37BF" w:rsidRPr="00BE37BF" w:rsidRDefault="00BE37BF" w:rsidP="00847510">
            <w:pPr>
              <w:rPr>
                <w:bCs/>
                <w:sz w:val="28"/>
                <w:szCs w:val="28"/>
              </w:rPr>
            </w:pPr>
            <w:r w:rsidRPr="00BE37BF">
              <w:rPr>
                <w:spacing w:val="2"/>
                <w:sz w:val="28"/>
                <w:szCs w:val="28"/>
                <w:lang w:val="pl-PL"/>
              </w:rPr>
              <w:t>Mức độ đáp ứng các yêu cầu về bảo hành, bảo trì</w:t>
            </w:r>
          </w:p>
        </w:tc>
        <w:tc>
          <w:tcPr>
            <w:tcW w:w="6520" w:type="dxa"/>
          </w:tcPr>
          <w:p w14:paraId="59D9B842" w14:textId="77777777" w:rsidR="00BE37BF" w:rsidRPr="00BE37BF" w:rsidRDefault="00BE37BF" w:rsidP="00847510">
            <w:pPr>
              <w:rPr>
                <w:sz w:val="28"/>
                <w:szCs w:val="28"/>
                <w:lang w:val="pl-PL"/>
              </w:rPr>
            </w:pPr>
            <w:r w:rsidRPr="00BE37BF">
              <w:rPr>
                <w:sz w:val="28"/>
                <w:szCs w:val="28"/>
                <w:lang w:val="pl-PL"/>
              </w:rPr>
              <w:t>- Có cam kết bảo hành dịch vụ ≥ 6 tháng kể từ ngày nghiệm thu;</w:t>
            </w:r>
          </w:p>
          <w:p w14:paraId="107EB2F7" w14:textId="77777777" w:rsidR="00BE37BF" w:rsidRPr="00BE37BF" w:rsidRDefault="00BE37BF" w:rsidP="00847510">
            <w:pPr>
              <w:rPr>
                <w:sz w:val="28"/>
                <w:szCs w:val="28"/>
                <w:lang w:val="pl-PL"/>
              </w:rPr>
            </w:pPr>
            <w:r w:rsidRPr="00BE37BF">
              <w:rPr>
                <w:sz w:val="28"/>
                <w:szCs w:val="28"/>
                <w:lang w:val="pl-PL"/>
              </w:rPr>
              <w:t>- Có cam kết có mặt để kiểm tra, bảo hành trong vòng 48 giờ kể từ thời điểm nhận được thông báo của Chủ đầu tư;</w:t>
            </w:r>
          </w:p>
          <w:p w14:paraId="67A4724A" w14:textId="77777777" w:rsidR="00BE37BF" w:rsidRPr="00BE37BF" w:rsidRDefault="00BE37BF" w:rsidP="00847510">
            <w:pPr>
              <w:rPr>
                <w:sz w:val="28"/>
                <w:szCs w:val="28"/>
                <w:lang w:val="pl-PL"/>
              </w:rPr>
            </w:pPr>
            <w:r w:rsidRPr="00BE37BF">
              <w:rPr>
                <w:sz w:val="28"/>
                <w:szCs w:val="28"/>
                <w:lang w:val="pl-PL"/>
              </w:rPr>
              <w:t>- Có cam kết bảo trì ≥ 02 lần trong thời gian bảo hành</w:t>
            </w:r>
          </w:p>
        </w:tc>
        <w:tc>
          <w:tcPr>
            <w:tcW w:w="1667" w:type="dxa"/>
            <w:vAlign w:val="center"/>
          </w:tcPr>
          <w:p w14:paraId="2AC16271" w14:textId="77777777" w:rsidR="00BE37BF" w:rsidRPr="00BE37BF" w:rsidRDefault="00BE37BF" w:rsidP="00847510">
            <w:pPr>
              <w:jc w:val="center"/>
              <w:rPr>
                <w:b/>
                <w:sz w:val="28"/>
                <w:szCs w:val="28"/>
              </w:rPr>
            </w:pPr>
            <w:r w:rsidRPr="00BE37BF">
              <w:rPr>
                <w:b/>
                <w:sz w:val="28"/>
                <w:szCs w:val="28"/>
              </w:rPr>
              <w:t>Đạt</w:t>
            </w:r>
          </w:p>
        </w:tc>
      </w:tr>
      <w:tr w:rsidR="00BE37BF" w:rsidRPr="00BE37BF" w14:paraId="34DFB9A4" w14:textId="77777777" w:rsidTr="00BE37BF">
        <w:trPr>
          <w:trHeight w:val="227"/>
          <w:jc w:val="center"/>
        </w:trPr>
        <w:tc>
          <w:tcPr>
            <w:tcW w:w="2014" w:type="dxa"/>
            <w:vMerge/>
          </w:tcPr>
          <w:p w14:paraId="52FAF7DD" w14:textId="77777777" w:rsidR="00BE37BF" w:rsidRPr="00BE37BF" w:rsidRDefault="00BE37BF" w:rsidP="00847510">
            <w:pPr>
              <w:rPr>
                <w:bCs/>
                <w:sz w:val="28"/>
                <w:szCs w:val="28"/>
              </w:rPr>
            </w:pPr>
          </w:p>
        </w:tc>
        <w:tc>
          <w:tcPr>
            <w:tcW w:w="6520" w:type="dxa"/>
          </w:tcPr>
          <w:p w14:paraId="0103CE1A" w14:textId="77777777" w:rsidR="00BE37BF" w:rsidRPr="00BE37BF" w:rsidRDefault="00BE37BF" w:rsidP="00847510">
            <w:pPr>
              <w:rPr>
                <w:sz w:val="28"/>
                <w:szCs w:val="28"/>
                <w:lang w:val="pl-PL"/>
              </w:rPr>
            </w:pPr>
            <w:r w:rsidRPr="00BE37BF">
              <w:rPr>
                <w:sz w:val="28"/>
                <w:szCs w:val="28"/>
                <w:lang w:val="pl-PL"/>
              </w:rPr>
              <w:t>Không đáp ứng một trong các yêu cầu nêu trên</w:t>
            </w:r>
          </w:p>
        </w:tc>
        <w:tc>
          <w:tcPr>
            <w:tcW w:w="1667" w:type="dxa"/>
            <w:vAlign w:val="center"/>
          </w:tcPr>
          <w:p w14:paraId="0A0675BE" w14:textId="77777777" w:rsidR="00BE37BF" w:rsidRPr="00BE37BF" w:rsidRDefault="00BE37BF" w:rsidP="00847510">
            <w:pPr>
              <w:jc w:val="center"/>
              <w:rPr>
                <w:b/>
                <w:sz w:val="28"/>
                <w:szCs w:val="28"/>
              </w:rPr>
            </w:pPr>
            <w:r w:rsidRPr="00BE37BF">
              <w:rPr>
                <w:b/>
                <w:sz w:val="28"/>
                <w:szCs w:val="28"/>
              </w:rPr>
              <w:t>Không đạt</w:t>
            </w:r>
          </w:p>
        </w:tc>
      </w:tr>
      <w:tr w:rsidR="00BE37BF" w:rsidRPr="00BE37BF" w14:paraId="395384CF" w14:textId="77777777" w:rsidTr="00BE37BF">
        <w:trPr>
          <w:trHeight w:val="227"/>
          <w:jc w:val="center"/>
        </w:trPr>
        <w:tc>
          <w:tcPr>
            <w:tcW w:w="10201" w:type="dxa"/>
            <w:gridSpan w:val="3"/>
          </w:tcPr>
          <w:p w14:paraId="05E18FBA" w14:textId="77777777" w:rsidR="00BE37BF" w:rsidRPr="00BE37BF" w:rsidRDefault="00BE37BF" w:rsidP="00847510">
            <w:pPr>
              <w:jc w:val="left"/>
              <w:rPr>
                <w:b/>
                <w:sz w:val="28"/>
                <w:szCs w:val="28"/>
              </w:rPr>
            </w:pPr>
            <w:r w:rsidRPr="00BE37BF">
              <w:rPr>
                <w:b/>
                <w:sz w:val="28"/>
                <w:szCs w:val="28"/>
              </w:rPr>
              <w:t xml:space="preserve">Kết luận: </w:t>
            </w:r>
            <w:r w:rsidRPr="00BE37BF">
              <w:rPr>
                <w:rFonts w:eastAsia="Calibri"/>
                <w:color w:val="000000"/>
                <w:sz w:val="28"/>
                <w:szCs w:val="28"/>
                <w:lang w:val="es-ES"/>
              </w:rPr>
              <w:t>N</w:t>
            </w:r>
            <w:r w:rsidRPr="00BE37BF">
              <w:rPr>
                <w:rFonts w:eastAsia="Calibri"/>
                <w:color w:val="000000"/>
                <w:spacing w:val="2"/>
                <w:sz w:val="28"/>
                <w:szCs w:val="28"/>
                <w:lang w:val="es-ES"/>
              </w:rPr>
              <w:t xml:space="preserve">hà thầu được Kết luận </w:t>
            </w:r>
            <w:r w:rsidRPr="00BE37BF">
              <w:rPr>
                <w:rFonts w:eastAsia="Calibri"/>
                <w:b/>
                <w:color w:val="000000"/>
                <w:spacing w:val="2"/>
                <w:sz w:val="28"/>
                <w:szCs w:val="28"/>
                <w:lang w:val="es-ES"/>
              </w:rPr>
              <w:t xml:space="preserve">“ĐẠT” </w:t>
            </w:r>
            <w:r w:rsidRPr="00BE37BF">
              <w:rPr>
                <w:rFonts w:eastAsia="Calibri"/>
                <w:color w:val="000000"/>
                <w:spacing w:val="2"/>
                <w:sz w:val="28"/>
                <w:szCs w:val="28"/>
                <w:lang w:val="es-ES"/>
              </w:rPr>
              <w:t xml:space="preserve">khi tất cả các tiêu chí được đánh giá là đạt. Trường hợp nhà thầu có ít nhất 1 tiêu chí được đánh giá không đạt thì sẽ kết luận </w:t>
            </w:r>
            <w:r w:rsidRPr="00BE37BF">
              <w:rPr>
                <w:rFonts w:eastAsia="Calibri"/>
                <w:b/>
                <w:color w:val="000000"/>
                <w:spacing w:val="2"/>
                <w:sz w:val="28"/>
                <w:szCs w:val="28"/>
                <w:lang w:val="es-ES"/>
              </w:rPr>
              <w:t>“KHÔNG ĐẠT”</w:t>
            </w:r>
            <w:r w:rsidRPr="00BE37BF">
              <w:rPr>
                <w:rFonts w:eastAsia="Calibri"/>
                <w:color w:val="000000"/>
                <w:spacing w:val="2"/>
                <w:sz w:val="28"/>
                <w:szCs w:val="28"/>
                <w:lang w:val="es-ES"/>
              </w:rPr>
              <w:t xml:space="preserve"> và sẽ không được xem xét, đánh giá bước tiếp theo.</w:t>
            </w:r>
          </w:p>
        </w:tc>
      </w:tr>
    </w:tbl>
    <w:p w14:paraId="541ADE2A" w14:textId="77777777" w:rsidR="00BE37BF" w:rsidRPr="00BE37BF" w:rsidRDefault="00BE37BF" w:rsidP="00BE37BF">
      <w:pPr>
        <w:spacing w:before="40" w:after="40"/>
        <w:ind w:firstLine="709"/>
        <w:rPr>
          <w:i/>
          <w:iCs/>
          <w:sz w:val="26"/>
          <w:szCs w:val="26"/>
        </w:rPr>
      </w:pPr>
      <w:r w:rsidRPr="00BE37BF">
        <w:rPr>
          <w:b/>
          <w:bCs/>
          <w:i/>
          <w:iCs/>
          <w:sz w:val="26"/>
          <w:szCs w:val="26"/>
          <w:u w:val="single"/>
        </w:rPr>
        <w:t>Ghi chú:</w:t>
      </w:r>
      <w:r w:rsidRPr="00BE37BF">
        <w:rPr>
          <w:i/>
          <w:iCs/>
          <w:sz w:val="26"/>
          <w:szCs w:val="26"/>
        </w:rPr>
        <w:t xml:space="preserve"> Đối với các cam kết yêu cầu tại tiêu chí đánh giá số 1, 5, 6 nêu trên: Trường hợp nhà thầu thiếu tài liệu thì được bổ sung trong quá trình đánh giá E-HSDT. Trường hợp nhà thầu không bổ sung cam kết hoặc có bổ sung cam kết nhưng không đầy đủ, không đúng nội dung theo yêu cầu của E-HSMT trong khoảng thời gian hợp lý theo yêu cầu của Chủ đầu tư thì E-HSDT của nhà thầu được coi là không đáp ứng các tiêu chí đánh giá về kỹ thuật và bị loại.</w:t>
      </w:r>
    </w:p>
    <w:p w14:paraId="25C9D510" w14:textId="77777777" w:rsidR="00BE37BF" w:rsidRPr="00BE37BF" w:rsidRDefault="00BE37BF" w:rsidP="00BE37BF">
      <w:pPr>
        <w:spacing w:before="40" w:after="40"/>
        <w:ind w:firstLine="709"/>
        <w:rPr>
          <w:sz w:val="26"/>
          <w:szCs w:val="26"/>
        </w:rPr>
      </w:pPr>
      <w:r w:rsidRPr="00BE37BF">
        <w:rPr>
          <w:sz w:val="26"/>
          <w:szCs w:val="26"/>
        </w:rPr>
        <w:t>Nhà thầu được đánh giá là đạt yêu cầu về kỹ thuật sẽ được chuyển sang đánh giá về tài chính</w:t>
      </w:r>
      <w:r w:rsidRPr="00BE37BF">
        <w:rPr>
          <w:sz w:val="26"/>
          <w:szCs w:val="26"/>
          <w:lang w:val="fr-FR"/>
        </w:rPr>
        <w:t>.</w:t>
      </w:r>
    </w:p>
    <w:p w14:paraId="4C18BFCF" w14:textId="77777777" w:rsidR="00122E85" w:rsidRPr="00BE37BF" w:rsidRDefault="00122E85"/>
    <w:sectPr w:rsidR="00122E85" w:rsidRPr="00BE37BF" w:rsidSect="00CE30B8">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BF"/>
    <w:rsid w:val="00122E85"/>
    <w:rsid w:val="002F6C45"/>
    <w:rsid w:val="00503FBC"/>
    <w:rsid w:val="00B36133"/>
    <w:rsid w:val="00BE37BF"/>
    <w:rsid w:val="00CE30B8"/>
    <w:rsid w:val="00E8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1CFF7"/>
  <w15:chartTrackingRefBased/>
  <w15:docId w15:val="{79474991-179C-4100-A5EE-F3DE631E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7BF"/>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2025-12-17T15:48:00Z</dcterms:created>
  <dcterms:modified xsi:type="dcterms:W3CDTF">2025-12-18T03:28:00Z</dcterms:modified>
</cp:coreProperties>
</file>