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3C2" w:rsidRPr="001C5620" w:rsidRDefault="00EC6E98" w:rsidP="001C5620">
      <w:pPr>
        <w:pStyle w:val="TOC1"/>
        <w:spacing w:before="0" w:after="0"/>
        <w:ind w:firstLine="706"/>
        <w:rPr>
          <w:sz w:val="26"/>
          <w:szCs w:val="26"/>
        </w:rPr>
      </w:pPr>
      <w:r w:rsidRPr="001C5620">
        <w:rPr>
          <w:sz w:val="26"/>
          <w:szCs w:val="26"/>
        </w:rPr>
        <w:t xml:space="preserve">Mục </w:t>
      </w:r>
      <w:r w:rsidRPr="001C5620">
        <w:rPr>
          <w:sz w:val="26"/>
          <w:szCs w:val="26"/>
          <w:lang w:val="pl-PL"/>
        </w:rPr>
        <w:t>3</w:t>
      </w:r>
      <w:r w:rsidRPr="001C5620">
        <w:rPr>
          <w:sz w:val="26"/>
          <w:szCs w:val="26"/>
        </w:rPr>
        <w:t>. Tiêu chuẩn đánh giá về kỹ thuật</w:t>
      </w:r>
    </w:p>
    <w:p w:rsidR="006233C2" w:rsidRPr="001C5620" w:rsidRDefault="00EC6E98" w:rsidP="001C5620">
      <w:pPr>
        <w:ind w:firstLine="706"/>
        <w:rPr>
          <w:sz w:val="26"/>
          <w:szCs w:val="26"/>
          <w:lang w:val="vi-VN"/>
        </w:rPr>
      </w:pPr>
      <w:r w:rsidRPr="001C5620">
        <w:rPr>
          <w:b/>
          <w:bCs/>
          <w:color w:val="C00000"/>
          <w:sz w:val="26"/>
          <w:szCs w:val="26"/>
          <w:lang w:val="vi-VN"/>
        </w:rPr>
        <w:t>Sử dụng tiêu chí đạt/không đạt</w:t>
      </w:r>
      <w:r w:rsidRPr="001C5620">
        <w:rPr>
          <w:sz w:val="26"/>
          <w:szCs w:val="26"/>
          <w:lang w:val="vi-VN"/>
        </w:rPr>
        <w:t xml:space="preserve"> hoặc phương pháp chấm điểm để xây dựng tiêu chuẩn đánh giá về kỹ thuật.</w:t>
      </w:r>
    </w:p>
    <w:p w:rsidR="006233C2" w:rsidRPr="001C5620" w:rsidRDefault="00EC6E98" w:rsidP="001C5620">
      <w:pPr>
        <w:ind w:firstLine="706"/>
        <w:rPr>
          <w:rFonts w:eastAsia="Calibri"/>
          <w:spacing w:val="2"/>
          <w:sz w:val="26"/>
          <w:szCs w:val="26"/>
          <w:lang w:val="vi-VN"/>
        </w:rPr>
      </w:pPr>
      <w:r w:rsidRPr="001C5620">
        <w:rPr>
          <w:rFonts w:eastAsia="Calibri"/>
          <w:spacing w:val="2"/>
          <w:sz w:val="26"/>
          <w:szCs w:val="26"/>
          <w:lang w:val="vi-VN"/>
        </w:rPr>
        <w:t xml:space="preserve">Việc xây dựng </w:t>
      </w:r>
      <w:r w:rsidRPr="001C5620">
        <w:rPr>
          <w:rFonts w:eastAsia="Calibri"/>
          <w:sz w:val="26"/>
          <w:szCs w:val="26"/>
          <w:lang w:val="vi-VN"/>
        </w:rPr>
        <w:t>tiêu chuẩn đánh giá về kỹ thuật</w:t>
      </w:r>
      <w:r w:rsidRPr="001C5620">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đi kèm khác theo yêu cầu tại Chương V (nếu có), thông tin về kết quả thực hiện hợp đồng của nhà thầu theo quy định tại Điều 19 và Điều 20 của Nghị định</w:t>
      </w:r>
      <w:r w:rsidRPr="001C5620">
        <w:rPr>
          <w:sz w:val="26"/>
          <w:szCs w:val="26"/>
          <w:lang w:val="vi-VN"/>
        </w:rPr>
        <w:t xml:space="preserve"> </w:t>
      </w:r>
      <w:r w:rsidRPr="001C5620">
        <w:rPr>
          <w:rFonts w:eastAsia="Calibri"/>
          <w:spacing w:val="2"/>
          <w:sz w:val="26"/>
          <w:szCs w:val="26"/>
          <w:lang w:val="vi-VN"/>
        </w:rPr>
        <w:t xml:space="preserve">số 214/2025/NĐ-CP, </w:t>
      </w:r>
      <w:r w:rsidRPr="001C5620">
        <w:rPr>
          <w:sz w:val="26"/>
          <w:szCs w:val="26"/>
          <w:lang w:val="vi-VN"/>
        </w:rPr>
        <w:t>chất lượng hàng hóa tương tự được công khai theo quy định tại Điều 20 của Nghị định số  214/2025/NĐ-CP (nếu có)</w:t>
      </w:r>
      <w:r w:rsidRPr="001C5620">
        <w:rPr>
          <w:rFonts w:eastAsia="Calibri"/>
          <w:spacing w:val="2"/>
          <w:sz w:val="26"/>
          <w:szCs w:val="26"/>
          <w:lang w:val="vi-VN"/>
        </w:rPr>
        <w:t xml:space="preserve"> và các yêu cầu khác nêu trong Chương V. Căn cứ từng gói thầu cụ thể, khi lập E-HSMT phải cụ thể hóa các tiêu chí làm cơ sở để đánh giá về kỹ thuật bao gồm:</w:t>
      </w:r>
    </w:p>
    <w:p w:rsidR="006233C2" w:rsidRPr="001C5620" w:rsidRDefault="00EC6E98" w:rsidP="001C5620">
      <w:pPr>
        <w:widowControl w:val="0"/>
        <w:ind w:firstLine="706"/>
        <w:rPr>
          <w:sz w:val="26"/>
          <w:szCs w:val="26"/>
          <w:lang w:val="vi-VN"/>
        </w:rPr>
      </w:pPr>
      <w:r w:rsidRPr="001C5620">
        <w:rPr>
          <w:sz w:val="26"/>
          <w:szCs w:val="26"/>
          <w:lang w:val="vi-VN"/>
        </w:rPr>
        <w:t>- Đặc tính, thông số kỹ thuật của hàng hóa, tiêu chuẩn sản xuất, tiêu chuẩn chế tạo và công nghệ;</w:t>
      </w:r>
    </w:p>
    <w:p w:rsidR="006233C2" w:rsidRPr="001C5620" w:rsidRDefault="00EC6E98" w:rsidP="001C5620">
      <w:pPr>
        <w:widowControl w:val="0"/>
        <w:tabs>
          <w:tab w:val="left" w:pos="851"/>
        </w:tabs>
        <w:ind w:firstLine="706"/>
        <w:rPr>
          <w:sz w:val="26"/>
          <w:szCs w:val="26"/>
          <w:lang w:val="vi-VN"/>
        </w:rPr>
      </w:pPr>
      <w:r w:rsidRPr="001C5620">
        <w:rPr>
          <w:sz w:val="26"/>
          <w:szCs w:val="26"/>
          <w:lang w:val="vi-VN"/>
        </w:rPr>
        <w:t>- Tính hợp lý và hiệu quả kinh tế của các giải pháp kỹ thuật, biện pháp tổ chức cung cấp, lắp đặt hàng hóa;</w:t>
      </w:r>
    </w:p>
    <w:p w:rsidR="006233C2" w:rsidRPr="001C5620" w:rsidRDefault="00EC6E98" w:rsidP="001C5620">
      <w:pPr>
        <w:widowControl w:val="0"/>
        <w:tabs>
          <w:tab w:val="left" w:pos="851"/>
        </w:tabs>
        <w:ind w:firstLine="706"/>
        <w:rPr>
          <w:sz w:val="26"/>
          <w:szCs w:val="26"/>
          <w:lang w:val="vi-VN"/>
        </w:rPr>
      </w:pPr>
      <w:r w:rsidRPr="001C5620">
        <w:rPr>
          <w:sz w:val="26"/>
          <w:szCs w:val="26"/>
          <w:lang w:val="vi-VN"/>
        </w:rPr>
        <w:t>- Mức độ đáp ứng các yêu cầu về bảo hành, bảo trì: nhà thầu phải trình bày được kế hoạch cung cấp dịch vụ bảo hành, bảo trì;</w:t>
      </w:r>
    </w:p>
    <w:p w:rsidR="006233C2" w:rsidRPr="001C5620" w:rsidRDefault="00EC6E98" w:rsidP="001C5620">
      <w:pPr>
        <w:widowControl w:val="0"/>
        <w:tabs>
          <w:tab w:val="left" w:pos="851"/>
        </w:tabs>
        <w:ind w:firstLine="706"/>
        <w:rPr>
          <w:sz w:val="26"/>
          <w:szCs w:val="26"/>
          <w:lang w:val="vi-VN"/>
        </w:rPr>
      </w:pPr>
      <w:r w:rsidRPr="001C5620">
        <w:rPr>
          <w:sz w:val="26"/>
          <w:szCs w:val="26"/>
          <w:lang w:val="vi-VN"/>
        </w:rPr>
        <w:t xml:space="preserve">- Mức độ đáp ứng các yêu cầu về cung cấp vật tư, thiết bị thay thế và các dịch vụ đi kèm (nếu có) trong toàn bộ quá trình sử dụng của hàng hóa; </w:t>
      </w:r>
    </w:p>
    <w:p w:rsidR="006233C2" w:rsidRPr="001C5620" w:rsidRDefault="00EC6E98" w:rsidP="001C5620">
      <w:pPr>
        <w:widowControl w:val="0"/>
        <w:tabs>
          <w:tab w:val="left" w:pos="851"/>
        </w:tabs>
        <w:ind w:firstLine="706"/>
        <w:rPr>
          <w:sz w:val="26"/>
          <w:szCs w:val="26"/>
          <w:lang w:val="vi-VN"/>
        </w:rPr>
      </w:pPr>
      <w:r w:rsidRPr="001C5620">
        <w:rPr>
          <w:sz w:val="26"/>
          <w:szCs w:val="26"/>
          <w:lang w:val="vi-VN"/>
        </w:rPr>
        <w:t>- Khả năng thích ứng về mặt địa lý, môi trường;</w:t>
      </w:r>
    </w:p>
    <w:p w:rsidR="006233C2" w:rsidRPr="001C5620" w:rsidRDefault="00EC6E98" w:rsidP="001C5620">
      <w:pPr>
        <w:widowControl w:val="0"/>
        <w:tabs>
          <w:tab w:val="left" w:pos="851"/>
        </w:tabs>
        <w:ind w:firstLine="706"/>
        <w:rPr>
          <w:sz w:val="26"/>
          <w:szCs w:val="26"/>
          <w:lang w:val="vi-VN"/>
        </w:rPr>
      </w:pPr>
      <w:r w:rsidRPr="001C5620">
        <w:rPr>
          <w:sz w:val="26"/>
          <w:szCs w:val="26"/>
          <w:lang w:val="vi-VN"/>
        </w:rPr>
        <w:t>- Tác động đối với môi trường và biện pháp giải quyết;</w:t>
      </w:r>
    </w:p>
    <w:p w:rsidR="006233C2" w:rsidRPr="001C5620" w:rsidRDefault="00EC6E98" w:rsidP="001C5620">
      <w:pPr>
        <w:widowControl w:val="0"/>
        <w:tabs>
          <w:tab w:val="left" w:pos="851"/>
        </w:tabs>
        <w:ind w:firstLine="706"/>
        <w:rPr>
          <w:sz w:val="26"/>
          <w:szCs w:val="26"/>
          <w:lang w:val="vi-VN"/>
        </w:rPr>
      </w:pPr>
      <w:r w:rsidRPr="001C5620">
        <w:rPr>
          <w:sz w:val="26"/>
          <w:szCs w:val="26"/>
          <w:lang w:val="vi-VN"/>
        </w:rPr>
        <w:t>- Tiêu chí đấu thầu bền vững (nếu có);</w:t>
      </w:r>
    </w:p>
    <w:p w:rsidR="006233C2" w:rsidRPr="001C5620" w:rsidRDefault="00EC6E98" w:rsidP="001C5620">
      <w:pPr>
        <w:widowControl w:val="0"/>
        <w:tabs>
          <w:tab w:val="left" w:pos="851"/>
        </w:tabs>
        <w:ind w:firstLine="706"/>
        <w:rPr>
          <w:sz w:val="26"/>
          <w:szCs w:val="26"/>
          <w:lang w:val="vi-VN"/>
        </w:rPr>
      </w:pPr>
      <w:r w:rsidRPr="001C5620">
        <w:rPr>
          <w:sz w:val="26"/>
          <w:szCs w:val="26"/>
          <w:lang w:val="vi-VN"/>
        </w:rPr>
        <w:t>- Các yếu tố về điều kiện thương mại, thời gian giao hàng, đào tạo chuyển giao công nghệ;</w:t>
      </w:r>
    </w:p>
    <w:p w:rsidR="006233C2" w:rsidRPr="001C5620" w:rsidRDefault="00EC6E98" w:rsidP="001C5620">
      <w:pPr>
        <w:widowControl w:val="0"/>
        <w:tabs>
          <w:tab w:val="left" w:pos="851"/>
        </w:tabs>
        <w:ind w:firstLine="706"/>
        <w:rPr>
          <w:sz w:val="26"/>
          <w:szCs w:val="26"/>
          <w:lang w:val="vi-VN"/>
        </w:rPr>
      </w:pPr>
      <w:r w:rsidRPr="001C5620">
        <w:rPr>
          <w:sz w:val="26"/>
          <w:szCs w:val="26"/>
          <w:lang w:val="vi-VN"/>
        </w:rPr>
        <w:t>- Tiến độ cung cấp hàng hóa;</w:t>
      </w:r>
    </w:p>
    <w:p w:rsidR="006233C2" w:rsidRPr="001C5620" w:rsidRDefault="00EC6E98" w:rsidP="001C5620">
      <w:pPr>
        <w:widowControl w:val="0"/>
        <w:tabs>
          <w:tab w:val="left" w:pos="851"/>
        </w:tabs>
        <w:ind w:firstLine="706"/>
        <w:rPr>
          <w:sz w:val="26"/>
          <w:szCs w:val="26"/>
          <w:lang w:val="vi-VN"/>
        </w:rPr>
      </w:pPr>
      <w:r w:rsidRPr="001C5620">
        <w:rPr>
          <w:sz w:val="26"/>
          <w:szCs w:val="26"/>
          <w:lang w:val="vi-VN"/>
        </w:rPr>
        <w:t>- Yếu tố thân thiện môi trường;</w:t>
      </w:r>
    </w:p>
    <w:p w:rsidR="006233C2" w:rsidRPr="001C5620" w:rsidRDefault="00EC6E98" w:rsidP="001C5620">
      <w:pPr>
        <w:widowControl w:val="0"/>
        <w:tabs>
          <w:tab w:val="left" w:pos="851"/>
        </w:tabs>
        <w:ind w:firstLine="706"/>
        <w:rPr>
          <w:sz w:val="26"/>
          <w:szCs w:val="26"/>
          <w:lang w:val="vi-VN"/>
        </w:rPr>
      </w:pPr>
      <w:r w:rsidRPr="001C5620">
        <w:rPr>
          <w:sz w:val="26"/>
          <w:szCs w:val="26"/>
          <w:lang w:val="vi-VN"/>
        </w:rPr>
        <w:t xml:space="preserve">- Kết quả thực hiện hợp đồng của nhà thầu đối với gói thầu cung cấp hàng hóa, dịch vụ phi tư vấn theo quy định tại </w:t>
      </w:r>
      <w:r w:rsidRPr="001C5620">
        <w:rPr>
          <w:rFonts w:eastAsia="Calibri"/>
          <w:spacing w:val="2"/>
          <w:sz w:val="26"/>
          <w:szCs w:val="26"/>
          <w:lang w:val="vi-VN"/>
        </w:rPr>
        <w:t>Điều 19 và</w:t>
      </w:r>
      <w:r w:rsidRPr="001C5620">
        <w:rPr>
          <w:sz w:val="26"/>
          <w:szCs w:val="26"/>
          <w:lang w:val="vi-VN"/>
        </w:rPr>
        <w:t xml:space="preserve"> Điều 20 của Nghị định số  214/2025/NĐ-CP, chất lượng hàng hóa tương tự được công khai theo quy định tại Điều 20 của Nghị định số 214/2025/NĐ-CP (nếu có);</w:t>
      </w:r>
    </w:p>
    <w:p w:rsidR="006233C2" w:rsidRPr="001C5620" w:rsidRDefault="00EC6E98" w:rsidP="001C5620">
      <w:pPr>
        <w:widowControl w:val="0"/>
        <w:tabs>
          <w:tab w:val="left" w:pos="851"/>
        </w:tabs>
        <w:ind w:firstLine="706"/>
        <w:rPr>
          <w:sz w:val="26"/>
          <w:szCs w:val="26"/>
          <w:lang w:val="vi-VN"/>
        </w:rPr>
      </w:pPr>
      <w:r w:rsidRPr="001C5620">
        <w:rPr>
          <w:sz w:val="26"/>
          <w:szCs w:val="26"/>
          <w:lang w:val="vi-VN"/>
        </w:rPr>
        <w:t>- Các yếu tố cần thiết khác.</w:t>
      </w:r>
    </w:p>
    <w:p w:rsidR="006233C2" w:rsidRPr="001C5620" w:rsidRDefault="00EC6E98" w:rsidP="001C5620">
      <w:pPr>
        <w:ind w:firstLine="706"/>
        <w:rPr>
          <w:sz w:val="26"/>
          <w:szCs w:val="26"/>
        </w:rPr>
      </w:pPr>
      <w:r w:rsidRPr="001C5620">
        <w:rPr>
          <w:b/>
          <w:iCs/>
          <w:color w:val="C00000"/>
          <w:sz w:val="26"/>
          <w:szCs w:val="26"/>
        </w:rPr>
        <w:t>3.2. Đánh giá theo phương pháp đạt/không đạt</w:t>
      </w:r>
      <w:r w:rsidRPr="001C5620">
        <w:rPr>
          <w:rStyle w:val="FootnoteReference"/>
          <w:b/>
          <w:iCs/>
          <w:color w:val="C00000"/>
          <w:sz w:val="26"/>
          <w:szCs w:val="26"/>
        </w:rPr>
        <w:footnoteReference w:id="1"/>
      </w:r>
      <w:r w:rsidRPr="001C5620">
        <w:rPr>
          <w:b/>
          <w:color w:val="C00000"/>
          <w:sz w:val="26"/>
          <w:szCs w:val="26"/>
        </w:rPr>
        <w:t>:</w:t>
      </w:r>
    </w:p>
    <w:p w:rsidR="006233C2" w:rsidRPr="001C5620" w:rsidRDefault="00EC6E98" w:rsidP="001C5620">
      <w:pPr>
        <w:ind w:firstLine="706"/>
        <w:rPr>
          <w:sz w:val="26"/>
          <w:szCs w:val="26"/>
        </w:rPr>
      </w:pPr>
      <w:r w:rsidRPr="001C5620">
        <w:rPr>
          <w:sz w:val="26"/>
          <w:szCs w:val="26"/>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6233C2" w:rsidRPr="001C5620" w:rsidRDefault="00EC6E98" w:rsidP="001C5620">
      <w:pPr>
        <w:ind w:firstLine="706"/>
        <w:rPr>
          <w:sz w:val="26"/>
          <w:szCs w:val="26"/>
        </w:rPr>
      </w:pPr>
      <w:r w:rsidRPr="001C5620">
        <w:rPr>
          <w:sz w:val="26"/>
          <w:szCs w:val="26"/>
        </w:rPr>
        <w:t>Tiêu chí tổng quát được đánh giá là đạt khi tất cả các tiêu chí chi tiết cơ bản được đánh giá là đạt và các tiêu chí chi tiết không cơ bản được đánh giá là đạt hoặc chấp nhận được.</w:t>
      </w:r>
    </w:p>
    <w:p w:rsidR="006233C2" w:rsidRPr="001C5620" w:rsidRDefault="00EC6E98" w:rsidP="001C5620">
      <w:pPr>
        <w:ind w:firstLine="706"/>
        <w:rPr>
          <w:sz w:val="26"/>
          <w:szCs w:val="26"/>
        </w:rPr>
      </w:pPr>
      <w:r w:rsidRPr="001C5620">
        <w:rPr>
          <w:sz w:val="26"/>
          <w:szCs w:val="26"/>
        </w:rPr>
        <w:t xml:space="preserve">E-HSDT được đánh giá là đáp ứng yêu cầu về kỹ thuật khi có tất cả các tiêu chí tổng quát đều được đánh giá là đạt. </w:t>
      </w:r>
    </w:p>
    <w:p w:rsidR="006233C2" w:rsidRPr="001C5620" w:rsidRDefault="00EC6E98" w:rsidP="001C5620">
      <w:pPr>
        <w:pStyle w:val="TOC1"/>
        <w:spacing w:before="0" w:after="0"/>
        <w:ind w:firstLine="706"/>
        <w:rPr>
          <w:sz w:val="26"/>
          <w:szCs w:val="26"/>
        </w:rPr>
      </w:pPr>
      <w:r w:rsidRPr="001C5620">
        <w:rPr>
          <w:sz w:val="26"/>
          <w:szCs w:val="26"/>
        </w:rPr>
        <w:t>Mục 4. Tiêu chuẩn đánh giá về tài chính</w:t>
      </w:r>
    </w:p>
    <w:p w:rsidR="006233C2" w:rsidRPr="001C5620" w:rsidRDefault="00EC6E98" w:rsidP="001C5620">
      <w:pPr>
        <w:ind w:firstLine="706"/>
        <w:rPr>
          <w:i/>
          <w:sz w:val="26"/>
          <w:szCs w:val="26"/>
          <w:lang w:val="nl-NL"/>
        </w:rPr>
      </w:pPr>
      <w:r w:rsidRPr="001C5620">
        <w:rPr>
          <w:i/>
          <w:sz w:val="26"/>
          <w:szCs w:val="26"/>
          <w:lang w:val="nl-NL"/>
        </w:rPr>
        <w:lastRenderedPageBreak/>
        <w:t>Căn cứ tính chất, quy mô của từng gói thầu cụ thể mà lựa chọn một trong các phương pháp dưới đây cho phù hợp:</w:t>
      </w:r>
    </w:p>
    <w:p w:rsidR="006233C2" w:rsidRPr="001C5620" w:rsidRDefault="00EC6E98" w:rsidP="001C5620">
      <w:pPr>
        <w:ind w:firstLine="706"/>
        <w:rPr>
          <w:b/>
          <w:color w:val="C00000"/>
          <w:sz w:val="26"/>
          <w:szCs w:val="26"/>
          <w:lang w:val="nl-NL"/>
        </w:rPr>
      </w:pPr>
      <w:r w:rsidRPr="001C5620">
        <w:rPr>
          <w:b/>
          <w:color w:val="C00000"/>
          <w:sz w:val="26"/>
          <w:szCs w:val="26"/>
          <w:lang w:val="nl-NL"/>
        </w:rPr>
        <w:t>4.1. Phương pháp giá thấp nhất</w:t>
      </w:r>
      <w:r w:rsidRPr="001C5620">
        <w:rPr>
          <w:rStyle w:val="FootnoteReference"/>
          <w:color w:val="C00000"/>
          <w:sz w:val="26"/>
          <w:szCs w:val="26"/>
        </w:rPr>
        <w:footnoteReference w:id="2"/>
      </w:r>
      <w:r w:rsidRPr="001C5620">
        <w:rPr>
          <w:b/>
          <w:color w:val="C00000"/>
          <w:sz w:val="26"/>
          <w:szCs w:val="26"/>
          <w:lang w:val="nl-NL"/>
        </w:rPr>
        <w:t>:</w:t>
      </w:r>
    </w:p>
    <w:p w:rsidR="006233C2" w:rsidRPr="001C5620" w:rsidRDefault="00EC6E98" w:rsidP="001C5620">
      <w:pPr>
        <w:ind w:firstLine="706"/>
        <w:rPr>
          <w:sz w:val="26"/>
          <w:szCs w:val="26"/>
          <w:lang w:val="nl-NL"/>
        </w:rPr>
      </w:pPr>
      <w:r w:rsidRPr="001C5620">
        <w:rPr>
          <w:sz w:val="26"/>
          <w:szCs w:val="26"/>
          <w:lang w:val="nl-NL"/>
        </w:rPr>
        <w:t>Cách xác định giá thấp nhất theo các bước sau đây:</w:t>
      </w:r>
    </w:p>
    <w:p w:rsidR="006233C2" w:rsidRPr="001C5620" w:rsidRDefault="00EC6E98" w:rsidP="001C5620">
      <w:pPr>
        <w:ind w:firstLine="706"/>
        <w:rPr>
          <w:color w:val="C00000"/>
          <w:sz w:val="26"/>
          <w:szCs w:val="26"/>
          <w:lang w:val="nl-NL"/>
        </w:rPr>
      </w:pPr>
      <w:r w:rsidRPr="001C5620">
        <w:rPr>
          <w:color w:val="C00000"/>
          <w:sz w:val="26"/>
          <w:szCs w:val="26"/>
          <w:lang w:val="nl-NL"/>
        </w:rPr>
        <w:t>Bước 1. Xác định giá dự thầu, giá dự thầu sau giảm giá (nếu có).</w:t>
      </w:r>
    </w:p>
    <w:p w:rsidR="006233C2" w:rsidRPr="001C5620" w:rsidRDefault="00EC6E98" w:rsidP="001C5620">
      <w:pPr>
        <w:ind w:firstLine="706"/>
        <w:rPr>
          <w:color w:val="C00000"/>
          <w:sz w:val="26"/>
          <w:szCs w:val="26"/>
          <w:lang w:val="nl-NL"/>
        </w:rPr>
      </w:pPr>
      <w:r w:rsidRPr="001C5620">
        <w:rPr>
          <w:color w:val="C00000"/>
          <w:sz w:val="26"/>
          <w:szCs w:val="26"/>
          <w:lang w:val="nl-NL"/>
        </w:rPr>
        <w:t>Bước 2. Xác định giá trị ưu đãi (nếu có) theo quy định tại Mục 28 E-CDNT.</w:t>
      </w:r>
    </w:p>
    <w:p w:rsidR="006233C2" w:rsidRPr="001C5620" w:rsidRDefault="00EC6E98" w:rsidP="001C5620">
      <w:pPr>
        <w:tabs>
          <w:tab w:val="center" w:pos="4961"/>
        </w:tabs>
        <w:ind w:firstLine="706"/>
        <w:rPr>
          <w:color w:val="C00000"/>
          <w:spacing w:val="-6"/>
          <w:sz w:val="26"/>
          <w:szCs w:val="26"/>
          <w:lang w:val="nl-NL"/>
        </w:rPr>
      </w:pPr>
      <w:r w:rsidRPr="001C5620">
        <w:rPr>
          <w:color w:val="C00000"/>
          <w:spacing w:val="-6"/>
          <w:sz w:val="26"/>
          <w:szCs w:val="26"/>
          <w:lang w:val="nl-NL"/>
        </w:rPr>
        <w:t>Bước 3. Xếp hạng nhà thầu: E-HSDT có giá dự thầu sau khi trừ đi giá trị giảm giá (nếu có), cộng giá trị ưu đãi (nếu có) thấp nhất được xếp hạng thứ nhất.</w:t>
      </w:r>
    </w:p>
    <w:p w:rsidR="00895B09" w:rsidRDefault="00895B09">
      <w:pPr>
        <w:tabs>
          <w:tab w:val="center" w:pos="4961"/>
        </w:tabs>
        <w:spacing w:before="120" w:after="120"/>
        <w:ind w:firstLine="709"/>
        <w:rPr>
          <w:color w:val="C00000"/>
          <w:spacing w:val="-6"/>
          <w:sz w:val="28"/>
          <w:szCs w:val="28"/>
          <w:lang w:val="nl-NL"/>
        </w:rPr>
      </w:pPr>
    </w:p>
    <w:p w:rsidR="00895B09" w:rsidRDefault="00895B09">
      <w:pPr>
        <w:tabs>
          <w:tab w:val="center" w:pos="4961"/>
        </w:tabs>
        <w:spacing w:before="120" w:after="120"/>
        <w:ind w:firstLine="709"/>
        <w:rPr>
          <w:color w:val="C00000"/>
          <w:spacing w:val="-6"/>
          <w:sz w:val="28"/>
          <w:szCs w:val="28"/>
          <w:lang w:val="nl-NL"/>
        </w:rPr>
      </w:pPr>
    </w:p>
    <w:p w:rsidR="00895B09" w:rsidRDefault="00895B09">
      <w:pPr>
        <w:tabs>
          <w:tab w:val="center" w:pos="4961"/>
        </w:tabs>
        <w:spacing w:before="120" w:after="120"/>
        <w:ind w:firstLine="709"/>
        <w:rPr>
          <w:color w:val="C00000"/>
          <w:spacing w:val="-6"/>
          <w:sz w:val="28"/>
          <w:szCs w:val="28"/>
          <w:lang w:val="nl-NL"/>
        </w:rPr>
      </w:pPr>
    </w:p>
    <w:p w:rsidR="007C0A9C" w:rsidRDefault="007C0A9C">
      <w:pPr>
        <w:tabs>
          <w:tab w:val="center" w:pos="4961"/>
        </w:tabs>
        <w:spacing w:before="120" w:after="120"/>
        <w:ind w:firstLine="709"/>
        <w:rPr>
          <w:color w:val="C00000"/>
          <w:spacing w:val="-6"/>
          <w:sz w:val="28"/>
          <w:szCs w:val="28"/>
          <w:lang w:val="nl-NL"/>
        </w:rPr>
        <w:sectPr w:rsidR="007C0A9C">
          <w:footerReference w:type="default" r:id="rId8"/>
          <w:footnotePr>
            <w:numRestart w:val="eachPage"/>
          </w:footnotePr>
          <w:endnotePr>
            <w:numFmt w:val="decimal"/>
          </w:endnotePr>
          <w:pgSz w:w="11906" w:h="16838"/>
          <w:pgMar w:top="1134" w:right="1134" w:bottom="1418" w:left="1701" w:header="720" w:footer="255" w:gutter="0"/>
          <w:cols w:space="720"/>
          <w:docGrid w:linePitch="381"/>
        </w:sectPr>
      </w:pPr>
    </w:p>
    <w:p w:rsidR="007C0A9C" w:rsidRPr="000F686D" w:rsidRDefault="007C0A9C" w:rsidP="007C0A9C">
      <w:pPr>
        <w:spacing w:after="120" w:line="380" w:lineRule="exact"/>
        <w:ind w:firstLine="454"/>
        <w:jc w:val="right"/>
        <w:rPr>
          <w:b/>
          <w:sz w:val="22"/>
          <w:szCs w:val="22"/>
          <w:lang w:val="sv-SE"/>
        </w:rPr>
      </w:pPr>
      <w:r w:rsidRPr="000F686D">
        <w:rPr>
          <w:rFonts w:asciiTheme="majorHAnsi" w:hAnsiTheme="majorHAnsi" w:cstheme="majorHAnsi"/>
          <w:sz w:val="22"/>
          <w:szCs w:val="22"/>
          <w:lang w:val="es-ES"/>
        </w:rPr>
        <w:lastRenderedPageBreak/>
        <w:tab/>
      </w:r>
      <w:bookmarkStart w:id="0" w:name="_Toc259105133"/>
      <w:bookmarkStart w:id="1" w:name="_Toc401644265"/>
      <w:bookmarkStart w:id="2" w:name="_Toc421881148"/>
      <w:r w:rsidRPr="000F686D">
        <w:rPr>
          <w:b/>
          <w:sz w:val="22"/>
          <w:szCs w:val="22"/>
          <w:lang w:val="sv-SE"/>
        </w:rPr>
        <w:t xml:space="preserve">Mẫu số </w:t>
      </w:r>
      <w:bookmarkEnd w:id="0"/>
      <w:bookmarkEnd w:id="1"/>
      <w:bookmarkEnd w:id="2"/>
      <w:r w:rsidRPr="000F686D">
        <w:rPr>
          <w:b/>
          <w:sz w:val="22"/>
          <w:szCs w:val="22"/>
          <w:lang w:val="sv-SE"/>
        </w:rPr>
        <w:t xml:space="preserve">01 </w:t>
      </w:r>
    </w:p>
    <w:p w:rsidR="007C0A9C" w:rsidRPr="007C0A9C" w:rsidRDefault="007C0A9C" w:rsidP="007C0A9C">
      <w:pPr>
        <w:spacing w:line="380" w:lineRule="exact"/>
        <w:ind w:firstLine="6"/>
        <w:jc w:val="center"/>
        <w:rPr>
          <w:b/>
          <w:szCs w:val="22"/>
          <w:lang w:val="sv-SE"/>
        </w:rPr>
      </w:pPr>
      <w:bookmarkStart w:id="3" w:name="_Toc258849084"/>
      <w:bookmarkStart w:id="4" w:name="_Toc259105134"/>
      <w:bookmarkStart w:id="5" w:name="_Toc259105284"/>
      <w:bookmarkStart w:id="6" w:name="_Toc401644266"/>
      <w:bookmarkStart w:id="7" w:name="_Toc404067799"/>
      <w:bookmarkStart w:id="8" w:name="_Toc421881149"/>
      <w:r w:rsidRPr="007C0A9C">
        <w:rPr>
          <w:b/>
          <w:szCs w:val="22"/>
          <w:lang w:val="sv-SE"/>
        </w:rPr>
        <w:t xml:space="preserve">ĐÁNH GIÁ </w:t>
      </w:r>
      <w:bookmarkEnd w:id="3"/>
      <w:bookmarkEnd w:id="4"/>
      <w:bookmarkEnd w:id="5"/>
      <w:r w:rsidRPr="007C0A9C">
        <w:rPr>
          <w:b/>
          <w:szCs w:val="22"/>
          <w:lang w:val="sv-SE"/>
        </w:rPr>
        <w:t>TÍNH HỢP LỆ CỦA E-HSDT</w:t>
      </w:r>
      <w:bookmarkEnd w:id="6"/>
      <w:bookmarkEnd w:id="7"/>
      <w:bookmarkEnd w:id="8"/>
    </w:p>
    <w:tbl>
      <w:tblPr>
        <w:tblW w:w="9844" w:type="pct"/>
        <w:tblInd w:w="-425" w:type="dxa"/>
        <w:tblLook w:val="04A0" w:firstRow="1" w:lastRow="0" w:firstColumn="1" w:lastColumn="0" w:noHBand="0" w:noVBand="1"/>
      </w:tblPr>
      <w:tblGrid>
        <w:gridCol w:w="838"/>
        <w:gridCol w:w="2088"/>
        <w:gridCol w:w="4066"/>
        <w:gridCol w:w="1489"/>
        <w:gridCol w:w="1658"/>
        <w:gridCol w:w="1111"/>
        <w:gridCol w:w="1861"/>
        <w:gridCol w:w="2018"/>
        <w:gridCol w:w="1669"/>
        <w:gridCol w:w="12285"/>
      </w:tblGrid>
      <w:tr w:rsidR="007C0A9C" w:rsidRPr="007C0A9C" w:rsidTr="005820EE">
        <w:trPr>
          <w:trHeight w:val="368"/>
        </w:trPr>
        <w:tc>
          <w:tcPr>
            <w:tcW w:w="503" w:type="pct"/>
            <w:gridSpan w:val="2"/>
            <w:hideMark/>
          </w:tcPr>
          <w:p w:rsidR="007C0A9C" w:rsidRPr="007C0A9C" w:rsidRDefault="007C0A9C" w:rsidP="005820EE">
            <w:pPr>
              <w:spacing w:line="22" w:lineRule="atLeast"/>
              <w:rPr>
                <w:b/>
                <w:szCs w:val="24"/>
              </w:rPr>
            </w:pPr>
            <w:r w:rsidRPr="007C0A9C">
              <w:rPr>
                <w:b/>
                <w:szCs w:val="24"/>
              </w:rPr>
              <w:t>Gói thầu:</w:t>
            </w:r>
          </w:p>
        </w:tc>
        <w:tc>
          <w:tcPr>
            <w:tcW w:w="2385" w:type="pct"/>
            <w:gridSpan w:val="7"/>
          </w:tcPr>
          <w:p w:rsidR="007C0A9C" w:rsidRPr="007C0A9C" w:rsidRDefault="007C0A9C" w:rsidP="005820EE">
            <w:pPr>
              <w:tabs>
                <w:tab w:val="left" w:pos="1985"/>
              </w:tabs>
              <w:spacing w:line="22" w:lineRule="atLeast"/>
              <w:jc w:val="left"/>
              <w:rPr>
                <w:b/>
                <w:szCs w:val="24"/>
              </w:rPr>
            </w:pPr>
            <w:r w:rsidRPr="007C0A9C">
              <w:rPr>
                <w:b/>
                <w:color w:val="C00000"/>
                <w:szCs w:val="24"/>
                <w:lang w:val="vi-VN"/>
              </w:rPr>
              <w:t>Gói thầu số 01: Hóa chất xét nghiệm máy sinh hóa</w:t>
            </w:r>
          </w:p>
        </w:tc>
        <w:tc>
          <w:tcPr>
            <w:tcW w:w="2112" w:type="pct"/>
          </w:tcPr>
          <w:p w:rsidR="007C0A9C" w:rsidRPr="007C0A9C" w:rsidRDefault="007C0A9C" w:rsidP="005820EE">
            <w:pPr>
              <w:spacing w:line="22" w:lineRule="atLeast"/>
              <w:rPr>
                <w:sz w:val="22"/>
                <w:szCs w:val="22"/>
              </w:rPr>
            </w:pPr>
          </w:p>
        </w:tc>
      </w:tr>
      <w:tr w:rsidR="007C0A9C" w:rsidRPr="007C0A9C" w:rsidTr="005820EE">
        <w:trPr>
          <w:trHeight w:val="415"/>
        </w:trPr>
        <w:tc>
          <w:tcPr>
            <w:tcW w:w="503" w:type="pct"/>
            <w:gridSpan w:val="2"/>
            <w:hideMark/>
          </w:tcPr>
          <w:p w:rsidR="007C0A9C" w:rsidRPr="007C0A9C" w:rsidRDefault="007C0A9C" w:rsidP="005820EE">
            <w:pPr>
              <w:spacing w:line="22" w:lineRule="atLeast"/>
              <w:rPr>
                <w:b/>
                <w:szCs w:val="24"/>
              </w:rPr>
            </w:pPr>
            <w:r w:rsidRPr="007C0A9C">
              <w:rPr>
                <w:b/>
                <w:szCs w:val="24"/>
              </w:rPr>
              <w:t>Dự án/dự toán mua sắm:</w:t>
            </w:r>
          </w:p>
        </w:tc>
        <w:tc>
          <w:tcPr>
            <w:tcW w:w="2385" w:type="pct"/>
            <w:gridSpan w:val="7"/>
          </w:tcPr>
          <w:p w:rsidR="007C0A9C" w:rsidRPr="007C0A9C" w:rsidRDefault="007C0A9C" w:rsidP="005820EE">
            <w:pPr>
              <w:tabs>
                <w:tab w:val="left" w:pos="1985"/>
              </w:tabs>
              <w:spacing w:line="22" w:lineRule="atLeast"/>
              <w:jc w:val="left"/>
              <w:rPr>
                <w:b/>
                <w:szCs w:val="24"/>
              </w:rPr>
            </w:pPr>
            <w:r w:rsidRPr="007C0A9C">
              <w:rPr>
                <w:b/>
                <w:bCs/>
                <w:color w:val="C00000"/>
                <w:szCs w:val="24"/>
              </w:rPr>
              <w:t xml:space="preserve">Hóa chất, sinh phẩm, vật tư tiêu hao, vật tư y tế của Bệnh viện đa khoa Cái Nước giai đoạn 2026 </w:t>
            </w:r>
            <w:r w:rsidRPr="007C0A9C">
              <w:rPr>
                <w:bCs/>
                <w:color w:val="C00000"/>
                <w:szCs w:val="24"/>
              </w:rPr>
              <w:t>-</w:t>
            </w:r>
            <w:r w:rsidRPr="007C0A9C">
              <w:rPr>
                <w:b/>
                <w:bCs/>
                <w:color w:val="C00000"/>
                <w:szCs w:val="24"/>
              </w:rPr>
              <w:t xml:space="preserve"> 2027</w:t>
            </w:r>
          </w:p>
        </w:tc>
        <w:tc>
          <w:tcPr>
            <w:tcW w:w="2112" w:type="pct"/>
          </w:tcPr>
          <w:p w:rsidR="007C0A9C" w:rsidRPr="007C0A9C" w:rsidRDefault="007C0A9C" w:rsidP="005820EE">
            <w:pPr>
              <w:spacing w:line="22" w:lineRule="atLeast"/>
              <w:rPr>
                <w:sz w:val="22"/>
                <w:szCs w:val="22"/>
              </w:rPr>
            </w:pPr>
          </w:p>
        </w:tc>
      </w:tr>
      <w:tr w:rsidR="007C0A9C" w:rsidRPr="007C0A9C" w:rsidTr="005820EE">
        <w:trPr>
          <w:trHeight w:val="414"/>
        </w:trPr>
        <w:tc>
          <w:tcPr>
            <w:tcW w:w="503" w:type="pct"/>
            <w:gridSpan w:val="2"/>
            <w:hideMark/>
          </w:tcPr>
          <w:p w:rsidR="007C0A9C" w:rsidRPr="007C0A9C" w:rsidRDefault="007C0A9C" w:rsidP="005820EE">
            <w:pPr>
              <w:spacing w:line="22" w:lineRule="atLeast"/>
              <w:rPr>
                <w:b/>
                <w:szCs w:val="24"/>
                <w:lang w:val="es-ES"/>
              </w:rPr>
            </w:pPr>
            <w:r w:rsidRPr="007C0A9C">
              <w:rPr>
                <w:b/>
                <w:szCs w:val="24"/>
                <w:lang w:val="es-ES"/>
              </w:rPr>
              <w:t>Nhà thầu:</w:t>
            </w:r>
            <w:r w:rsidRPr="007C0A9C">
              <w:rPr>
                <w:szCs w:val="24"/>
                <w:lang w:val="es-ES"/>
              </w:rPr>
              <w:t xml:space="preserve"> </w:t>
            </w:r>
          </w:p>
        </w:tc>
        <w:tc>
          <w:tcPr>
            <w:tcW w:w="2385" w:type="pct"/>
            <w:gridSpan w:val="7"/>
          </w:tcPr>
          <w:p w:rsidR="007C0A9C" w:rsidRPr="007C0A9C" w:rsidRDefault="007C0A9C" w:rsidP="005820EE">
            <w:pPr>
              <w:spacing w:line="22" w:lineRule="atLeast"/>
              <w:rPr>
                <w:szCs w:val="24"/>
                <w:lang w:val="es-ES"/>
              </w:rPr>
            </w:pPr>
            <w:r w:rsidRPr="007C0A9C">
              <w:rPr>
                <w:i/>
                <w:iCs/>
                <w:szCs w:val="24"/>
                <w:lang w:val="pt-BR"/>
              </w:rPr>
              <w:t xml:space="preserve">_____ </w:t>
            </w:r>
          </w:p>
        </w:tc>
        <w:tc>
          <w:tcPr>
            <w:tcW w:w="2112" w:type="pct"/>
          </w:tcPr>
          <w:p w:rsidR="007C0A9C" w:rsidRPr="007C0A9C" w:rsidRDefault="007C0A9C" w:rsidP="005820EE">
            <w:pPr>
              <w:spacing w:line="22" w:lineRule="atLeast"/>
              <w:rPr>
                <w:sz w:val="22"/>
                <w:szCs w:val="22"/>
                <w:lang w:val="es-ES"/>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400" w:type="pct"/>
          <w:trHeight w:val="692"/>
        </w:trPr>
        <w:tc>
          <w:tcPr>
            <w:tcW w:w="144" w:type="pct"/>
            <w:vMerge w:val="restart"/>
            <w:tcBorders>
              <w:top w:val="single" w:sz="4" w:space="0" w:color="auto"/>
              <w:left w:val="single" w:sz="4" w:space="0" w:color="auto"/>
              <w:right w:val="single" w:sz="4" w:space="0" w:color="auto"/>
            </w:tcBorders>
            <w:vAlign w:val="center"/>
          </w:tcPr>
          <w:p w:rsidR="007C0A9C" w:rsidRPr="007C0A9C" w:rsidRDefault="007C0A9C" w:rsidP="005820EE">
            <w:pPr>
              <w:spacing w:before="20" w:after="20" w:line="300" w:lineRule="exact"/>
              <w:jc w:val="center"/>
              <w:rPr>
                <w:b/>
                <w:bCs/>
                <w:sz w:val="22"/>
                <w:szCs w:val="22"/>
                <w:lang w:val="es-ES"/>
              </w:rPr>
            </w:pPr>
            <w:bookmarkStart w:id="9" w:name="_Hlk155083970"/>
            <w:r w:rsidRPr="007C0A9C">
              <w:rPr>
                <w:b/>
                <w:bCs/>
                <w:sz w:val="22"/>
                <w:szCs w:val="22"/>
                <w:lang w:val="es-ES"/>
              </w:rPr>
              <w:t>Stt</w:t>
            </w:r>
          </w:p>
        </w:tc>
        <w:tc>
          <w:tcPr>
            <w:tcW w:w="1058" w:type="pct"/>
            <w:gridSpan w:val="2"/>
            <w:vMerge w:val="restart"/>
            <w:tcBorders>
              <w:top w:val="single" w:sz="4" w:space="0" w:color="auto"/>
              <w:left w:val="single" w:sz="4" w:space="0" w:color="auto"/>
              <w:right w:val="single" w:sz="4" w:space="0" w:color="auto"/>
            </w:tcBorders>
            <w:vAlign w:val="center"/>
          </w:tcPr>
          <w:p w:rsidR="007C0A9C" w:rsidRPr="007C0A9C" w:rsidRDefault="007C0A9C" w:rsidP="005820EE">
            <w:pPr>
              <w:spacing w:before="20" w:after="20" w:line="300" w:lineRule="exact"/>
              <w:jc w:val="center"/>
              <w:rPr>
                <w:b/>
                <w:bCs/>
                <w:sz w:val="22"/>
                <w:szCs w:val="22"/>
                <w:vertAlign w:val="superscript"/>
                <w:lang w:val="sv-SE"/>
              </w:rPr>
            </w:pPr>
            <w:r w:rsidRPr="007C0A9C">
              <w:rPr>
                <w:b/>
                <w:sz w:val="22"/>
                <w:szCs w:val="22"/>
                <w:lang w:val="sv-SE"/>
              </w:rPr>
              <w:t xml:space="preserve">Nội dung đánh giá trong E-HSMT </w:t>
            </w:r>
          </w:p>
        </w:tc>
        <w:tc>
          <w:tcPr>
            <w:tcW w:w="540" w:type="pct"/>
            <w:gridSpan w:val="2"/>
            <w:vMerge w:val="restart"/>
            <w:tcBorders>
              <w:top w:val="single" w:sz="4" w:space="0" w:color="auto"/>
              <w:left w:val="single" w:sz="4" w:space="0" w:color="auto"/>
              <w:right w:val="single" w:sz="4" w:space="0" w:color="auto"/>
            </w:tcBorders>
          </w:tcPr>
          <w:p w:rsidR="007C0A9C" w:rsidRPr="007C0A9C" w:rsidRDefault="007C0A9C" w:rsidP="005820EE">
            <w:pPr>
              <w:spacing w:before="20" w:after="20" w:line="300" w:lineRule="exact"/>
              <w:jc w:val="center"/>
              <w:rPr>
                <w:b/>
                <w:sz w:val="22"/>
                <w:szCs w:val="22"/>
                <w:vertAlign w:val="superscript"/>
              </w:rPr>
            </w:pPr>
            <w:r w:rsidRPr="007C0A9C">
              <w:rPr>
                <w:b/>
                <w:bCs/>
                <w:sz w:val="22"/>
                <w:szCs w:val="22"/>
                <w:lang w:val="pt-BR"/>
              </w:rPr>
              <w:t>Kết quả đánh giá tự động từ Hệ thống (Căn cứ cam kết trong E–HSDT)</w:t>
            </w:r>
          </w:p>
        </w:tc>
        <w:tc>
          <w:tcPr>
            <w:tcW w:w="511" w:type="pct"/>
            <w:gridSpan w:val="2"/>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before="20" w:after="20" w:line="300" w:lineRule="exact"/>
              <w:jc w:val="center"/>
              <w:rPr>
                <w:b/>
                <w:bCs/>
                <w:sz w:val="22"/>
                <w:szCs w:val="22"/>
                <w:vertAlign w:val="superscript"/>
                <w:lang w:val="sv-SE"/>
              </w:rPr>
            </w:pPr>
            <w:r w:rsidRPr="007C0A9C">
              <w:rPr>
                <w:b/>
                <w:sz w:val="22"/>
                <w:szCs w:val="22"/>
              </w:rPr>
              <w:t>Kết quả đánh giá của chuyên gia</w:t>
            </w:r>
            <w:r w:rsidRPr="007C0A9C">
              <w:rPr>
                <w:b/>
                <w:sz w:val="22"/>
                <w:szCs w:val="22"/>
                <w:vertAlign w:val="superscript"/>
              </w:rPr>
              <w:t>(9)</w:t>
            </w:r>
          </w:p>
        </w:tc>
        <w:tc>
          <w:tcPr>
            <w:tcW w:w="347" w:type="pct"/>
            <w:vMerge w:val="restart"/>
            <w:tcBorders>
              <w:top w:val="single" w:sz="4" w:space="0" w:color="auto"/>
              <w:left w:val="single" w:sz="4" w:space="0" w:color="auto"/>
              <w:right w:val="single" w:sz="4" w:space="0" w:color="auto"/>
            </w:tcBorders>
            <w:vAlign w:val="center"/>
          </w:tcPr>
          <w:p w:rsidR="007C0A9C" w:rsidRPr="007C0A9C" w:rsidRDefault="007C0A9C" w:rsidP="005820EE">
            <w:pPr>
              <w:spacing w:before="20" w:after="20" w:line="300" w:lineRule="exact"/>
              <w:jc w:val="center"/>
              <w:rPr>
                <w:b/>
                <w:sz w:val="22"/>
                <w:szCs w:val="22"/>
                <w:lang w:val="sv-SE"/>
              </w:rPr>
            </w:pPr>
            <w:r w:rsidRPr="007C0A9C">
              <w:rPr>
                <w:b/>
                <w:sz w:val="22"/>
                <w:szCs w:val="22"/>
                <w:lang w:val="sv-SE"/>
              </w:rPr>
              <w:t>Nhận xét của chuyên gia (nếu có)</w:t>
            </w: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400" w:type="pct"/>
          <w:trHeight w:val="179"/>
        </w:trPr>
        <w:tc>
          <w:tcPr>
            <w:tcW w:w="144" w:type="pct"/>
            <w:vMerge/>
            <w:tcBorders>
              <w:left w:val="single" w:sz="4" w:space="0" w:color="auto"/>
              <w:right w:val="single" w:sz="4" w:space="0" w:color="auto"/>
            </w:tcBorders>
            <w:vAlign w:val="center"/>
          </w:tcPr>
          <w:p w:rsidR="007C0A9C" w:rsidRPr="007C0A9C" w:rsidRDefault="007C0A9C" w:rsidP="005820EE">
            <w:pPr>
              <w:spacing w:before="20" w:after="20" w:line="300" w:lineRule="exact"/>
              <w:jc w:val="center"/>
              <w:rPr>
                <w:b/>
                <w:bCs/>
                <w:sz w:val="22"/>
                <w:szCs w:val="22"/>
                <w:lang w:val="sv-SE"/>
              </w:rPr>
            </w:pPr>
          </w:p>
        </w:tc>
        <w:tc>
          <w:tcPr>
            <w:tcW w:w="1058" w:type="pct"/>
            <w:gridSpan w:val="2"/>
            <w:vMerge/>
            <w:tcBorders>
              <w:left w:val="single" w:sz="4" w:space="0" w:color="auto"/>
              <w:right w:val="single" w:sz="4" w:space="0" w:color="auto"/>
            </w:tcBorders>
            <w:vAlign w:val="center"/>
          </w:tcPr>
          <w:p w:rsidR="007C0A9C" w:rsidRPr="007C0A9C" w:rsidDel="00172EC4" w:rsidRDefault="007C0A9C" w:rsidP="005820EE">
            <w:pPr>
              <w:spacing w:before="20" w:after="20" w:line="300" w:lineRule="exact"/>
              <w:rPr>
                <w:b/>
                <w:bCs/>
                <w:sz w:val="22"/>
                <w:szCs w:val="22"/>
                <w:lang w:val="sv-SE"/>
              </w:rPr>
            </w:pPr>
          </w:p>
        </w:tc>
        <w:tc>
          <w:tcPr>
            <w:tcW w:w="540" w:type="pct"/>
            <w:gridSpan w:val="2"/>
            <w:vMerge/>
            <w:tcBorders>
              <w:left w:val="single" w:sz="4" w:space="0" w:color="auto"/>
              <w:bottom w:val="single" w:sz="4" w:space="0" w:color="auto"/>
              <w:right w:val="single" w:sz="4" w:space="0" w:color="auto"/>
            </w:tcBorders>
          </w:tcPr>
          <w:p w:rsidR="007C0A9C" w:rsidRPr="007C0A9C" w:rsidRDefault="007C0A9C" w:rsidP="005820EE">
            <w:pPr>
              <w:spacing w:before="20" w:after="20" w:line="300" w:lineRule="exact"/>
              <w:jc w:val="center"/>
              <w:rPr>
                <w:b/>
                <w:sz w:val="22"/>
                <w:szCs w:val="22"/>
                <w:lang w:val="sv-SE"/>
              </w:rPr>
            </w:pPr>
          </w:p>
        </w:tc>
        <w:tc>
          <w:tcPr>
            <w:tcW w:w="191" w:type="pct"/>
            <w:tcBorders>
              <w:top w:val="single" w:sz="4" w:space="0" w:color="auto"/>
              <w:left w:val="single" w:sz="4" w:space="0" w:color="auto"/>
              <w:right w:val="single" w:sz="4" w:space="0" w:color="auto"/>
            </w:tcBorders>
            <w:vAlign w:val="center"/>
          </w:tcPr>
          <w:p w:rsidR="007C0A9C" w:rsidRPr="007C0A9C" w:rsidRDefault="007C0A9C" w:rsidP="005820EE">
            <w:pPr>
              <w:spacing w:before="20" w:after="20" w:line="300" w:lineRule="exact"/>
              <w:jc w:val="center"/>
              <w:rPr>
                <w:b/>
                <w:bCs/>
                <w:sz w:val="22"/>
                <w:szCs w:val="22"/>
                <w:lang w:val="es-ES"/>
              </w:rPr>
            </w:pPr>
            <w:r w:rsidRPr="007C0A9C">
              <w:rPr>
                <w:b/>
                <w:sz w:val="22"/>
                <w:szCs w:val="22"/>
                <w:lang w:val="es-ES"/>
              </w:rPr>
              <w:t>Đạt</w:t>
            </w:r>
          </w:p>
        </w:tc>
        <w:tc>
          <w:tcPr>
            <w:tcW w:w="320" w:type="pct"/>
            <w:tcBorders>
              <w:top w:val="single" w:sz="4" w:space="0" w:color="auto"/>
              <w:left w:val="single" w:sz="4" w:space="0" w:color="auto"/>
              <w:right w:val="single" w:sz="4" w:space="0" w:color="auto"/>
            </w:tcBorders>
            <w:vAlign w:val="center"/>
          </w:tcPr>
          <w:p w:rsidR="007C0A9C" w:rsidRPr="007C0A9C" w:rsidRDefault="007C0A9C" w:rsidP="005820EE">
            <w:pPr>
              <w:spacing w:before="20" w:after="20" w:line="300" w:lineRule="exact"/>
              <w:jc w:val="center"/>
              <w:rPr>
                <w:b/>
                <w:sz w:val="22"/>
                <w:szCs w:val="22"/>
                <w:lang w:val="es-ES"/>
              </w:rPr>
            </w:pPr>
            <w:r w:rsidRPr="007C0A9C">
              <w:rPr>
                <w:b/>
                <w:sz w:val="22"/>
                <w:szCs w:val="22"/>
                <w:lang w:val="es-ES"/>
              </w:rPr>
              <w:t>Không đạt</w:t>
            </w:r>
          </w:p>
        </w:tc>
        <w:tc>
          <w:tcPr>
            <w:tcW w:w="347" w:type="pct"/>
            <w:vMerge/>
            <w:tcBorders>
              <w:left w:val="single" w:sz="4" w:space="0" w:color="auto"/>
              <w:right w:val="single" w:sz="4" w:space="0" w:color="auto"/>
            </w:tcBorders>
          </w:tcPr>
          <w:p w:rsidR="007C0A9C" w:rsidRPr="007C0A9C" w:rsidRDefault="007C0A9C" w:rsidP="005820EE">
            <w:pPr>
              <w:spacing w:before="20" w:after="20" w:line="300" w:lineRule="exact"/>
              <w:jc w:val="center"/>
              <w:rPr>
                <w:b/>
                <w:sz w:val="22"/>
                <w:szCs w:val="22"/>
                <w:lang w:val="es-ES"/>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400" w:type="pct"/>
          <w:trHeight w:val="375"/>
        </w:trPr>
        <w:tc>
          <w:tcPr>
            <w:tcW w:w="144" w:type="pct"/>
            <w:vMerge/>
            <w:tcBorders>
              <w:left w:val="single" w:sz="4" w:space="0" w:color="auto"/>
              <w:bottom w:val="single" w:sz="4" w:space="0" w:color="auto"/>
              <w:right w:val="single" w:sz="4" w:space="0" w:color="auto"/>
            </w:tcBorders>
            <w:vAlign w:val="center"/>
          </w:tcPr>
          <w:p w:rsidR="007C0A9C" w:rsidRPr="007C0A9C" w:rsidRDefault="007C0A9C" w:rsidP="005820EE">
            <w:pPr>
              <w:spacing w:before="20" w:after="20" w:line="300" w:lineRule="exact"/>
              <w:jc w:val="center"/>
              <w:rPr>
                <w:sz w:val="22"/>
                <w:szCs w:val="22"/>
                <w:lang w:val="pt-BR"/>
              </w:rPr>
            </w:pPr>
          </w:p>
        </w:tc>
        <w:tc>
          <w:tcPr>
            <w:tcW w:w="1058" w:type="pct"/>
            <w:gridSpan w:val="2"/>
            <w:vMerge/>
            <w:tcBorders>
              <w:left w:val="single" w:sz="4" w:space="0" w:color="auto"/>
              <w:bottom w:val="single" w:sz="4" w:space="0" w:color="auto"/>
              <w:right w:val="single" w:sz="4" w:space="0" w:color="auto"/>
            </w:tcBorders>
            <w:vAlign w:val="center"/>
          </w:tcPr>
          <w:p w:rsidR="007C0A9C" w:rsidRPr="007C0A9C" w:rsidRDefault="007C0A9C" w:rsidP="005820EE">
            <w:pPr>
              <w:spacing w:before="20" w:after="20" w:line="300" w:lineRule="exact"/>
              <w:rPr>
                <w:sz w:val="22"/>
                <w:szCs w:val="22"/>
                <w:lang w:val="pt-BR"/>
              </w:rPr>
            </w:pPr>
          </w:p>
        </w:tc>
        <w:tc>
          <w:tcPr>
            <w:tcW w:w="256"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before="20" w:after="20" w:line="300" w:lineRule="exact"/>
              <w:jc w:val="center"/>
              <w:rPr>
                <w:b/>
                <w:iCs/>
                <w:sz w:val="22"/>
                <w:szCs w:val="22"/>
                <w:lang w:val="pt-BR"/>
              </w:rPr>
            </w:pPr>
            <w:r w:rsidRPr="007C0A9C">
              <w:rPr>
                <w:b/>
                <w:iCs/>
                <w:sz w:val="22"/>
                <w:szCs w:val="22"/>
                <w:lang w:val="pt-BR"/>
              </w:rPr>
              <w:t>Đạt</w:t>
            </w:r>
          </w:p>
        </w:tc>
        <w:tc>
          <w:tcPr>
            <w:tcW w:w="285"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before="20" w:after="20" w:line="300" w:lineRule="exact"/>
              <w:jc w:val="center"/>
              <w:rPr>
                <w:b/>
                <w:iCs/>
                <w:sz w:val="22"/>
                <w:szCs w:val="22"/>
                <w:lang w:val="pt-BR"/>
              </w:rPr>
            </w:pPr>
            <w:r w:rsidRPr="007C0A9C">
              <w:rPr>
                <w:b/>
                <w:iCs/>
                <w:sz w:val="22"/>
                <w:szCs w:val="22"/>
                <w:lang w:val="pt-BR"/>
              </w:rPr>
              <w:t>Không đạt</w:t>
            </w:r>
          </w:p>
        </w:tc>
        <w:tc>
          <w:tcPr>
            <w:tcW w:w="191" w:type="pct"/>
            <w:tcBorders>
              <w:left w:val="single" w:sz="4" w:space="0" w:color="auto"/>
              <w:bottom w:val="single" w:sz="4" w:space="0" w:color="auto"/>
              <w:right w:val="single" w:sz="4" w:space="0" w:color="auto"/>
            </w:tcBorders>
            <w:vAlign w:val="center"/>
          </w:tcPr>
          <w:p w:rsidR="007C0A9C" w:rsidRPr="007C0A9C" w:rsidRDefault="007C0A9C" w:rsidP="005820EE">
            <w:pPr>
              <w:spacing w:before="20" w:after="20" w:line="300" w:lineRule="exact"/>
              <w:rPr>
                <w:b/>
                <w:i/>
                <w:iCs/>
                <w:sz w:val="22"/>
                <w:szCs w:val="22"/>
                <w:lang w:val="pt-BR"/>
              </w:rPr>
            </w:pPr>
          </w:p>
        </w:tc>
        <w:tc>
          <w:tcPr>
            <w:tcW w:w="320" w:type="pct"/>
            <w:tcBorders>
              <w:left w:val="single" w:sz="4" w:space="0" w:color="auto"/>
              <w:bottom w:val="single" w:sz="4" w:space="0" w:color="auto"/>
              <w:right w:val="single" w:sz="4" w:space="0" w:color="auto"/>
            </w:tcBorders>
          </w:tcPr>
          <w:p w:rsidR="007C0A9C" w:rsidRPr="007C0A9C" w:rsidRDefault="007C0A9C" w:rsidP="005820EE">
            <w:pPr>
              <w:spacing w:before="20" w:after="20" w:line="300" w:lineRule="exact"/>
              <w:rPr>
                <w:b/>
                <w:i/>
                <w:iCs/>
                <w:sz w:val="22"/>
                <w:szCs w:val="22"/>
                <w:lang w:val="pt-BR"/>
              </w:rPr>
            </w:pPr>
          </w:p>
        </w:tc>
        <w:tc>
          <w:tcPr>
            <w:tcW w:w="347" w:type="pct"/>
            <w:vMerge/>
            <w:tcBorders>
              <w:left w:val="single" w:sz="4" w:space="0" w:color="auto"/>
              <w:bottom w:val="single" w:sz="4" w:space="0" w:color="auto"/>
              <w:right w:val="single" w:sz="4" w:space="0" w:color="auto"/>
            </w:tcBorders>
          </w:tcPr>
          <w:p w:rsidR="007C0A9C" w:rsidRPr="007C0A9C" w:rsidRDefault="007C0A9C" w:rsidP="005820EE">
            <w:pPr>
              <w:spacing w:before="20" w:after="20" w:line="300" w:lineRule="exact"/>
              <w:rPr>
                <w:b/>
                <w:i/>
                <w:iCs/>
                <w:sz w:val="22"/>
                <w:szCs w:val="22"/>
                <w:lang w:val="pt-BR"/>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400" w:type="pct"/>
          <w:trHeight w:val="375"/>
        </w:trPr>
        <w:tc>
          <w:tcPr>
            <w:tcW w:w="144"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before="20" w:after="20" w:line="300" w:lineRule="exact"/>
              <w:jc w:val="center"/>
              <w:rPr>
                <w:sz w:val="22"/>
                <w:szCs w:val="22"/>
                <w:lang w:val="pt-BR"/>
              </w:rPr>
            </w:pPr>
            <w:r w:rsidRPr="007C0A9C">
              <w:rPr>
                <w:sz w:val="22"/>
                <w:szCs w:val="22"/>
                <w:lang w:val="pt-BR"/>
              </w:rPr>
              <w:t>1</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sz w:val="20"/>
                <w:szCs w:val="22"/>
                <w:vertAlign w:val="superscript"/>
                <w:lang w:val="pt-BR"/>
              </w:rPr>
            </w:pPr>
            <w:r w:rsidRPr="007C0A9C">
              <w:rPr>
                <w:sz w:val="20"/>
                <w:szCs w:val="22"/>
                <w:lang w:val="pt-BR"/>
              </w:rPr>
              <w:t>Bảo đảm dự thầu</w:t>
            </w:r>
            <w:r w:rsidRPr="007C0A9C">
              <w:rPr>
                <w:sz w:val="20"/>
                <w:szCs w:val="22"/>
                <w:vertAlign w:val="superscript"/>
                <w:lang w:val="pt-BR"/>
              </w:rPr>
              <w:t>(1)</w:t>
            </w:r>
          </w:p>
        </w:tc>
        <w:tc>
          <w:tcPr>
            <w:tcW w:w="256"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i/>
                <w:iCs/>
                <w:sz w:val="22"/>
                <w:szCs w:val="22"/>
                <w:lang w:val="pt-BR"/>
              </w:rPr>
            </w:pPr>
          </w:p>
        </w:tc>
        <w:tc>
          <w:tcPr>
            <w:tcW w:w="285"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i/>
                <w:iCs/>
                <w:sz w:val="22"/>
                <w:szCs w:val="22"/>
                <w:lang w:val="pt-BR"/>
              </w:rPr>
            </w:pPr>
          </w:p>
        </w:tc>
        <w:tc>
          <w:tcPr>
            <w:tcW w:w="191"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b/>
                <w:i/>
                <w:iCs/>
                <w:sz w:val="22"/>
                <w:szCs w:val="22"/>
                <w:lang w:val="pt-BR"/>
              </w:rPr>
            </w:pPr>
          </w:p>
        </w:tc>
        <w:tc>
          <w:tcPr>
            <w:tcW w:w="320"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i/>
                <w:iCs/>
                <w:sz w:val="22"/>
                <w:szCs w:val="22"/>
                <w:lang w:val="pt-BR"/>
              </w:rPr>
            </w:pPr>
          </w:p>
        </w:tc>
        <w:tc>
          <w:tcPr>
            <w:tcW w:w="347"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i/>
                <w:iCs/>
                <w:sz w:val="22"/>
                <w:szCs w:val="22"/>
                <w:lang w:val="pt-BR"/>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400" w:type="pct"/>
          <w:trHeight w:val="354"/>
        </w:trPr>
        <w:tc>
          <w:tcPr>
            <w:tcW w:w="144"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before="20" w:after="20" w:line="300" w:lineRule="exact"/>
              <w:jc w:val="center"/>
              <w:rPr>
                <w:sz w:val="22"/>
                <w:szCs w:val="22"/>
                <w:lang w:val="es-ES"/>
              </w:rPr>
            </w:pPr>
            <w:r w:rsidRPr="007C0A9C">
              <w:rPr>
                <w:sz w:val="22"/>
                <w:szCs w:val="22"/>
                <w:lang w:val="es-ES"/>
              </w:rPr>
              <w:t>2</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bCs/>
                <w:sz w:val="20"/>
                <w:szCs w:val="22"/>
                <w:vertAlign w:val="superscript"/>
                <w:lang w:val="de-DE"/>
              </w:rPr>
            </w:pPr>
            <w:r w:rsidRPr="007C0A9C">
              <w:rPr>
                <w:sz w:val="20"/>
                <w:szCs w:val="22"/>
                <w:lang w:val="es-ES"/>
              </w:rPr>
              <w:t>Thỏa thuận liên danh (đối với nhà thầu liên danh)</w:t>
            </w:r>
            <w:r w:rsidRPr="007C0A9C">
              <w:rPr>
                <w:sz w:val="20"/>
                <w:szCs w:val="22"/>
                <w:vertAlign w:val="superscript"/>
                <w:lang w:val="es-ES"/>
              </w:rPr>
              <w:t>(2)</w:t>
            </w:r>
          </w:p>
        </w:tc>
        <w:tc>
          <w:tcPr>
            <w:tcW w:w="256"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es-ES"/>
              </w:rPr>
            </w:pPr>
          </w:p>
        </w:tc>
        <w:tc>
          <w:tcPr>
            <w:tcW w:w="285"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ind w:left="517" w:hanging="517"/>
              <w:rPr>
                <w:b/>
                <w:bCs/>
                <w:sz w:val="22"/>
                <w:szCs w:val="22"/>
                <w:lang w:val="es-ES"/>
              </w:rPr>
            </w:pPr>
          </w:p>
        </w:tc>
        <w:tc>
          <w:tcPr>
            <w:tcW w:w="191"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b/>
                <w:bCs/>
                <w:sz w:val="22"/>
                <w:szCs w:val="22"/>
                <w:lang w:val="es-ES"/>
              </w:rPr>
            </w:pPr>
          </w:p>
        </w:tc>
        <w:tc>
          <w:tcPr>
            <w:tcW w:w="320"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es-ES"/>
              </w:rPr>
            </w:pPr>
          </w:p>
        </w:tc>
        <w:tc>
          <w:tcPr>
            <w:tcW w:w="347"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es-ES"/>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400" w:type="pct"/>
          <w:trHeight w:val="260"/>
        </w:trPr>
        <w:tc>
          <w:tcPr>
            <w:tcW w:w="144"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before="20" w:after="20" w:line="300" w:lineRule="exact"/>
              <w:jc w:val="center"/>
              <w:rPr>
                <w:sz w:val="22"/>
                <w:szCs w:val="22"/>
                <w:lang w:val="pt-BR"/>
              </w:rPr>
            </w:pPr>
            <w:r w:rsidRPr="007C0A9C">
              <w:rPr>
                <w:sz w:val="22"/>
                <w:szCs w:val="22"/>
                <w:lang w:val="pt-BR"/>
              </w:rPr>
              <w:t>3</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bCs/>
                <w:sz w:val="20"/>
                <w:szCs w:val="22"/>
                <w:vertAlign w:val="superscript"/>
                <w:lang w:val="de-DE"/>
              </w:rPr>
            </w:pPr>
            <w:r w:rsidRPr="007C0A9C">
              <w:rPr>
                <w:sz w:val="20"/>
                <w:szCs w:val="22"/>
                <w:lang w:val="pt-BR"/>
              </w:rPr>
              <w:t>Tư cách hợp lệ theo quy định tại khoản 1 Điều 5 của Luật đấu thầu</w:t>
            </w:r>
          </w:p>
        </w:tc>
        <w:tc>
          <w:tcPr>
            <w:tcW w:w="256"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285"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191"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b/>
                <w:bCs/>
                <w:sz w:val="22"/>
                <w:szCs w:val="22"/>
                <w:lang w:val="pt-BR"/>
              </w:rPr>
            </w:pPr>
          </w:p>
        </w:tc>
        <w:tc>
          <w:tcPr>
            <w:tcW w:w="320"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c>
          <w:tcPr>
            <w:tcW w:w="347"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400" w:type="pct"/>
          <w:trHeight w:val="323"/>
        </w:trPr>
        <w:tc>
          <w:tcPr>
            <w:tcW w:w="144"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before="20" w:after="20" w:line="300" w:lineRule="exact"/>
              <w:jc w:val="center"/>
              <w:rPr>
                <w:sz w:val="22"/>
                <w:szCs w:val="22"/>
                <w:lang w:val="pt-BR"/>
              </w:rPr>
            </w:pPr>
            <w:r w:rsidRPr="007C0A9C">
              <w:rPr>
                <w:sz w:val="22"/>
                <w:szCs w:val="22"/>
                <w:lang w:val="pt-BR"/>
              </w:rPr>
              <w:t>3.1</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sz w:val="20"/>
                <w:szCs w:val="22"/>
                <w:vertAlign w:val="subscript"/>
                <w:lang w:val="pt-BR"/>
              </w:rPr>
            </w:pPr>
            <w:r w:rsidRPr="007C0A9C">
              <w:rPr>
                <w:sz w:val="20"/>
                <w:szCs w:val="22"/>
                <w:lang w:val="pt-BR"/>
              </w:rPr>
              <w:t>Nhà thầu là tổ chức đáp ứng đủ các điều kiện sau đây:</w:t>
            </w:r>
          </w:p>
        </w:tc>
        <w:tc>
          <w:tcPr>
            <w:tcW w:w="256"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285"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191"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b/>
                <w:bCs/>
                <w:sz w:val="22"/>
                <w:szCs w:val="22"/>
                <w:lang w:val="pt-BR"/>
              </w:rPr>
            </w:pPr>
          </w:p>
        </w:tc>
        <w:tc>
          <w:tcPr>
            <w:tcW w:w="320"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c>
          <w:tcPr>
            <w:tcW w:w="347"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400" w:type="pct"/>
          <w:trHeight w:val="296"/>
        </w:trPr>
        <w:tc>
          <w:tcPr>
            <w:tcW w:w="144"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before="20" w:after="20" w:line="300" w:lineRule="exact"/>
              <w:jc w:val="center"/>
              <w:rPr>
                <w:sz w:val="22"/>
                <w:szCs w:val="22"/>
                <w:lang w:val="pt-BR"/>
              </w:rPr>
            </w:pPr>
            <w:r w:rsidRPr="007C0A9C">
              <w:rPr>
                <w:sz w:val="22"/>
                <w:szCs w:val="22"/>
                <w:lang w:val="pt-BR"/>
              </w:rPr>
              <w:t>3.1.1</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sz w:val="20"/>
                <w:szCs w:val="22"/>
                <w:vertAlign w:val="superscript"/>
                <w:lang w:val="pt-BR"/>
              </w:rPr>
            </w:pPr>
            <w:r w:rsidRPr="007C0A9C">
              <w:rPr>
                <w:sz w:val="20"/>
                <w:szCs w:val="22"/>
                <w:lang w:val="vi-VN"/>
              </w:rPr>
              <w:t>Hạch toán tài chính độc lập</w:t>
            </w:r>
            <w:r w:rsidRPr="007C0A9C">
              <w:rPr>
                <w:sz w:val="20"/>
                <w:szCs w:val="22"/>
                <w:vertAlign w:val="superscript"/>
                <w:lang w:val="pt-BR"/>
              </w:rPr>
              <w:t>(3)</w:t>
            </w:r>
          </w:p>
        </w:tc>
        <w:tc>
          <w:tcPr>
            <w:tcW w:w="256"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285"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191"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b/>
                <w:bCs/>
                <w:sz w:val="22"/>
                <w:szCs w:val="22"/>
                <w:lang w:val="pt-BR"/>
              </w:rPr>
            </w:pPr>
          </w:p>
        </w:tc>
        <w:tc>
          <w:tcPr>
            <w:tcW w:w="320"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c>
          <w:tcPr>
            <w:tcW w:w="347"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400" w:type="pct"/>
          <w:trHeight w:val="1088"/>
        </w:trPr>
        <w:tc>
          <w:tcPr>
            <w:tcW w:w="144"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before="20" w:after="20" w:line="280" w:lineRule="exact"/>
              <w:jc w:val="center"/>
              <w:rPr>
                <w:sz w:val="22"/>
                <w:szCs w:val="22"/>
                <w:lang w:val="pt-BR"/>
              </w:rPr>
            </w:pPr>
            <w:r w:rsidRPr="007C0A9C">
              <w:rPr>
                <w:sz w:val="22"/>
                <w:szCs w:val="22"/>
                <w:lang w:val="pt-BR"/>
              </w:rPr>
              <w:t>3.1.2</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sz w:val="20"/>
                <w:szCs w:val="22"/>
                <w:lang w:val="vi-VN"/>
              </w:rPr>
            </w:pPr>
            <w:r w:rsidRPr="007C0A9C">
              <w:rPr>
                <w:sz w:val="20"/>
                <w:szCs w:val="22"/>
                <w:lang w:val="vi-VN"/>
              </w:rPr>
              <w:t xml:space="preserve">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w:t>
            </w:r>
            <w:r w:rsidRPr="007C0A9C">
              <w:rPr>
                <w:sz w:val="20"/>
                <w:szCs w:val="22"/>
                <w:vertAlign w:val="superscript"/>
                <w:lang w:val="pt-BR"/>
              </w:rPr>
              <w:t>(3)</w:t>
            </w:r>
          </w:p>
        </w:tc>
        <w:tc>
          <w:tcPr>
            <w:tcW w:w="256"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285"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191"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b/>
                <w:bCs/>
                <w:sz w:val="22"/>
                <w:szCs w:val="22"/>
                <w:lang w:val="pt-BR"/>
              </w:rPr>
            </w:pPr>
          </w:p>
        </w:tc>
        <w:tc>
          <w:tcPr>
            <w:tcW w:w="320"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c>
          <w:tcPr>
            <w:tcW w:w="347"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400" w:type="pct"/>
          <w:trHeight w:val="375"/>
        </w:trPr>
        <w:tc>
          <w:tcPr>
            <w:tcW w:w="144"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before="20" w:after="20" w:line="300" w:lineRule="exact"/>
              <w:jc w:val="center"/>
              <w:rPr>
                <w:sz w:val="22"/>
                <w:szCs w:val="22"/>
                <w:lang w:val="pt-BR"/>
              </w:rPr>
            </w:pPr>
            <w:r w:rsidRPr="007C0A9C">
              <w:rPr>
                <w:sz w:val="22"/>
                <w:szCs w:val="22"/>
                <w:lang w:val="pt-BR"/>
              </w:rPr>
              <w:t>3.1.3</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sz w:val="20"/>
                <w:szCs w:val="22"/>
                <w:vertAlign w:val="superscript"/>
                <w:lang w:val="pt-BR"/>
              </w:rPr>
            </w:pPr>
            <w:r w:rsidRPr="007C0A9C">
              <w:rPr>
                <w:sz w:val="20"/>
                <w:szCs w:val="22"/>
                <w:lang w:val="vi-VN"/>
              </w:rPr>
              <w:t>Bảo đảm cạnh tranh trong đấu thầu</w:t>
            </w:r>
            <w:r w:rsidRPr="007C0A9C">
              <w:rPr>
                <w:sz w:val="20"/>
                <w:szCs w:val="22"/>
                <w:vertAlign w:val="superscript"/>
                <w:lang w:val="pt-BR"/>
              </w:rPr>
              <w:t>(3)</w:t>
            </w:r>
          </w:p>
        </w:tc>
        <w:tc>
          <w:tcPr>
            <w:tcW w:w="256"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285"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191"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b/>
                <w:bCs/>
                <w:sz w:val="22"/>
                <w:szCs w:val="22"/>
                <w:lang w:val="pt-BR"/>
              </w:rPr>
            </w:pPr>
          </w:p>
        </w:tc>
        <w:tc>
          <w:tcPr>
            <w:tcW w:w="320"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c>
          <w:tcPr>
            <w:tcW w:w="347"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400" w:type="pct"/>
          <w:trHeight w:val="375"/>
        </w:trPr>
        <w:tc>
          <w:tcPr>
            <w:tcW w:w="144"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before="20" w:after="20" w:line="300" w:lineRule="exact"/>
              <w:jc w:val="center"/>
              <w:rPr>
                <w:sz w:val="22"/>
                <w:szCs w:val="22"/>
                <w:lang w:val="pt-BR"/>
              </w:rPr>
            </w:pPr>
            <w:r w:rsidRPr="007C0A9C">
              <w:rPr>
                <w:sz w:val="22"/>
                <w:szCs w:val="22"/>
                <w:lang w:val="pt-BR"/>
              </w:rPr>
              <w:t>3.1.4</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sz w:val="20"/>
                <w:szCs w:val="22"/>
                <w:vertAlign w:val="superscript"/>
                <w:lang w:val="pt-BR"/>
              </w:rPr>
            </w:pPr>
            <w:r w:rsidRPr="007C0A9C">
              <w:rPr>
                <w:sz w:val="20"/>
                <w:szCs w:val="22"/>
                <w:lang w:val="vi-VN"/>
              </w:rPr>
              <w:t>Không đang trong thời gian bị cấm tham dự thầu</w:t>
            </w:r>
            <w:r w:rsidRPr="007C0A9C">
              <w:rPr>
                <w:sz w:val="20"/>
                <w:szCs w:val="22"/>
                <w:lang w:val="pt-BR"/>
              </w:rPr>
              <w:t xml:space="preserve"> theo quy định của Luật Đấu thầu</w:t>
            </w:r>
            <w:r w:rsidRPr="007C0A9C">
              <w:rPr>
                <w:sz w:val="20"/>
                <w:szCs w:val="22"/>
                <w:vertAlign w:val="superscript"/>
                <w:lang w:val="pt-BR"/>
              </w:rPr>
              <w:t>(3)</w:t>
            </w:r>
          </w:p>
        </w:tc>
        <w:tc>
          <w:tcPr>
            <w:tcW w:w="256"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285"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191"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b/>
                <w:bCs/>
                <w:sz w:val="22"/>
                <w:szCs w:val="22"/>
                <w:lang w:val="pt-BR"/>
              </w:rPr>
            </w:pPr>
          </w:p>
        </w:tc>
        <w:tc>
          <w:tcPr>
            <w:tcW w:w="320"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c>
          <w:tcPr>
            <w:tcW w:w="347"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400" w:type="pct"/>
          <w:trHeight w:val="354"/>
        </w:trPr>
        <w:tc>
          <w:tcPr>
            <w:tcW w:w="144"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before="20" w:after="20" w:line="300" w:lineRule="exact"/>
              <w:jc w:val="center"/>
              <w:rPr>
                <w:sz w:val="22"/>
                <w:szCs w:val="22"/>
                <w:lang w:val="pt-BR"/>
              </w:rPr>
            </w:pPr>
            <w:r w:rsidRPr="007C0A9C">
              <w:rPr>
                <w:sz w:val="22"/>
                <w:szCs w:val="22"/>
                <w:lang w:val="pt-BR"/>
              </w:rPr>
              <w:t>3.1.5</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sz w:val="20"/>
                <w:szCs w:val="22"/>
                <w:lang w:val="vi-VN"/>
              </w:rPr>
            </w:pPr>
            <w:r w:rsidRPr="007C0A9C">
              <w:rPr>
                <w:sz w:val="20"/>
                <w:szCs w:val="22"/>
                <w:lang w:val="vi-VN"/>
              </w:rPr>
              <w:t>Không đang bị truy cứu trách nhiệm hình sự</w:t>
            </w:r>
            <w:r w:rsidRPr="007C0A9C">
              <w:rPr>
                <w:sz w:val="20"/>
                <w:szCs w:val="22"/>
                <w:vertAlign w:val="superscript"/>
                <w:lang w:val="pt-BR"/>
              </w:rPr>
              <w:t>(3)</w:t>
            </w:r>
          </w:p>
        </w:tc>
        <w:tc>
          <w:tcPr>
            <w:tcW w:w="256"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285"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191"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b/>
                <w:bCs/>
                <w:sz w:val="22"/>
                <w:szCs w:val="22"/>
                <w:lang w:val="pt-BR"/>
              </w:rPr>
            </w:pPr>
          </w:p>
        </w:tc>
        <w:tc>
          <w:tcPr>
            <w:tcW w:w="320"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c>
          <w:tcPr>
            <w:tcW w:w="347"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400" w:type="pct"/>
          <w:trHeight w:val="375"/>
        </w:trPr>
        <w:tc>
          <w:tcPr>
            <w:tcW w:w="144"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before="20" w:after="20" w:line="300" w:lineRule="exact"/>
              <w:jc w:val="center"/>
              <w:rPr>
                <w:sz w:val="22"/>
                <w:szCs w:val="22"/>
                <w:lang w:val="pt-BR"/>
              </w:rPr>
            </w:pPr>
            <w:r w:rsidRPr="007C0A9C">
              <w:rPr>
                <w:sz w:val="22"/>
                <w:szCs w:val="22"/>
                <w:lang w:val="pt-BR"/>
              </w:rPr>
              <w:t>3.1.6</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sz w:val="20"/>
                <w:szCs w:val="22"/>
                <w:lang w:val="vi-VN"/>
              </w:rPr>
            </w:pPr>
            <w:r w:rsidRPr="007C0A9C">
              <w:rPr>
                <w:sz w:val="20"/>
                <w:szCs w:val="22"/>
                <w:lang w:val="pl-PL"/>
              </w:rPr>
              <w:t>Đáp ứng điều kiện về cấp doanh nghiệp</w:t>
            </w:r>
            <w:r w:rsidRPr="007C0A9C">
              <w:rPr>
                <w:sz w:val="20"/>
                <w:szCs w:val="22"/>
                <w:vertAlign w:val="superscript"/>
                <w:lang w:val="pl-PL"/>
              </w:rPr>
              <w:t>(4)</w:t>
            </w:r>
          </w:p>
        </w:tc>
        <w:tc>
          <w:tcPr>
            <w:tcW w:w="256"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285"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191"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b/>
                <w:bCs/>
                <w:sz w:val="22"/>
                <w:szCs w:val="22"/>
                <w:lang w:val="pt-BR"/>
              </w:rPr>
            </w:pPr>
          </w:p>
        </w:tc>
        <w:tc>
          <w:tcPr>
            <w:tcW w:w="320"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c>
          <w:tcPr>
            <w:tcW w:w="347"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400" w:type="pct"/>
          <w:trHeight w:val="375"/>
        </w:trPr>
        <w:tc>
          <w:tcPr>
            <w:tcW w:w="144"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before="20" w:after="20" w:line="300" w:lineRule="exact"/>
              <w:jc w:val="center"/>
              <w:rPr>
                <w:sz w:val="22"/>
                <w:szCs w:val="22"/>
                <w:lang w:val="pt-BR"/>
              </w:rPr>
            </w:pPr>
            <w:r w:rsidRPr="007C0A9C">
              <w:rPr>
                <w:sz w:val="22"/>
                <w:szCs w:val="22"/>
                <w:lang w:val="pt-BR"/>
              </w:rPr>
              <w:t>3.1.7</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sz w:val="20"/>
                <w:szCs w:val="22"/>
                <w:vertAlign w:val="superscript"/>
                <w:lang w:val="pl-PL"/>
              </w:rPr>
            </w:pPr>
            <w:r w:rsidRPr="007C0A9C">
              <w:rPr>
                <w:sz w:val="20"/>
                <w:szCs w:val="22"/>
                <w:lang w:val="pt-BR"/>
              </w:rPr>
              <w:t>Nhà thầu có từ 50% lao động trở lên là người khuyết tật, thương binh, dân tộc thiểu số có hợp đồng lao động với thời gian thực hiện hợp đồng từ 03 tháng trở lên và đến thời điểm đóng thầu vẫn còn hiệu lực</w:t>
            </w:r>
            <w:r w:rsidRPr="007C0A9C">
              <w:rPr>
                <w:sz w:val="20"/>
                <w:szCs w:val="22"/>
                <w:vertAlign w:val="superscript"/>
                <w:lang w:val="pt-BR"/>
              </w:rPr>
              <w:t>(5)</w:t>
            </w:r>
          </w:p>
        </w:tc>
        <w:tc>
          <w:tcPr>
            <w:tcW w:w="256"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285"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191"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b/>
                <w:bCs/>
                <w:sz w:val="22"/>
                <w:szCs w:val="22"/>
                <w:lang w:val="pt-BR"/>
              </w:rPr>
            </w:pPr>
          </w:p>
        </w:tc>
        <w:tc>
          <w:tcPr>
            <w:tcW w:w="320"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c>
          <w:tcPr>
            <w:tcW w:w="347"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400" w:type="pct"/>
          <w:trHeight w:val="375"/>
        </w:trPr>
        <w:tc>
          <w:tcPr>
            <w:tcW w:w="144"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before="20" w:after="20" w:line="300" w:lineRule="exact"/>
              <w:jc w:val="center"/>
              <w:rPr>
                <w:sz w:val="22"/>
                <w:szCs w:val="22"/>
                <w:lang w:val="pt-BR"/>
              </w:rPr>
            </w:pPr>
            <w:r w:rsidRPr="007C0A9C">
              <w:rPr>
                <w:sz w:val="22"/>
                <w:szCs w:val="22"/>
                <w:lang w:val="pt-BR"/>
              </w:rPr>
              <w:t>4</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sz w:val="20"/>
                <w:szCs w:val="22"/>
                <w:lang w:val="pt-BR"/>
              </w:rPr>
            </w:pPr>
            <w:r w:rsidRPr="007C0A9C">
              <w:rPr>
                <w:sz w:val="20"/>
                <w:szCs w:val="22"/>
                <w:lang w:val="vi-VN"/>
              </w:rPr>
              <w:t>Không trong trạng thái bị tạm ngừng, chấm dứt tham gia Hệ thống</w:t>
            </w:r>
            <w:r w:rsidRPr="007C0A9C">
              <w:rPr>
                <w:sz w:val="20"/>
                <w:szCs w:val="22"/>
                <w:vertAlign w:val="superscript"/>
                <w:lang w:val="pt-BR"/>
              </w:rPr>
              <w:t>(6)</w:t>
            </w:r>
          </w:p>
        </w:tc>
        <w:tc>
          <w:tcPr>
            <w:tcW w:w="256"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285"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191"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b/>
                <w:bCs/>
                <w:sz w:val="22"/>
                <w:szCs w:val="22"/>
                <w:lang w:val="pt-BR"/>
              </w:rPr>
            </w:pPr>
          </w:p>
        </w:tc>
        <w:tc>
          <w:tcPr>
            <w:tcW w:w="320"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c>
          <w:tcPr>
            <w:tcW w:w="347"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400" w:type="pct"/>
          <w:trHeight w:val="375"/>
        </w:trPr>
        <w:tc>
          <w:tcPr>
            <w:tcW w:w="144"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before="20" w:after="20" w:line="300" w:lineRule="exact"/>
              <w:jc w:val="center"/>
              <w:rPr>
                <w:sz w:val="22"/>
                <w:szCs w:val="22"/>
                <w:lang w:val="pt-BR"/>
              </w:rPr>
            </w:pPr>
            <w:r w:rsidRPr="007C0A9C">
              <w:rPr>
                <w:sz w:val="22"/>
                <w:szCs w:val="22"/>
                <w:lang w:val="pt-BR"/>
              </w:rPr>
              <w:t>5</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sz w:val="20"/>
                <w:szCs w:val="22"/>
                <w:vertAlign w:val="superscript"/>
                <w:lang w:val="vi-VN"/>
              </w:rPr>
            </w:pPr>
            <w:r w:rsidRPr="007C0A9C">
              <w:rPr>
                <w:sz w:val="20"/>
                <w:szCs w:val="22"/>
                <w:lang w:val="pt-BR"/>
              </w:rPr>
              <w:t xml:space="preserve">Trong thời hạn 03 năm trước thời điểm đóng thầu, nhà thầu không có nhân sự (ký kết hợp đồng lao động với nhà thầu tại thời điểm nhân sự thực hiện </w:t>
            </w:r>
            <w:r w:rsidRPr="007C0A9C">
              <w:rPr>
                <w:sz w:val="20"/>
                <w:szCs w:val="22"/>
                <w:lang w:val="pt-BR"/>
              </w:rPr>
              <w:lastRenderedPageBreak/>
              <w:t>hành vi vi phạm) bị tòa án kết án có hành vi vi phạm quy định về đấu thầu gây hậu quả nghiêm trọng theo quy định của pháp luật về hình sự nhằm mục đích cho nhà thầu đó trúng thầu</w:t>
            </w:r>
            <w:r w:rsidRPr="007C0A9C">
              <w:rPr>
                <w:sz w:val="20"/>
                <w:szCs w:val="22"/>
                <w:vertAlign w:val="superscript"/>
                <w:lang w:val="pt-BR"/>
              </w:rPr>
              <w:t>(3)</w:t>
            </w:r>
          </w:p>
        </w:tc>
        <w:tc>
          <w:tcPr>
            <w:tcW w:w="256"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285"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191"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b/>
                <w:bCs/>
                <w:sz w:val="22"/>
                <w:szCs w:val="22"/>
                <w:lang w:val="pt-BR"/>
              </w:rPr>
            </w:pPr>
          </w:p>
        </w:tc>
        <w:tc>
          <w:tcPr>
            <w:tcW w:w="320"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c>
          <w:tcPr>
            <w:tcW w:w="347"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400" w:type="pct"/>
          <w:trHeight w:val="375"/>
        </w:trPr>
        <w:tc>
          <w:tcPr>
            <w:tcW w:w="144"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before="20" w:after="20" w:line="300" w:lineRule="exact"/>
              <w:jc w:val="center"/>
              <w:rPr>
                <w:sz w:val="22"/>
                <w:szCs w:val="22"/>
                <w:lang w:val="pt-BR"/>
              </w:rPr>
            </w:pPr>
            <w:r w:rsidRPr="007C0A9C">
              <w:rPr>
                <w:sz w:val="22"/>
                <w:szCs w:val="22"/>
                <w:lang w:val="pt-BR"/>
              </w:rPr>
              <w:lastRenderedPageBreak/>
              <w:t>6</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sz w:val="20"/>
                <w:szCs w:val="22"/>
                <w:lang w:val="pt-BR"/>
              </w:rPr>
            </w:pPr>
            <w:r w:rsidRPr="007C0A9C">
              <w:rPr>
                <w:sz w:val="20"/>
                <w:szCs w:val="22"/>
                <w:lang w:val="pt-BR"/>
              </w:rPr>
              <w:t xml:space="preserve">Có đủ điều kiện năng lực hoạt động theo quy định của pháp luật quản lý ngành và lĩnh vực (nếu có) đối với phần công việc tư vấn của gói thầu EPC, EP, EC </w:t>
            </w:r>
            <w:r w:rsidRPr="007C0A9C">
              <w:rPr>
                <w:sz w:val="20"/>
                <w:szCs w:val="22"/>
                <w:vertAlign w:val="superscript"/>
                <w:lang w:val="pt-BR"/>
              </w:rPr>
              <w:t>(7)</w:t>
            </w:r>
            <w:r w:rsidRPr="007C0A9C">
              <w:rPr>
                <w:sz w:val="20"/>
                <w:szCs w:val="22"/>
                <w:lang w:val="pt-BR"/>
              </w:rPr>
              <w:t>.</w:t>
            </w:r>
          </w:p>
        </w:tc>
        <w:tc>
          <w:tcPr>
            <w:tcW w:w="256"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285"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191"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b/>
                <w:bCs/>
                <w:sz w:val="22"/>
                <w:szCs w:val="22"/>
                <w:lang w:val="pt-BR"/>
              </w:rPr>
            </w:pPr>
          </w:p>
        </w:tc>
        <w:tc>
          <w:tcPr>
            <w:tcW w:w="320"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c>
          <w:tcPr>
            <w:tcW w:w="347"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400" w:type="pct"/>
          <w:trHeight w:val="375"/>
        </w:trPr>
        <w:tc>
          <w:tcPr>
            <w:tcW w:w="144"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before="20" w:after="20" w:line="300" w:lineRule="exact"/>
              <w:jc w:val="center"/>
              <w:rPr>
                <w:sz w:val="22"/>
                <w:szCs w:val="22"/>
                <w:lang w:val="pt-BR"/>
              </w:rPr>
            </w:pP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b/>
                <w:sz w:val="20"/>
                <w:szCs w:val="22"/>
                <w:lang w:val="pl-PL"/>
              </w:rPr>
            </w:pPr>
            <w:r w:rsidRPr="007C0A9C">
              <w:rPr>
                <w:b/>
                <w:sz w:val="20"/>
                <w:szCs w:val="22"/>
                <w:lang w:val="pl-PL"/>
              </w:rPr>
              <w:t>Đối với nhà thầu là hộ kinh doanh thì mục 3 được quy định như sau:</w:t>
            </w:r>
          </w:p>
        </w:tc>
        <w:tc>
          <w:tcPr>
            <w:tcW w:w="540" w:type="pct"/>
            <w:gridSpan w:val="2"/>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191"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b/>
                <w:bCs/>
                <w:sz w:val="22"/>
                <w:szCs w:val="22"/>
                <w:lang w:val="pt-BR"/>
              </w:rPr>
            </w:pPr>
          </w:p>
        </w:tc>
        <w:tc>
          <w:tcPr>
            <w:tcW w:w="320"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b/>
                <w:sz w:val="22"/>
                <w:szCs w:val="22"/>
                <w:lang w:val="pt-BR"/>
              </w:rPr>
            </w:pPr>
          </w:p>
        </w:tc>
        <w:tc>
          <w:tcPr>
            <w:tcW w:w="347"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400" w:type="pct"/>
          <w:trHeight w:val="375"/>
        </w:trPr>
        <w:tc>
          <w:tcPr>
            <w:tcW w:w="144"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before="20" w:after="20" w:line="300" w:lineRule="exact"/>
              <w:jc w:val="center"/>
              <w:rPr>
                <w:sz w:val="22"/>
                <w:szCs w:val="22"/>
                <w:lang w:val="pt-BR"/>
              </w:rPr>
            </w:pPr>
            <w:r w:rsidRPr="007C0A9C">
              <w:rPr>
                <w:sz w:val="22"/>
                <w:szCs w:val="22"/>
                <w:lang w:val="pt-BR"/>
              </w:rPr>
              <w:t>3</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sz w:val="20"/>
                <w:szCs w:val="22"/>
                <w:lang w:val="pl-PL"/>
              </w:rPr>
            </w:pPr>
            <w:r w:rsidRPr="007C0A9C">
              <w:rPr>
                <w:sz w:val="20"/>
                <w:szCs w:val="22"/>
                <w:lang w:val="pt-BR"/>
              </w:rPr>
              <w:t>Tư cách hợp lệ theo quy định tại khoản 2 Điều 5 của Luật đấu thầu</w:t>
            </w:r>
          </w:p>
        </w:tc>
        <w:tc>
          <w:tcPr>
            <w:tcW w:w="256"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285"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191"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b/>
                <w:bCs/>
                <w:sz w:val="22"/>
                <w:szCs w:val="22"/>
                <w:lang w:val="pt-BR"/>
              </w:rPr>
            </w:pPr>
          </w:p>
        </w:tc>
        <w:tc>
          <w:tcPr>
            <w:tcW w:w="320"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c>
          <w:tcPr>
            <w:tcW w:w="347"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400" w:type="pct"/>
          <w:trHeight w:val="354"/>
        </w:trPr>
        <w:tc>
          <w:tcPr>
            <w:tcW w:w="144"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before="20" w:after="20" w:line="300" w:lineRule="exact"/>
              <w:jc w:val="center"/>
              <w:rPr>
                <w:sz w:val="22"/>
                <w:szCs w:val="22"/>
                <w:lang w:val="pt-BR"/>
              </w:rPr>
            </w:pPr>
            <w:r w:rsidRPr="007C0A9C">
              <w:rPr>
                <w:sz w:val="22"/>
                <w:szCs w:val="22"/>
                <w:lang w:val="pt-BR"/>
              </w:rPr>
              <w:t>3.1</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sz w:val="20"/>
                <w:szCs w:val="22"/>
                <w:lang w:val="vi-VN"/>
              </w:rPr>
            </w:pPr>
            <w:r w:rsidRPr="007C0A9C">
              <w:rPr>
                <w:sz w:val="20"/>
                <w:szCs w:val="22"/>
                <w:lang w:val="pt-BR"/>
              </w:rPr>
              <w:t>Nhà thầu là hộ kinh doanh đáp ứng đủ các điều kiện sau đây:</w:t>
            </w:r>
          </w:p>
        </w:tc>
        <w:tc>
          <w:tcPr>
            <w:tcW w:w="256"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285"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191"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b/>
                <w:bCs/>
                <w:sz w:val="22"/>
                <w:szCs w:val="22"/>
                <w:lang w:val="pt-BR"/>
              </w:rPr>
            </w:pPr>
          </w:p>
        </w:tc>
        <w:tc>
          <w:tcPr>
            <w:tcW w:w="320"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c>
          <w:tcPr>
            <w:tcW w:w="347"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400" w:type="pct"/>
          <w:trHeight w:val="375"/>
        </w:trPr>
        <w:tc>
          <w:tcPr>
            <w:tcW w:w="144"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before="20" w:after="20" w:line="300" w:lineRule="exact"/>
              <w:jc w:val="center"/>
              <w:rPr>
                <w:sz w:val="22"/>
                <w:szCs w:val="22"/>
                <w:lang w:val="pt-BR"/>
              </w:rPr>
            </w:pPr>
            <w:r w:rsidRPr="007C0A9C">
              <w:rPr>
                <w:sz w:val="22"/>
                <w:szCs w:val="22"/>
                <w:lang w:val="pt-BR"/>
              </w:rPr>
              <w:t>3.1.1</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sz w:val="20"/>
                <w:szCs w:val="22"/>
                <w:lang w:val="pt-BR"/>
              </w:rPr>
            </w:pPr>
            <w:r w:rsidRPr="007C0A9C">
              <w:rPr>
                <w:sz w:val="20"/>
                <w:szCs w:val="22"/>
                <w:lang w:val="pt-BR"/>
              </w:rPr>
              <w:t>Có giấy chứng nhận đăng ký hộ kinh doanh theo quy định của pháp luật</w:t>
            </w:r>
            <w:r w:rsidRPr="007C0A9C">
              <w:rPr>
                <w:sz w:val="20"/>
                <w:szCs w:val="22"/>
                <w:vertAlign w:val="superscript"/>
                <w:lang w:val="pt-BR"/>
              </w:rPr>
              <w:t>(3)</w:t>
            </w:r>
          </w:p>
        </w:tc>
        <w:tc>
          <w:tcPr>
            <w:tcW w:w="256"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285"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191"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b/>
                <w:bCs/>
                <w:sz w:val="22"/>
                <w:szCs w:val="22"/>
                <w:lang w:val="pt-BR"/>
              </w:rPr>
            </w:pPr>
          </w:p>
        </w:tc>
        <w:tc>
          <w:tcPr>
            <w:tcW w:w="320"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c>
          <w:tcPr>
            <w:tcW w:w="347"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400" w:type="pct"/>
          <w:trHeight w:val="708"/>
        </w:trPr>
        <w:tc>
          <w:tcPr>
            <w:tcW w:w="144"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before="20" w:after="20" w:line="300" w:lineRule="exact"/>
              <w:jc w:val="center"/>
              <w:rPr>
                <w:sz w:val="22"/>
                <w:szCs w:val="22"/>
                <w:lang w:val="pt-BR"/>
              </w:rPr>
            </w:pPr>
            <w:r w:rsidRPr="007C0A9C">
              <w:rPr>
                <w:sz w:val="22"/>
                <w:szCs w:val="22"/>
                <w:lang w:val="pt-BR"/>
              </w:rPr>
              <w:t>3.1.2</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sz w:val="20"/>
                <w:szCs w:val="22"/>
                <w:lang w:val="pt-BR"/>
              </w:rPr>
            </w:pPr>
            <w:r w:rsidRPr="007C0A9C">
              <w:rPr>
                <w:sz w:val="20"/>
                <w:szCs w:val="22"/>
                <w:lang w:val="pt-BR"/>
              </w:rPr>
              <w:t>Không đang trong quá trình chấm dứt hoạt động hoặc bị thu hồi giấy chứng nhận đăng ký hộ kinh doanh; chủ hộ kinh doanh không đang bị truy cứu trách nhiệm hình sự</w:t>
            </w:r>
            <w:r w:rsidRPr="007C0A9C">
              <w:rPr>
                <w:sz w:val="20"/>
                <w:szCs w:val="22"/>
                <w:vertAlign w:val="superscript"/>
                <w:lang w:val="pt-BR"/>
              </w:rPr>
              <w:t>(3)</w:t>
            </w:r>
          </w:p>
        </w:tc>
        <w:tc>
          <w:tcPr>
            <w:tcW w:w="256"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285"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191"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b/>
                <w:bCs/>
                <w:sz w:val="22"/>
                <w:szCs w:val="22"/>
                <w:lang w:val="pt-BR"/>
              </w:rPr>
            </w:pPr>
          </w:p>
        </w:tc>
        <w:tc>
          <w:tcPr>
            <w:tcW w:w="320"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c>
          <w:tcPr>
            <w:tcW w:w="347"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400" w:type="pct"/>
          <w:trHeight w:val="375"/>
        </w:trPr>
        <w:tc>
          <w:tcPr>
            <w:tcW w:w="144"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before="20" w:after="20" w:line="300" w:lineRule="exact"/>
              <w:jc w:val="center"/>
              <w:rPr>
                <w:sz w:val="22"/>
                <w:szCs w:val="22"/>
                <w:lang w:val="pt-BR"/>
              </w:rPr>
            </w:pPr>
            <w:r w:rsidRPr="007C0A9C">
              <w:rPr>
                <w:sz w:val="22"/>
                <w:szCs w:val="22"/>
                <w:lang w:val="pt-BR"/>
              </w:rPr>
              <w:t>3.1.3</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sz w:val="20"/>
                <w:szCs w:val="22"/>
                <w:lang w:val="pt-BR"/>
              </w:rPr>
            </w:pPr>
            <w:r w:rsidRPr="007C0A9C">
              <w:rPr>
                <w:sz w:val="20"/>
                <w:szCs w:val="22"/>
                <w:lang w:val="vi-VN"/>
              </w:rPr>
              <w:t>Bảo đảm cạnh tranh trong đấu thầu</w:t>
            </w:r>
            <w:r w:rsidRPr="007C0A9C">
              <w:rPr>
                <w:sz w:val="20"/>
                <w:szCs w:val="22"/>
                <w:vertAlign w:val="superscript"/>
                <w:lang w:val="pt-BR"/>
              </w:rPr>
              <w:t>(3)</w:t>
            </w:r>
          </w:p>
        </w:tc>
        <w:tc>
          <w:tcPr>
            <w:tcW w:w="256"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285"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191"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b/>
                <w:bCs/>
                <w:sz w:val="22"/>
                <w:szCs w:val="22"/>
                <w:lang w:val="pt-BR"/>
              </w:rPr>
            </w:pPr>
          </w:p>
        </w:tc>
        <w:tc>
          <w:tcPr>
            <w:tcW w:w="320"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c>
          <w:tcPr>
            <w:tcW w:w="347"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400" w:type="pct"/>
          <w:trHeight w:val="354"/>
        </w:trPr>
        <w:tc>
          <w:tcPr>
            <w:tcW w:w="144"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before="20" w:after="20" w:line="300" w:lineRule="exact"/>
              <w:jc w:val="center"/>
              <w:rPr>
                <w:sz w:val="22"/>
                <w:szCs w:val="22"/>
                <w:lang w:val="pt-BR"/>
              </w:rPr>
            </w:pPr>
            <w:r w:rsidRPr="007C0A9C">
              <w:rPr>
                <w:sz w:val="22"/>
                <w:szCs w:val="22"/>
                <w:lang w:val="pt-BR"/>
              </w:rPr>
              <w:t>3.1.4</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sz w:val="20"/>
                <w:szCs w:val="22"/>
                <w:lang w:val="vi-VN"/>
              </w:rPr>
            </w:pPr>
            <w:r w:rsidRPr="007C0A9C">
              <w:rPr>
                <w:sz w:val="20"/>
                <w:szCs w:val="22"/>
                <w:lang w:val="vi-VN"/>
              </w:rPr>
              <w:t>Không đang trong thời gian bị cấm tham dự thầu</w:t>
            </w:r>
            <w:r w:rsidRPr="007C0A9C">
              <w:rPr>
                <w:sz w:val="20"/>
                <w:szCs w:val="22"/>
                <w:lang w:val="pt-BR"/>
              </w:rPr>
              <w:t xml:space="preserve"> theo quy định của Luật Đấu thầu</w:t>
            </w:r>
            <w:r w:rsidRPr="007C0A9C">
              <w:rPr>
                <w:sz w:val="20"/>
                <w:szCs w:val="22"/>
                <w:vertAlign w:val="superscript"/>
                <w:lang w:val="pt-BR"/>
              </w:rPr>
              <w:t>(3)</w:t>
            </w:r>
          </w:p>
        </w:tc>
        <w:tc>
          <w:tcPr>
            <w:tcW w:w="256"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285"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191"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b/>
                <w:bCs/>
                <w:sz w:val="22"/>
                <w:szCs w:val="22"/>
                <w:lang w:val="pt-BR"/>
              </w:rPr>
            </w:pPr>
          </w:p>
        </w:tc>
        <w:tc>
          <w:tcPr>
            <w:tcW w:w="320"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c>
          <w:tcPr>
            <w:tcW w:w="347"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400" w:type="pct"/>
          <w:trHeight w:val="395"/>
        </w:trPr>
        <w:tc>
          <w:tcPr>
            <w:tcW w:w="144"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before="20" w:after="20" w:line="300" w:lineRule="exact"/>
              <w:jc w:val="center"/>
              <w:rPr>
                <w:sz w:val="22"/>
                <w:szCs w:val="22"/>
                <w:lang w:val="pt-BR"/>
              </w:rPr>
            </w:pPr>
            <w:r w:rsidRPr="007C0A9C">
              <w:rPr>
                <w:sz w:val="22"/>
                <w:szCs w:val="22"/>
                <w:lang w:val="pt-BR"/>
              </w:rPr>
              <w:t>3.1.5</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sz w:val="20"/>
                <w:szCs w:val="22"/>
                <w:vertAlign w:val="superscript"/>
                <w:lang w:val="vi-VN"/>
              </w:rPr>
            </w:pPr>
            <w:r w:rsidRPr="007C0A9C">
              <w:rPr>
                <w:sz w:val="20"/>
                <w:szCs w:val="22"/>
                <w:lang w:val="pt-BR"/>
              </w:rPr>
              <w:t>Nhà thầu có từ 50% lao động trở lên là người khuyết tật, thương binh, dân tộc thiểu số có hợp đồng lao động với thời gian thực hiện hợp đồng từ 03 tháng trở lên và đến thời điểm đóng thầu vẫn còn hiệu lực</w:t>
            </w:r>
            <w:r w:rsidRPr="007C0A9C">
              <w:rPr>
                <w:sz w:val="20"/>
                <w:szCs w:val="22"/>
                <w:vertAlign w:val="superscript"/>
                <w:lang w:val="pt-BR"/>
              </w:rPr>
              <w:t>(5)</w:t>
            </w:r>
          </w:p>
        </w:tc>
        <w:tc>
          <w:tcPr>
            <w:tcW w:w="256"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285"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191"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b/>
                <w:bCs/>
                <w:sz w:val="22"/>
                <w:szCs w:val="22"/>
                <w:lang w:val="pt-BR"/>
              </w:rPr>
            </w:pPr>
          </w:p>
        </w:tc>
        <w:tc>
          <w:tcPr>
            <w:tcW w:w="320"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c>
          <w:tcPr>
            <w:tcW w:w="347"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400" w:type="pct"/>
          <w:trHeight w:val="395"/>
        </w:trPr>
        <w:tc>
          <w:tcPr>
            <w:tcW w:w="144"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before="20" w:after="20" w:line="300" w:lineRule="exact"/>
              <w:jc w:val="center"/>
              <w:rPr>
                <w:sz w:val="22"/>
                <w:szCs w:val="22"/>
                <w:lang w:val="pt-BR"/>
              </w:rPr>
            </w:pP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sz w:val="20"/>
                <w:szCs w:val="22"/>
                <w:lang w:val="pt-BR"/>
              </w:rPr>
            </w:pPr>
            <w:r w:rsidRPr="007C0A9C">
              <w:rPr>
                <w:b/>
                <w:sz w:val="20"/>
                <w:szCs w:val="22"/>
                <w:lang w:val="pl-PL"/>
              </w:rPr>
              <w:t xml:space="preserve">Đối với nhà thầu là cá nhân, nhóm cá nhân thì mục 3 và mục 5 được quy định như sau: </w:t>
            </w:r>
          </w:p>
        </w:tc>
        <w:tc>
          <w:tcPr>
            <w:tcW w:w="256"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285"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191"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b/>
                <w:bCs/>
                <w:sz w:val="22"/>
                <w:szCs w:val="22"/>
                <w:lang w:val="pt-BR"/>
              </w:rPr>
            </w:pPr>
          </w:p>
        </w:tc>
        <w:tc>
          <w:tcPr>
            <w:tcW w:w="320"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c>
          <w:tcPr>
            <w:tcW w:w="347"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400" w:type="pct"/>
          <w:trHeight w:val="395"/>
        </w:trPr>
        <w:tc>
          <w:tcPr>
            <w:tcW w:w="144"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before="20" w:after="20" w:line="300" w:lineRule="exact"/>
              <w:jc w:val="center"/>
              <w:rPr>
                <w:sz w:val="22"/>
                <w:szCs w:val="22"/>
                <w:lang w:val="pt-BR"/>
              </w:rPr>
            </w:pPr>
            <w:r w:rsidRPr="007C0A9C">
              <w:rPr>
                <w:sz w:val="22"/>
                <w:szCs w:val="22"/>
                <w:lang w:val="pt-BR"/>
              </w:rPr>
              <w:t>3</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b/>
                <w:sz w:val="20"/>
                <w:szCs w:val="22"/>
                <w:lang w:val="pl-PL"/>
              </w:rPr>
            </w:pPr>
            <w:r w:rsidRPr="007C0A9C">
              <w:rPr>
                <w:sz w:val="20"/>
                <w:szCs w:val="22"/>
                <w:lang w:val="pt-BR"/>
              </w:rPr>
              <w:t>Tư cách hợp lệ theo quy định tại khoản 3 Điều 5 của Luật đấu thầu</w:t>
            </w:r>
          </w:p>
        </w:tc>
        <w:tc>
          <w:tcPr>
            <w:tcW w:w="256"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285"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191"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b/>
                <w:bCs/>
                <w:sz w:val="22"/>
                <w:szCs w:val="22"/>
                <w:lang w:val="pt-BR"/>
              </w:rPr>
            </w:pPr>
          </w:p>
        </w:tc>
        <w:tc>
          <w:tcPr>
            <w:tcW w:w="320"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c>
          <w:tcPr>
            <w:tcW w:w="347"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400" w:type="pct"/>
          <w:trHeight w:val="395"/>
        </w:trPr>
        <w:tc>
          <w:tcPr>
            <w:tcW w:w="144"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before="20" w:after="20" w:line="300" w:lineRule="exact"/>
              <w:jc w:val="center"/>
              <w:rPr>
                <w:sz w:val="22"/>
                <w:szCs w:val="22"/>
                <w:lang w:val="pt-BR"/>
              </w:rPr>
            </w:pPr>
            <w:r w:rsidRPr="007C0A9C">
              <w:rPr>
                <w:sz w:val="22"/>
                <w:szCs w:val="22"/>
                <w:lang w:val="pt-BR"/>
              </w:rPr>
              <w:t>3.1</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sz w:val="20"/>
                <w:szCs w:val="22"/>
                <w:lang w:val="vi-VN"/>
              </w:rPr>
            </w:pPr>
            <w:r w:rsidRPr="007C0A9C">
              <w:rPr>
                <w:sz w:val="20"/>
                <w:szCs w:val="22"/>
                <w:lang w:val="vi-VN"/>
              </w:rPr>
              <w:t>Có năng lực hành vi dân sự đầy đủ</w:t>
            </w:r>
            <w:r w:rsidRPr="007C0A9C">
              <w:rPr>
                <w:sz w:val="20"/>
                <w:szCs w:val="22"/>
                <w:vertAlign w:val="superscript"/>
                <w:lang w:val="pt-BR"/>
              </w:rPr>
              <w:t>(3)</w:t>
            </w:r>
          </w:p>
        </w:tc>
        <w:tc>
          <w:tcPr>
            <w:tcW w:w="256"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285"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191"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b/>
                <w:bCs/>
                <w:sz w:val="22"/>
                <w:szCs w:val="22"/>
                <w:lang w:val="pt-BR"/>
              </w:rPr>
            </w:pPr>
          </w:p>
        </w:tc>
        <w:tc>
          <w:tcPr>
            <w:tcW w:w="320"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c>
          <w:tcPr>
            <w:tcW w:w="347"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400" w:type="pct"/>
          <w:trHeight w:val="395"/>
        </w:trPr>
        <w:tc>
          <w:tcPr>
            <w:tcW w:w="144"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before="20" w:after="20" w:line="300" w:lineRule="exact"/>
              <w:jc w:val="center"/>
              <w:rPr>
                <w:sz w:val="22"/>
                <w:szCs w:val="22"/>
                <w:lang w:val="pt-BR"/>
              </w:rPr>
            </w:pPr>
            <w:r w:rsidRPr="007C0A9C">
              <w:rPr>
                <w:sz w:val="22"/>
                <w:szCs w:val="22"/>
                <w:lang w:val="pt-BR"/>
              </w:rPr>
              <w:t>3.2</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sz w:val="20"/>
                <w:szCs w:val="22"/>
                <w:lang w:val="vi-VN"/>
              </w:rPr>
            </w:pPr>
            <w:r w:rsidRPr="007C0A9C">
              <w:rPr>
                <w:sz w:val="20"/>
                <w:szCs w:val="22"/>
                <w:lang w:val="vi-VN"/>
              </w:rPr>
              <w:t>Không đang bị truy cứu trách nhiệm hình sự</w:t>
            </w:r>
            <w:r w:rsidRPr="007C0A9C">
              <w:rPr>
                <w:sz w:val="20"/>
                <w:szCs w:val="22"/>
                <w:vertAlign w:val="superscript"/>
                <w:lang w:val="pt-BR"/>
              </w:rPr>
              <w:t>(3)</w:t>
            </w:r>
          </w:p>
        </w:tc>
        <w:tc>
          <w:tcPr>
            <w:tcW w:w="256"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285"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191"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b/>
                <w:bCs/>
                <w:sz w:val="22"/>
                <w:szCs w:val="22"/>
                <w:lang w:val="pt-BR"/>
              </w:rPr>
            </w:pPr>
          </w:p>
        </w:tc>
        <w:tc>
          <w:tcPr>
            <w:tcW w:w="320"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c>
          <w:tcPr>
            <w:tcW w:w="347"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400" w:type="pct"/>
          <w:trHeight w:val="395"/>
        </w:trPr>
        <w:tc>
          <w:tcPr>
            <w:tcW w:w="144"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before="20" w:after="20" w:line="300" w:lineRule="exact"/>
              <w:jc w:val="center"/>
              <w:rPr>
                <w:sz w:val="22"/>
                <w:szCs w:val="22"/>
                <w:lang w:val="pt-BR"/>
              </w:rPr>
            </w:pPr>
            <w:r w:rsidRPr="007C0A9C">
              <w:rPr>
                <w:sz w:val="22"/>
                <w:szCs w:val="22"/>
                <w:lang w:val="pt-BR"/>
              </w:rPr>
              <w:t>3.3</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spacing w:val="-4"/>
                <w:sz w:val="20"/>
                <w:szCs w:val="22"/>
                <w:lang w:val="pt-BR"/>
              </w:rPr>
            </w:pPr>
            <w:r w:rsidRPr="007C0A9C">
              <w:rPr>
                <w:sz w:val="20"/>
                <w:szCs w:val="22"/>
                <w:lang w:val="vi-VN"/>
              </w:rPr>
              <w:t>Bảo đảm cạnh tranh trong đấu thầu</w:t>
            </w:r>
            <w:r w:rsidRPr="007C0A9C">
              <w:rPr>
                <w:sz w:val="20"/>
                <w:szCs w:val="22"/>
                <w:vertAlign w:val="superscript"/>
                <w:lang w:val="pt-BR"/>
              </w:rPr>
              <w:t>(3)</w:t>
            </w:r>
          </w:p>
        </w:tc>
        <w:tc>
          <w:tcPr>
            <w:tcW w:w="256"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285"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191"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b/>
                <w:bCs/>
                <w:sz w:val="22"/>
                <w:szCs w:val="22"/>
                <w:lang w:val="pt-BR"/>
              </w:rPr>
            </w:pPr>
          </w:p>
        </w:tc>
        <w:tc>
          <w:tcPr>
            <w:tcW w:w="320"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c>
          <w:tcPr>
            <w:tcW w:w="347"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400" w:type="pct"/>
          <w:trHeight w:val="395"/>
        </w:trPr>
        <w:tc>
          <w:tcPr>
            <w:tcW w:w="144"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before="20" w:after="20" w:line="300" w:lineRule="exact"/>
              <w:jc w:val="center"/>
              <w:rPr>
                <w:sz w:val="22"/>
                <w:szCs w:val="22"/>
                <w:lang w:val="pt-BR"/>
              </w:rPr>
            </w:pPr>
            <w:r w:rsidRPr="007C0A9C">
              <w:rPr>
                <w:sz w:val="22"/>
                <w:szCs w:val="22"/>
                <w:lang w:val="pt-BR"/>
              </w:rPr>
              <w:t>3.4</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sz w:val="20"/>
                <w:szCs w:val="22"/>
                <w:lang w:val="vi-VN"/>
              </w:rPr>
            </w:pPr>
            <w:r w:rsidRPr="007C0A9C">
              <w:rPr>
                <w:sz w:val="20"/>
                <w:szCs w:val="22"/>
                <w:lang w:val="vi-VN"/>
              </w:rPr>
              <w:t>Không đang trong thời gian bị cấm tham dự thầu</w:t>
            </w:r>
            <w:r w:rsidRPr="007C0A9C">
              <w:rPr>
                <w:sz w:val="20"/>
                <w:szCs w:val="22"/>
                <w:lang w:val="pt-BR"/>
              </w:rPr>
              <w:t xml:space="preserve"> theo quy định của Luật Đấu thầu</w:t>
            </w:r>
            <w:r w:rsidRPr="007C0A9C">
              <w:rPr>
                <w:sz w:val="20"/>
                <w:szCs w:val="22"/>
                <w:vertAlign w:val="superscript"/>
                <w:lang w:val="pt-BR"/>
              </w:rPr>
              <w:t>(3)</w:t>
            </w:r>
          </w:p>
        </w:tc>
        <w:tc>
          <w:tcPr>
            <w:tcW w:w="256"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285"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191"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b/>
                <w:bCs/>
                <w:sz w:val="22"/>
                <w:szCs w:val="22"/>
                <w:lang w:val="pt-BR"/>
              </w:rPr>
            </w:pPr>
          </w:p>
        </w:tc>
        <w:tc>
          <w:tcPr>
            <w:tcW w:w="320"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c>
          <w:tcPr>
            <w:tcW w:w="347"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400" w:type="pct"/>
          <w:trHeight w:val="395"/>
        </w:trPr>
        <w:tc>
          <w:tcPr>
            <w:tcW w:w="144"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before="20" w:after="20" w:line="300" w:lineRule="exact"/>
              <w:jc w:val="center"/>
              <w:rPr>
                <w:sz w:val="22"/>
                <w:szCs w:val="22"/>
                <w:lang w:val="pt-BR"/>
              </w:rPr>
            </w:pPr>
            <w:r w:rsidRPr="007C0A9C">
              <w:rPr>
                <w:sz w:val="22"/>
                <w:szCs w:val="22"/>
                <w:lang w:val="pt-BR"/>
              </w:rPr>
              <w:t>3.5</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sz w:val="20"/>
                <w:szCs w:val="22"/>
                <w:lang w:val="vi-VN"/>
              </w:rPr>
            </w:pPr>
            <w:r w:rsidRPr="007C0A9C">
              <w:rPr>
                <w:sz w:val="20"/>
                <w:szCs w:val="22"/>
                <w:lang w:val="vi-VN"/>
              </w:rPr>
              <w:t xml:space="preserve">Có chứng chỉ chuyên môn phù hợp trong trường hợp pháp luật </w:t>
            </w:r>
            <w:r w:rsidRPr="007C0A9C">
              <w:rPr>
                <w:sz w:val="20"/>
                <w:szCs w:val="22"/>
                <w:lang w:val="pt-BR"/>
              </w:rPr>
              <w:t xml:space="preserve">quản lý ngành, lĩnh vực </w:t>
            </w:r>
            <w:r w:rsidRPr="007C0A9C">
              <w:rPr>
                <w:sz w:val="20"/>
                <w:szCs w:val="22"/>
                <w:lang w:val="vi-VN"/>
              </w:rPr>
              <w:t>có quy định</w:t>
            </w:r>
            <w:r w:rsidRPr="007C0A9C">
              <w:rPr>
                <w:sz w:val="20"/>
                <w:szCs w:val="22"/>
                <w:vertAlign w:val="superscript"/>
                <w:lang w:val="pt-BR"/>
              </w:rPr>
              <w:t>(8))</w:t>
            </w:r>
          </w:p>
        </w:tc>
        <w:tc>
          <w:tcPr>
            <w:tcW w:w="256"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285"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191"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b/>
                <w:bCs/>
                <w:sz w:val="22"/>
                <w:szCs w:val="22"/>
                <w:lang w:val="pt-BR"/>
              </w:rPr>
            </w:pPr>
          </w:p>
        </w:tc>
        <w:tc>
          <w:tcPr>
            <w:tcW w:w="320"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c>
          <w:tcPr>
            <w:tcW w:w="347"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400" w:type="pct"/>
          <w:trHeight w:val="395"/>
        </w:trPr>
        <w:tc>
          <w:tcPr>
            <w:tcW w:w="144"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before="20" w:after="20" w:line="300" w:lineRule="exact"/>
              <w:jc w:val="center"/>
              <w:rPr>
                <w:sz w:val="22"/>
                <w:szCs w:val="22"/>
                <w:lang w:val="pt-BR"/>
              </w:rPr>
            </w:pPr>
            <w:r w:rsidRPr="007C0A9C">
              <w:rPr>
                <w:sz w:val="22"/>
                <w:szCs w:val="22"/>
                <w:lang w:val="pt-BR"/>
              </w:rPr>
              <w:t>4</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sz w:val="20"/>
                <w:szCs w:val="22"/>
                <w:lang w:val="vi-VN"/>
              </w:rPr>
            </w:pPr>
            <w:r w:rsidRPr="007C0A9C">
              <w:rPr>
                <w:sz w:val="20"/>
                <w:szCs w:val="22"/>
                <w:lang w:val="vi-VN"/>
              </w:rPr>
              <w:t xml:space="preserve">Trong thời hạn 03 năm trước thời điểm đóng thầu, các thành viên trong nhóm cá nhân không bị tòa án kết án có hành vi vi phạm quy định về đấu thầu gây hậu quả nghiêm trọng theo quy định của pháp luật về hình sự </w:t>
            </w:r>
            <w:r w:rsidRPr="007C0A9C">
              <w:rPr>
                <w:sz w:val="20"/>
                <w:szCs w:val="22"/>
                <w:lang w:val="vi-VN"/>
              </w:rPr>
              <w:lastRenderedPageBreak/>
              <w:t>nhằm mục đích cho cá nhân (hoặc nhóm cá nhân trong đó có nhân sự vi phạm) trúng thầu</w:t>
            </w:r>
            <w:r w:rsidRPr="007C0A9C">
              <w:rPr>
                <w:sz w:val="20"/>
                <w:szCs w:val="22"/>
                <w:vertAlign w:val="superscript"/>
                <w:lang w:val="pt-BR"/>
              </w:rPr>
              <w:t>(3)</w:t>
            </w:r>
          </w:p>
        </w:tc>
        <w:tc>
          <w:tcPr>
            <w:tcW w:w="256"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285"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bCs/>
                <w:sz w:val="22"/>
                <w:szCs w:val="22"/>
                <w:lang w:val="pt-BR"/>
              </w:rPr>
            </w:pPr>
          </w:p>
        </w:tc>
        <w:tc>
          <w:tcPr>
            <w:tcW w:w="191" w:type="pct"/>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line="264" w:lineRule="auto"/>
              <w:rPr>
                <w:b/>
                <w:bCs/>
                <w:sz w:val="22"/>
                <w:szCs w:val="22"/>
                <w:lang w:val="pt-BR"/>
              </w:rPr>
            </w:pPr>
          </w:p>
        </w:tc>
        <w:tc>
          <w:tcPr>
            <w:tcW w:w="320"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c>
          <w:tcPr>
            <w:tcW w:w="347"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line="264" w:lineRule="auto"/>
              <w:rPr>
                <w:b/>
                <w:sz w:val="22"/>
                <w:szCs w:val="22"/>
                <w:lang w:val="pt-BR"/>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400" w:type="pct"/>
          <w:trHeight w:val="395"/>
        </w:trPr>
        <w:tc>
          <w:tcPr>
            <w:tcW w:w="1202" w:type="pct"/>
            <w:gridSpan w:val="3"/>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before="20" w:after="20" w:line="300" w:lineRule="exact"/>
              <w:jc w:val="center"/>
              <w:rPr>
                <w:bCs/>
                <w:sz w:val="22"/>
                <w:szCs w:val="22"/>
                <w:vertAlign w:val="superscript"/>
                <w:lang w:val="es-ES"/>
              </w:rPr>
            </w:pPr>
            <w:r w:rsidRPr="007C0A9C">
              <w:rPr>
                <w:b/>
                <w:bCs/>
                <w:sz w:val="22"/>
                <w:szCs w:val="22"/>
                <w:lang w:val="es-ES"/>
              </w:rPr>
              <w:lastRenderedPageBreak/>
              <w:t>KẾT LUẬN</w:t>
            </w:r>
          </w:p>
        </w:tc>
        <w:tc>
          <w:tcPr>
            <w:tcW w:w="540" w:type="pct"/>
            <w:gridSpan w:val="2"/>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before="20" w:after="20" w:line="300" w:lineRule="exact"/>
              <w:jc w:val="center"/>
              <w:rPr>
                <w:b/>
                <w:bCs/>
                <w:sz w:val="22"/>
                <w:szCs w:val="22"/>
                <w:lang w:val="es-ES"/>
              </w:rPr>
            </w:pPr>
          </w:p>
        </w:tc>
        <w:tc>
          <w:tcPr>
            <w:tcW w:w="511" w:type="pct"/>
            <w:gridSpan w:val="2"/>
            <w:tcBorders>
              <w:top w:val="single" w:sz="4" w:space="0" w:color="auto"/>
              <w:left w:val="single" w:sz="4" w:space="0" w:color="auto"/>
              <w:bottom w:val="single" w:sz="4" w:space="0" w:color="auto"/>
              <w:right w:val="single" w:sz="4" w:space="0" w:color="auto"/>
            </w:tcBorders>
            <w:vAlign w:val="center"/>
          </w:tcPr>
          <w:p w:rsidR="007C0A9C" w:rsidRPr="007C0A9C" w:rsidRDefault="007C0A9C" w:rsidP="005820EE">
            <w:pPr>
              <w:spacing w:before="20" w:after="20" w:line="300" w:lineRule="exact"/>
              <w:jc w:val="center"/>
              <w:rPr>
                <w:b/>
                <w:bCs/>
                <w:sz w:val="22"/>
                <w:szCs w:val="22"/>
                <w:lang w:val="es-ES"/>
              </w:rPr>
            </w:pPr>
          </w:p>
        </w:tc>
        <w:tc>
          <w:tcPr>
            <w:tcW w:w="347" w:type="pct"/>
            <w:tcBorders>
              <w:top w:val="single" w:sz="4" w:space="0" w:color="auto"/>
              <w:left w:val="single" w:sz="4" w:space="0" w:color="auto"/>
              <w:bottom w:val="single" w:sz="4" w:space="0" w:color="auto"/>
              <w:right w:val="single" w:sz="4" w:space="0" w:color="auto"/>
            </w:tcBorders>
          </w:tcPr>
          <w:p w:rsidR="007C0A9C" w:rsidRPr="007C0A9C" w:rsidRDefault="007C0A9C" w:rsidP="005820EE">
            <w:pPr>
              <w:spacing w:before="20" w:after="20" w:line="300" w:lineRule="exact"/>
              <w:jc w:val="center"/>
              <w:rPr>
                <w:b/>
                <w:bCs/>
                <w:sz w:val="22"/>
                <w:szCs w:val="22"/>
                <w:lang w:val="es-ES"/>
              </w:rPr>
            </w:pPr>
          </w:p>
        </w:tc>
      </w:tr>
      <w:bookmarkEnd w:id="9"/>
    </w:tbl>
    <w:p w:rsidR="007C0A9C" w:rsidRPr="007C0A9C" w:rsidRDefault="007C0A9C" w:rsidP="007C0A9C">
      <w:pPr>
        <w:ind w:left="9624"/>
        <w:jc w:val="center"/>
        <w:rPr>
          <w:b/>
          <w:iCs/>
          <w:lang w:val="es-ES"/>
        </w:rPr>
      </w:pPr>
    </w:p>
    <w:p w:rsidR="007C0A9C" w:rsidRPr="007C0A9C" w:rsidRDefault="007C0A9C" w:rsidP="007C0A9C">
      <w:pPr>
        <w:ind w:left="9624"/>
        <w:jc w:val="center"/>
        <w:rPr>
          <w:b/>
          <w:iCs/>
          <w:vertAlign w:val="superscript"/>
          <w:lang w:val="es-ES"/>
        </w:rPr>
      </w:pPr>
      <w:r w:rsidRPr="007C0A9C">
        <w:rPr>
          <w:b/>
          <w:iCs/>
          <w:lang w:val="es-ES"/>
        </w:rPr>
        <w:t>Người đánh giá</w:t>
      </w:r>
    </w:p>
    <w:p w:rsidR="007C0A9C" w:rsidRPr="007C0A9C" w:rsidRDefault="007C0A9C" w:rsidP="007C0A9C">
      <w:pPr>
        <w:ind w:left="9624"/>
        <w:jc w:val="center"/>
        <w:rPr>
          <w:i/>
          <w:iCs/>
          <w:lang w:val="sv-SE"/>
        </w:rPr>
      </w:pPr>
      <w:r w:rsidRPr="007C0A9C">
        <w:rPr>
          <w:i/>
          <w:iCs/>
          <w:lang w:val="es-ES"/>
        </w:rPr>
        <w:t>(Ký và ghi rõ họ tên)</w:t>
      </w:r>
    </w:p>
    <w:p w:rsidR="007C0A9C" w:rsidRPr="007C0A9C" w:rsidRDefault="007C0A9C" w:rsidP="007C0A9C">
      <w:pPr>
        <w:ind w:firstLine="454"/>
        <w:rPr>
          <w:szCs w:val="24"/>
          <w:lang w:val="sv-SE"/>
        </w:rPr>
      </w:pPr>
    </w:p>
    <w:p w:rsidR="007C0A9C" w:rsidRPr="007C0A9C" w:rsidRDefault="007C0A9C" w:rsidP="007C0A9C">
      <w:pPr>
        <w:ind w:firstLine="454"/>
        <w:rPr>
          <w:szCs w:val="24"/>
          <w:lang w:val="sv-SE"/>
        </w:rPr>
      </w:pPr>
    </w:p>
    <w:p w:rsidR="007C0A9C" w:rsidRPr="007C0A9C" w:rsidRDefault="007C0A9C" w:rsidP="007C0A9C">
      <w:pPr>
        <w:ind w:firstLine="454"/>
        <w:rPr>
          <w:szCs w:val="24"/>
          <w:lang w:val="sv-SE"/>
        </w:rPr>
      </w:pPr>
    </w:p>
    <w:p w:rsidR="007C0A9C" w:rsidRPr="007C0A9C" w:rsidRDefault="007C0A9C" w:rsidP="007C0A9C">
      <w:pPr>
        <w:ind w:firstLine="454"/>
        <w:rPr>
          <w:szCs w:val="24"/>
          <w:lang w:val="sv-SE"/>
        </w:rPr>
      </w:pPr>
    </w:p>
    <w:p w:rsidR="007C0A9C" w:rsidRPr="007C0A9C" w:rsidRDefault="007C0A9C" w:rsidP="007C0A9C">
      <w:pPr>
        <w:ind w:firstLine="454"/>
        <w:rPr>
          <w:szCs w:val="24"/>
          <w:lang w:val="sv-SE"/>
        </w:rPr>
      </w:pPr>
    </w:p>
    <w:p w:rsidR="007C0A9C" w:rsidRPr="007C0A9C" w:rsidRDefault="007C0A9C" w:rsidP="007C0A9C">
      <w:pPr>
        <w:ind w:firstLine="454"/>
        <w:rPr>
          <w:szCs w:val="24"/>
          <w:lang w:val="sv-SE"/>
        </w:rPr>
      </w:pPr>
    </w:p>
    <w:p w:rsidR="007C0A9C" w:rsidRPr="007C0A9C" w:rsidRDefault="007C0A9C" w:rsidP="007C0A9C">
      <w:pPr>
        <w:ind w:firstLine="454"/>
        <w:rPr>
          <w:szCs w:val="24"/>
          <w:lang w:val="sv-SE"/>
        </w:rPr>
      </w:pPr>
    </w:p>
    <w:p w:rsidR="007C0A9C" w:rsidRPr="007C0A9C" w:rsidRDefault="007C0A9C" w:rsidP="007C0A9C">
      <w:pPr>
        <w:ind w:firstLine="454"/>
        <w:rPr>
          <w:b/>
          <w:sz w:val="18"/>
          <w:szCs w:val="24"/>
          <w:lang w:val="sv-SE"/>
        </w:rPr>
      </w:pPr>
      <w:r w:rsidRPr="007C0A9C">
        <w:rPr>
          <w:sz w:val="18"/>
          <w:szCs w:val="24"/>
          <w:lang w:val="sv-SE"/>
        </w:rPr>
        <w:t>Ghi chú</w:t>
      </w:r>
      <w:r w:rsidRPr="007C0A9C">
        <w:rPr>
          <w:bCs/>
          <w:sz w:val="18"/>
          <w:szCs w:val="24"/>
          <w:lang w:val="sv-SE"/>
        </w:rPr>
        <w:t xml:space="preserve">: </w:t>
      </w:r>
    </w:p>
    <w:p w:rsidR="007C0A9C" w:rsidRPr="007C0A9C" w:rsidRDefault="007C0A9C" w:rsidP="007C0A9C">
      <w:pPr>
        <w:ind w:firstLine="426"/>
        <w:rPr>
          <w:strike/>
          <w:sz w:val="18"/>
          <w:szCs w:val="24"/>
          <w:lang w:val="pt-BR"/>
        </w:rPr>
      </w:pPr>
      <w:bookmarkStart w:id="10" w:name="_Hlk100740487"/>
      <w:r w:rsidRPr="007C0A9C">
        <w:rPr>
          <w:sz w:val="18"/>
          <w:szCs w:val="24"/>
          <w:lang w:val="pt-BR"/>
        </w:rPr>
        <w:t xml:space="preserve">(1) </w:t>
      </w:r>
      <w:bookmarkStart w:id="11" w:name="_Hlk179983658"/>
      <w:r w:rsidRPr="007C0A9C">
        <w:rPr>
          <w:sz w:val="18"/>
          <w:szCs w:val="24"/>
          <w:lang w:val="pt-BR"/>
        </w:rPr>
        <w:t>Tổ chuyên gia đánh giá, trừ trường hợp giá trị bảo đảm dự thầu nhỏ hơn 50 triệu đồng.</w:t>
      </w:r>
      <w:bookmarkStart w:id="12" w:name="_Hlk172896824"/>
      <w:bookmarkEnd w:id="10"/>
      <w:r w:rsidRPr="007C0A9C">
        <w:rPr>
          <w:sz w:val="18"/>
          <w:szCs w:val="24"/>
          <w:lang w:val="pt-BR"/>
        </w:rPr>
        <w:t xml:space="preserve"> </w:t>
      </w:r>
      <w:bookmarkEnd w:id="11"/>
      <w:bookmarkEnd w:id="12"/>
      <w:r w:rsidRPr="007C0A9C">
        <w:rPr>
          <w:sz w:val="18"/>
          <w:szCs w:val="24"/>
          <w:lang w:val="pt-BR"/>
        </w:rPr>
        <w:t xml:space="preserve">Đối với gói thầu đấu thầu thầu trước và E-HSMT quy định không áp dụng bảo đảm dự thầu, không đánh giá nội dung bảo đảm dự thầu. </w:t>
      </w:r>
    </w:p>
    <w:p w:rsidR="007C0A9C" w:rsidRPr="007C0A9C" w:rsidRDefault="007C0A9C" w:rsidP="007C0A9C">
      <w:pPr>
        <w:ind w:firstLine="426"/>
        <w:rPr>
          <w:sz w:val="18"/>
          <w:szCs w:val="24"/>
          <w:lang w:val="pt-BR"/>
        </w:rPr>
      </w:pPr>
      <w:r w:rsidRPr="007C0A9C">
        <w:rPr>
          <w:sz w:val="18"/>
          <w:szCs w:val="24"/>
          <w:lang w:val="pt-BR"/>
        </w:rPr>
        <w:t xml:space="preserve">(2) Tổ chuyên gia đánh giá </w:t>
      </w:r>
      <w:bookmarkStart w:id="13" w:name="_Hlk89352861"/>
      <w:r w:rsidRPr="007C0A9C">
        <w:rPr>
          <w:sz w:val="18"/>
          <w:szCs w:val="24"/>
          <w:lang w:val="pt-BR"/>
        </w:rPr>
        <w:t>theo bản thỏa thuận liên danh (</w:t>
      </w:r>
      <w:bookmarkStart w:id="14" w:name="_Hlk161911613"/>
      <w:bookmarkEnd w:id="13"/>
      <w:r w:rsidRPr="007C0A9C">
        <w:rPr>
          <w:sz w:val="18"/>
          <w:szCs w:val="24"/>
          <w:lang w:val="pt-BR"/>
        </w:rPr>
        <w:t>webform trên Hệ thống</w:t>
      </w:r>
      <w:bookmarkEnd w:id="14"/>
      <w:r w:rsidRPr="007C0A9C">
        <w:rPr>
          <w:sz w:val="18"/>
          <w:szCs w:val="24"/>
          <w:lang w:val="pt-BR"/>
        </w:rPr>
        <w:t>)</w:t>
      </w:r>
    </w:p>
    <w:p w:rsidR="007C0A9C" w:rsidRPr="007C0A9C" w:rsidRDefault="007C0A9C" w:rsidP="007C0A9C">
      <w:pPr>
        <w:ind w:firstLine="426"/>
        <w:rPr>
          <w:sz w:val="18"/>
          <w:szCs w:val="24"/>
          <w:lang w:val="pt-BR"/>
        </w:rPr>
      </w:pPr>
      <w:r w:rsidRPr="007C0A9C">
        <w:rPr>
          <w:sz w:val="18"/>
          <w:szCs w:val="24"/>
          <w:lang w:val="pt-BR"/>
        </w:rPr>
        <w:t>(3) Hệ thống tự động đánh giá trên cơ sở cam kết của nhà thầu trong E-HSDT.</w:t>
      </w:r>
    </w:p>
    <w:p w:rsidR="007C0A9C" w:rsidRPr="007C0A9C" w:rsidRDefault="007C0A9C" w:rsidP="007C0A9C">
      <w:pPr>
        <w:rPr>
          <w:spacing w:val="-4"/>
          <w:sz w:val="18"/>
          <w:szCs w:val="24"/>
          <w:lang w:val="sv-SE"/>
        </w:rPr>
      </w:pPr>
      <w:r w:rsidRPr="007C0A9C">
        <w:rPr>
          <w:spacing w:val="-4"/>
          <w:sz w:val="18"/>
          <w:szCs w:val="24"/>
          <w:lang w:val="sv-SE"/>
        </w:rPr>
        <w:t>Trường hợp tổ chuyên gia phát hiện Hệ thống đánh giá nhà thầu "đạt" là chưa chính xác thì tổ chuyên gia có quyền đánh giá lại để làm kết quả đánh giá ở nội dung này và nêu rõ ý kiến tại phiếu chấm của tổ chuyên gia. Trường hợp Hệ thống đánh giá "không đạt" thì nhà thầu bị loại. Đối với các nội dung Hệ thống tự động đánh giá "không đạt", tổ chuyên gia không thể sửa đổi kết quả đánh giá từ "không đạt" thành "đạt"</w:t>
      </w:r>
    </w:p>
    <w:p w:rsidR="007C0A9C" w:rsidRPr="007C0A9C" w:rsidRDefault="007C0A9C" w:rsidP="007C0A9C">
      <w:pPr>
        <w:ind w:firstLine="426"/>
        <w:rPr>
          <w:sz w:val="18"/>
          <w:szCs w:val="24"/>
          <w:lang w:val="pt-BR"/>
        </w:rPr>
      </w:pPr>
      <w:r w:rsidRPr="007C0A9C">
        <w:rPr>
          <w:sz w:val="18"/>
          <w:szCs w:val="24"/>
          <w:lang w:val="pt-BR"/>
        </w:rPr>
        <w:t xml:space="preserve">(4) Chỉ áp dụng đối với gói thầu xây lắp có giá gói thầu ≤ 5 tỷ đồng. Hệ thống tự động đánh giá trên cơ sở cam kết của nhà thầu trong đơn dự thầu. Trường hợp gói thầu đã tổ chức lựa chọn nhà thầu, nếu không có doanh nghiệp siêu nhỏ và nhỏ đáp ứng yêu cầu thì khi tổ chức đấu thầu lại, nhà thầu không phải đáp ứng yêu cầu này. </w:t>
      </w:r>
    </w:p>
    <w:p w:rsidR="007C0A9C" w:rsidRPr="007C0A9C" w:rsidRDefault="007C0A9C" w:rsidP="007C0A9C">
      <w:pPr>
        <w:ind w:firstLine="426"/>
        <w:rPr>
          <w:sz w:val="18"/>
          <w:szCs w:val="24"/>
          <w:lang w:val="pt-BR"/>
        </w:rPr>
      </w:pPr>
      <w:bookmarkStart w:id="15" w:name="_Hlk157369236"/>
      <w:r w:rsidRPr="007C0A9C">
        <w:rPr>
          <w:sz w:val="18"/>
          <w:szCs w:val="24"/>
          <w:lang w:val="pt-BR"/>
        </w:rPr>
        <w:t xml:space="preserve">(5) Chỉ áp dụng đối với gói thầu mua sắm hàng hóa có giá gói thầu dưới 500 triệu đồng và chủ đầu tư quyết định </w:t>
      </w:r>
      <w:r w:rsidRPr="007C0A9C">
        <w:rPr>
          <w:sz w:val="18"/>
          <w:szCs w:val="24"/>
          <w:lang w:val="vi-VN"/>
        </w:rPr>
        <w:t xml:space="preserve">chỉ cho phép nhà thầu </w:t>
      </w:r>
      <w:r w:rsidRPr="007C0A9C">
        <w:rPr>
          <w:sz w:val="18"/>
          <w:szCs w:val="24"/>
          <w:lang w:val="pt-BR"/>
        </w:rPr>
        <w:t xml:space="preserve">sau được tham dự thầu: </w:t>
      </w:r>
      <w:r w:rsidRPr="007C0A9C">
        <w:rPr>
          <w:sz w:val="18"/>
          <w:szCs w:val="24"/>
          <w:lang w:val="vi-VN"/>
        </w:rPr>
        <w:t xml:space="preserve">có từ 50% lao động </w:t>
      </w:r>
      <w:r w:rsidRPr="007C0A9C">
        <w:rPr>
          <w:sz w:val="18"/>
          <w:szCs w:val="24"/>
          <w:lang w:val="pt-BR"/>
        </w:rPr>
        <w:t xml:space="preserve">trở lên </w:t>
      </w:r>
      <w:r w:rsidRPr="007C0A9C">
        <w:rPr>
          <w:sz w:val="18"/>
          <w:szCs w:val="24"/>
          <w:lang w:val="vi-VN"/>
        </w:rPr>
        <w:t xml:space="preserve">là người khuyết tật, thương binh, dân tộc thiểu số có hợp đồng </w:t>
      </w:r>
      <w:r w:rsidRPr="007C0A9C">
        <w:rPr>
          <w:sz w:val="18"/>
          <w:szCs w:val="24"/>
          <w:lang w:val="pt-BR"/>
        </w:rPr>
        <w:t xml:space="preserve">lao động </w:t>
      </w:r>
      <w:r w:rsidRPr="007C0A9C">
        <w:rPr>
          <w:sz w:val="18"/>
          <w:szCs w:val="24"/>
          <w:lang w:val="vi-VN"/>
        </w:rPr>
        <w:t xml:space="preserve">với thời gian </w:t>
      </w:r>
      <w:r w:rsidRPr="007C0A9C">
        <w:rPr>
          <w:sz w:val="18"/>
          <w:szCs w:val="24"/>
          <w:lang w:val="pt-BR"/>
        </w:rPr>
        <w:t xml:space="preserve">thực hiện hợp đồng </w:t>
      </w:r>
      <w:r w:rsidRPr="007C0A9C">
        <w:rPr>
          <w:sz w:val="18"/>
          <w:szCs w:val="24"/>
          <w:lang w:val="vi-VN"/>
        </w:rPr>
        <w:t>từ 03 tháng trở lên</w:t>
      </w:r>
      <w:r w:rsidRPr="007C0A9C">
        <w:rPr>
          <w:sz w:val="18"/>
          <w:szCs w:val="24"/>
          <w:lang w:val="pt-BR"/>
        </w:rPr>
        <w:t xml:space="preserve"> và</w:t>
      </w:r>
      <w:r w:rsidRPr="007C0A9C">
        <w:rPr>
          <w:sz w:val="18"/>
          <w:szCs w:val="24"/>
          <w:lang w:val="vi-VN"/>
        </w:rPr>
        <w:t xml:space="preserve"> đến thời điểm đóng thầu vẫn còn hiệu lực. Tổ chuyên gia đánh giá trên cơ sở tài liệu chứng minh của nhà thầu. Trường hợp chủ đầu tư quyết định áp dụng mà không có nhà thầu tham dự hoặc không có nhà thầu đáp ứng yêu cầu thì tổ chức đấu thầu lại, nhà thầu không phải đáp ứng yêu cầu này. </w:t>
      </w:r>
    </w:p>
    <w:p w:rsidR="007C0A9C" w:rsidRPr="007C0A9C" w:rsidRDefault="007C0A9C" w:rsidP="007C0A9C">
      <w:pPr>
        <w:ind w:firstLine="426"/>
        <w:rPr>
          <w:sz w:val="18"/>
          <w:szCs w:val="24"/>
          <w:lang w:val="pt-BR"/>
        </w:rPr>
      </w:pPr>
      <w:r w:rsidRPr="007C0A9C">
        <w:rPr>
          <w:sz w:val="18"/>
          <w:szCs w:val="24"/>
          <w:lang w:val="pt-BR"/>
        </w:rPr>
        <w:t>(6) Hệ thống tự động đánh giá.</w:t>
      </w:r>
    </w:p>
    <w:p w:rsidR="007C0A9C" w:rsidRPr="007C0A9C" w:rsidRDefault="007C0A9C" w:rsidP="007C0A9C">
      <w:pPr>
        <w:ind w:firstLine="426"/>
        <w:rPr>
          <w:sz w:val="18"/>
          <w:szCs w:val="24"/>
          <w:lang w:val="pt-BR"/>
        </w:rPr>
      </w:pPr>
      <w:bookmarkStart w:id="16" w:name="_Hlk183623260"/>
      <w:r w:rsidRPr="007C0A9C">
        <w:rPr>
          <w:sz w:val="18"/>
          <w:szCs w:val="24"/>
          <w:lang w:val="pt-BR"/>
        </w:rPr>
        <w:t>(7) Chỉ áp dụng đối với gói thầu EPC, EC, EP. Tổ chuyên gia đánh giá.</w:t>
      </w:r>
    </w:p>
    <w:bookmarkEnd w:id="16"/>
    <w:p w:rsidR="007C0A9C" w:rsidRPr="007C0A9C" w:rsidRDefault="007C0A9C" w:rsidP="007C0A9C">
      <w:pPr>
        <w:ind w:firstLine="426"/>
        <w:rPr>
          <w:sz w:val="18"/>
          <w:szCs w:val="24"/>
          <w:lang w:val="pt-BR"/>
        </w:rPr>
      </w:pPr>
      <w:r w:rsidRPr="007C0A9C">
        <w:rPr>
          <w:sz w:val="18"/>
          <w:szCs w:val="24"/>
          <w:lang w:val="pt-BR"/>
        </w:rPr>
        <w:t>(8) Tổ chuyên gia đánh giá theo chứng chỉ chuyên môn đính kèm của cá nhân.</w:t>
      </w:r>
    </w:p>
    <w:p w:rsidR="007C0A9C" w:rsidRPr="007C0A9C" w:rsidRDefault="007C0A9C" w:rsidP="007C0A9C">
      <w:pPr>
        <w:ind w:firstLine="426"/>
        <w:rPr>
          <w:sz w:val="22"/>
          <w:szCs w:val="24"/>
          <w:lang w:val="pt-BR"/>
        </w:rPr>
      </w:pPr>
      <w:r w:rsidRPr="007C0A9C">
        <w:rPr>
          <w:sz w:val="18"/>
          <w:szCs w:val="24"/>
          <w:lang w:val="pt-BR"/>
        </w:rPr>
        <w:t xml:space="preserve">(9) E-HSDT có nội dung sai khác, đặt điều kiện hay bỏ sót nội dung cơ bản dẫn đến E-HSDT bị loại thì không phải tiếp tục đánh giá các tiêu chí khác. Trường hợp nhà thầu không đáp ứng một tiêu chí đánh giá cụ thể thì không </w:t>
      </w:r>
      <w:r w:rsidRPr="007C0A9C">
        <w:rPr>
          <w:sz w:val="16"/>
          <w:szCs w:val="24"/>
          <w:lang w:val="pt-BR"/>
        </w:rPr>
        <w:t>phải đán</w:t>
      </w:r>
      <w:r w:rsidRPr="007C0A9C">
        <w:rPr>
          <w:sz w:val="20"/>
          <w:szCs w:val="24"/>
          <w:lang w:val="pt-BR"/>
        </w:rPr>
        <w:t>h giá tiếp đối với các tiêu chí còn lại.</w:t>
      </w:r>
    </w:p>
    <w:bookmarkEnd w:id="15"/>
    <w:p w:rsidR="007C0A9C" w:rsidRPr="007C0A9C" w:rsidRDefault="007C0A9C" w:rsidP="007C0A9C">
      <w:pPr>
        <w:widowControl w:val="0"/>
        <w:spacing w:before="120" w:after="120" w:line="340" w:lineRule="exact"/>
        <w:ind w:left="1" w:firstLine="1"/>
        <w:rPr>
          <w:lang w:val="pt-BR"/>
        </w:rPr>
      </w:pPr>
    </w:p>
    <w:p w:rsidR="007C0A9C" w:rsidRPr="007C0A9C" w:rsidRDefault="007C0A9C" w:rsidP="007C0A9C">
      <w:pPr>
        <w:tabs>
          <w:tab w:val="left" w:pos="2688"/>
        </w:tabs>
        <w:rPr>
          <w:szCs w:val="24"/>
          <w:lang w:val="es-ES"/>
        </w:rPr>
      </w:pPr>
    </w:p>
    <w:p w:rsidR="007C0A9C" w:rsidRPr="007C0A9C" w:rsidRDefault="007C0A9C" w:rsidP="007C0A9C">
      <w:pPr>
        <w:tabs>
          <w:tab w:val="left" w:pos="2688"/>
        </w:tabs>
        <w:rPr>
          <w:szCs w:val="24"/>
          <w:lang w:val="es-ES"/>
        </w:rPr>
      </w:pPr>
    </w:p>
    <w:p w:rsidR="007C0A9C" w:rsidRDefault="007C0A9C" w:rsidP="007C0A9C">
      <w:pPr>
        <w:tabs>
          <w:tab w:val="left" w:pos="2688"/>
        </w:tabs>
        <w:rPr>
          <w:szCs w:val="24"/>
          <w:lang w:val="es-ES"/>
        </w:rPr>
      </w:pPr>
    </w:p>
    <w:p w:rsidR="001C5620" w:rsidRPr="007C0A9C" w:rsidRDefault="001C5620" w:rsidP="007C0A9C">
      <w:pPr>
        <w:tabs>
          <w:tab w:val="left" w:pos="2688"/>
        </w:tabs>
        <w:rPr>
          <w:szCs w:val="24"/>
          <w:lang w:val="es-ES"/>
        </w:rPr>
      </w:pPr>
    </w:p>
    <w:p w:rsidR="007C0A9C" w:rsidRPr="007C0A9C" w:rsidRDefault="007C0A9C" w:rsidP="007C0A9C">
      <w:pPr>
        <w:tabs>
          <w:tab w:val="left" w:pos="2688"/>
        </w:tabs>
        <w:rPr>
          <w:szCs w:val="24"/>
          <w:lang w:val="es-ES"/>
        </w:rPr>
      </w:pPr>
    </w:p>
    <w:p w:rsidR="007C0A9C" w:rsidRPr="007C0A9C" w:rsidRDefault="007C0A9C" w:rsidP="007C0A9C">
      <w:pPr>
        <w:tabs>
          <w:tab w:val="left" w:pos="2688"/>
        </w:tabs>
        <w:rPr>
          <w:szCs w:val="24"/>
          <w:lang w:val="es-ES"/>
        </w:rPr>
      </w:pPr>
    </w:p>
    <w:p w:rsidR="007C0A9C" w:rsidRPr="007C0A9C" w:rsidRDefault="007C0A9C" w:rsidP="007C0A9C">
      <w:pPr>
        <w:ind w:right="274"/>
        <w:jc w:val="right"/>
        <w:rPr>
          <w:b/>
          <w:lang w:val="sv-SE"/>
        </w:rPr>
      </w:pPr>
      <w:r w:rsidRPr="007C0A9C">
        <w:rPr>
          <w:szCs w:val="24"/>
          <w:lang w:val="es-ES"/>
        </w:rPr>
        <w:lastRenderedPageBreak/>
        <w:tab/>
      </w:r>
      <w:r w:rsidRPr="007C0A9C">
        <w:rPr>
          <w:b/>
          <w:lang w:val="sv-SE"/>
        </w:rPr>
        <w:t xml:space="preserve">Mẫu số 02 </w:t>
      </w:r>
    </w:p>
    <w:p w:rsidR="007C0A9C" w:rsidRPr="007C0A9C" w:rsidRDefault="007C0A9C" w:rsidP="007C0A9C">
      <w:pPr>
        <w:spacing w:before="120" w:after="120" w:line="380" w:lineRule="exact"/>
        <w:jc w:val="center"/>
        <w:rPr>
          <w:b/>
          <w:sz w:val="28"/>
          <w:vertAlign w:val="superscript"/>
          <w:lang w:val="sv-SE"/>
        </w:rPr>
      </w:pPr>
      <w:bookmarkStart w:id="17" w:name="_Toc257276536"/>
      <w:bookmarkStart w:id="18" w:name="_Toc257277045"/>
      <w:bookmarkStart w:id="19" w:name="_Toc258849086"/>
      <w:bookmarkStart w:id="20" w:name="_Toc259105136"/>
      <w:bookmarkStart w:id="21" w:name="_Toc259105286"/>
      <w:bookmarkStart w:id="22" w:name="_Toc401644268"/>
      <w:bookmarkStart w:id="23" w:name="_Toc404067801"/>
      <w:bookmarkStart w:id="24" w:name="_Toc421881151"/>
      <w:r w:rsidRPr="007C0A9C">
        <w:rPr>
          <w:b/>
          <w:sz w:val="28"/>
          <w:lang w:val="sv-SE"/>
        </w:rPr>
        <w:t xml:space="preserve">ĐÁNH GIÁ VỀ NĂNG LỰC VÀ KINH NGHIỆM </w:t>
      </w:r>
      <w:bookmarkEnd w:id="17"/>
      <w:bookmarkEnd w:id="18"/>
      <w:bookmarkEnd w:id="19"/>
      <w:bookmarkEnd w:id="20"/>
      <w:bookmarkEnd w:id="21"/>
      <w:bookmarkEnd w:id="22"/>
      <w:bookmarkEnd w:id="23"/>
      <w:bookmarkEnd w:id="24"/>
    </w:p>
    <w:tbl>
      <w:tblPr>
        <w:tblW w:w="10142" w:type="pct"/>
        <w:tblInd w:w="-540" w:type="dxa"/>
        <w:tblLook w:val="04A0" w:firstRow="1" w:lastRow="0" w:firstColumn="1" w:lastColumn="0" w:noHBand="0" w:noVBand="1"/>
      </w:tblPr>
      <w:tblGrid>
        <w:gridCol w:w="127"/>
        <w:gridCol w:w="527"/>
        <w:gridCol w:w="2295"/>
        <w:gridCol w:w="96"/>
        <w:gridCol w:w="5861"/>
        <w:gridCol w:w="1576"/>
        <w:gridCol w:w="851"/>
        <w:gridCol w:w="911"/>
        <w:gridCol w:w="743"/>
        <w:gridCol w:w="911"/>
        <w:gridCol w:w="1486"/>
        <w:gridCol w:w="2313"/>
        <w:gridCol w:w="12267"/>
      </w:tblGrid>
      <w:tr w:rsidR="007C0A9C" w:rsidRPr="007C0A9C" w:rsidTr="005820EE">
        <w:trPr>
          <w:gridBefore w:val="1"/>
          <w:wBefore w:w="21" w:type="pct"/>
          <w:trHeight w:val="368"/>
        </w:trPr>
        <w:tc>
          <w:tcPr>
            <w:tcW w:w="487" w:type="pct"/>
            <w:gridSpan w:val="3"/>
            <w:hideMark/>
          </w:tcPr>
          <w:p w:rsidR="007C0A9C" w:rsidRPr="007C0A9C" w:rsidRDefault="007C0A9C" w:rsidP="005820EE">
            <w:pPr>
              <w:spacing w:line="22" w:lineRule="atLeast"/>
              <w:rPr>
                <w:b/>
                <w:szCs w:val="24"/>
              </w:rPr>
            </w:pPr>
            <w:r w:rsidRPr="007C0A9C">
              <w:rPr>
                <w:b/>
                <w:szCs w:val="24"/>
              </w:rPr>
              <w:t>Gói thầu:</w:t>
            </w:r>
          </w:p>
        </w:tc>
        <w:tc>
          <w:tcPr>
            <w:tcW w:w="2445" w:type="pct"/>
            <w:gridSpan w:val="8"/>
          </w:tcPr>
          <w:p w:rsidR="007C0A9C" w:rsidRPr="007C0A9C" w:rsidRDefault="007C0A9C" w:rsidP="005820EE">
            <w:pPr>
              <w:tabs>
                <w:tab w:val="left" w:pos="1985"/>
              </w:tabs>
              <w:spacing w:line="22" w:lineRule="atLeast"/>
              <w:jc w:val="left"/>
              <w:rPr>
                <w:b/>
                <w:szCs w:val="24"/>
              </w:rPr>
            </w:pPr>
            <w:r w:rsidRPr="007C0A9C">
              <w:rPr>
                <w:b/>
                <w:color w:val="C00000"/>
                <w:szCs w:val="24"/>
                <w:lang w:val="vi-VN"/>
              </w:rPr>
              <w:t>Gói thầu số 01: Hóa chất xét nghiệm máy sinh hóa</w:t>
            </w:r>
          </w:p>
        </w:tc>
        <w:tc>
          <w:tcPr>
            <w:tcW w:w="2047" w:type="pct"/>
          </w:tcPr>
          <w:p w:rsidR="007C0A9C" w:rsidRPr="007C0A9C" w:rsidRDefault="007C0A9C" w:rsidP="005820EE">
            <w:pPr>
              <w:spacing w:line="22" w:lineRule="atLeast"/>
              <w:rPr>
                <w:sz w:val="22"/>
                <w:szCs w:val="22"/>
              </w:rPr>
            </w:pPr>
          </w:p>
        </w:tc>
      </w:tr>
      <w:tr w:rsidR="007C0A9C" w:rsidRPr="007C0A9C" w:rsidTr="005820EE">
        <w:trPr>
          <w:gridBefore w:val="1"/>
          <w:wBefore w:w="21" w:type="pct"/>
          <w:trHeight w:val="415"/>
        </w:trPr>
        <w:tc>
          <w:tcPr>
            <w:tcW w:w="487" w:type="pct"/>
            <w:gridSpan w:val="3"/>
            <w:hideMark/>
          </w:tcPr>
          <w:p w:rsidR="007C0A9C" w:rsidRPr="007C0A9C" w:rsidRDefault="007C0A9C" w:rsidP="005820EE">
            <w:pPr>
              <w:spacing w:line="22" w:lineRule="atLeast"/>
              <w:rPr>
                <w:b/>
                <w:szCs w:val="24"/>
              </w:rPr>
            </w:pPr>
            <w:r w:rsidRPr="007C0A9C">
              <w:rPr>
                <w:b/>
                <w:szCs w:val="24"/>
              </w:rPr>
              <w:t>Dự án/dự toán mua sắm:</w:t>
            </w:r>
          </w:p>
        </w:tc>
        <w:tc>
          <w:tcPr>
            <w:tcW w:w="2445" w:type="pct"/>
            <w:gridSpan w:val="8"/>
          </w:tcPr>
          <w:p w:rsidR="007C0A9C" w:rsidRPr="007C0A9C" w:rsidRDefault="007C0A9C" w:rsidP="005820EE">
            <w:pPr>
              <w:tabs>
                <w:tab w:val="left" w:pos="1985"/>
              </w:tabs>
              <w:spacing w:line="22" w:lineRule="atLeast"/>
              <w:jc w:val="left"/>
              <w:rPr>
                <w:b/>
                <w:szCs w:val="24"/>
              </w:rPr>
            </w:pPr>
            <w:r w:rsidRPr="007C0A9C">
              <w:rPr>
                <w:b/>
                <w:bCs/>
                <w:color w:val="C00000"/>
                <w:szCs w:val="24"/>
              </w:rPr>
              <w:t xml:space="preserve">Hóa chất, sinh phẩm, vật tư tiêu hao, vật tư y tế của Bệnh viện đa khoa Cái Nước giai đoạn 2026 </w:t>
            </w:r>
            <w:r w:rsidRPr="007C0A9C">
              <w:rPr>
                <w:bCs/>
                <w:color w:val="C00000"/>
                <w:szCs w:val="24"/>
              </w:rPr>
              <w:t>-</w:t>
            </w:r>
            <w:r w:rsidRPr="007C0A9C">
              <w:rPr>
                <w:b/>
                <w:bCs/>
                <w:color w:val="C00000"/>
                <w:szCs w:val="24"/>
              </w:rPr>
              <w:t xml:space="preserve"> 2027</w:t>
            </w:r>
          </w:p>
        </w:tc>
        <w:tc>
          <w:tcPr>
            <w:tcW w:w="2047" w:type="pct"/>
          </w:tcPr>
          <w:p w:rsidR="007C0A9C" w:rsidRPr="007C0A9C" w:rsidRDefault="007C0A9C" w:rsidP="005820EE">
            <w:pPr>
              <w:spacing w:line="22" w:lineRule="atLeast"/>
              <w:rPr>
                <w:sz w:val="22"/>
                <w:szCs w:val="22"/>
              </w:rPr>
            </w:pPr>
          </w:p>
        </w:tc>
      </w:tr>
      <w:tr w:rsidR="007C0A9C" w:rsidRPr="007C0A9C" w:rsidTr="005820EE">
        <w:trPr>
          <w:gridBefore w:val="1"/>
          <w:wBefore w:w="21" w:type="pct"/>
          <w:trHeight w:val="414"/>
        </w:trPr>
        <w:tc>
          <w:tcPr>
            <w:tcW w:w="487" w:type="pct"/>
            <w:gridSpan w:val="3"/>
            <w:hideMark/>
          </w:tcPr>
          <w:p w:rsidR="007C0A9C" w:rsidRPr="007C0A9C" w:rsidRDefault="007C0A9C" w:rsidP="005820EE">
            <w:pPr>
              <w:spacing w:line="22" w:lineRule="atLeast"/>
              <w:rPr>
                <w:b/>
                <w:szCs w:val="24"/>
                <w:lang w:val="es-ES"/>
              </w:rPr>
            </w:pPr>
            <w:r w:rsidRPr="007C0A9C">
              <w:rPr>
                <w:b/>
                <w:szCs w:val="24"/>
                <w:lang w:val="es-ES"/>
              </w:rPr>
              <w:t>Nhà thầu:</w:t>
            </w:r>
            <w:r w:rsidRPr="007C0A9C">
              <w:rPr>
                <w:szCs w:val="24"/>
                <w:lang w:val="es-ES"/>
              </w:rPr>
              <w:t xml:space="preserve"> </w:t>
            </w:r>
          </w:p>
        </w:tc>
        <w:tc>
          <w:tcPr>
            <w:tcW w:w="2445" w:type="pct"/>
            <w:gridSpan w:val="8"/>
          </w:tcPr>
          <w:p w:rsidR="007C0A9C" w:rsidRPr="007C0A9C" w:rsidRDefault="007C0A9C" w:rsidP="005820EE">
            <w:pPr>
              <w:spacing w:line="22" w:lineRule="atLeast"/>
              <w:rPr>
                <w:szCs w:val="24"/>
                <w:lang w:val="es-ES"/>
              </w:rPr>
            </w:pPr>
            <w:r w:rsidRPr="007C0A9C">
              <w:rPr>
                <w:i/>
                <w:iCs/>
                <w:szCs w:val="24"/>
                <w:lang w:val="pt-BR"/>
              </w:rPr>
              <w:t xml:space="preserve">_____ </w:t>
            </w:r>
          </w:p>
        </w:tc>
        <w:tc>
          <w:tcPr>
            <w:tcW w:w="2047" w:type="pct"/>
          </w:tcPr>
          <w:p w:rsidR="007C0A9C" w:rsidRPr="007C0A9C" w:rsidRDefault="007C0A9C" w:rsidP="005820EE">
            <w:pPr>
              <w:spacing w:line="22" w:lineRule="atLeast"/>
              <w:rPr>
                <w:sz w:val="22"/>
                <w:szCs w:val="22"/>
                <w:lang w:val="es-ES"/>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434" w:type="pct"/>
          <w:tblHeader/>
        </w:trPr>
        <w:tc>
          <w:tcPr>
            <w:tcW w:w="1486" w:type="pct"/>
            <w:gridSpan w:val="5"/>
            <w:vAlign w:val="center"/>
          </w:tcPr>
          <w:p w:rsidR="007C0A9C" w:rsidRPr="007C0A9C" w:rsidRDefault="007C0A9C" w:rsidP="005820EE">
            <w:pPr>
              <w:pStyle w:val="Style11"/>
              <w:tabs>
                <w:tab w:val="left" w:leader="dot" w:pos="8424"/>
              </w:tabs>
              <w:spacing w:line="240" w:lineRule="auto"/>
              <w:jc w:val="center"/>
              <w:rPr>
                <w:lang w:val="nl-NL"/>
              </w:rPr>
            </w:pPr>
            <w:r w:rsidRPr="007C0A9C">
              <w:rPr>
                <w:b/>
                <w:szCs w:val="26"/>
                <w:lang w:val="es-ES"/>
              </w:rPr>
              <w:t>Các tiêu chí năng lực và kinh nghiệm trong E-HSMT</w:t>
            </w:r>
            <w:r w:rsidRPr="007C0A9C">
              <w:rPr>
                <w:b/>
                <w:szCs w:val="26"/>
                <w:vertAlign w:val="superscript"/>
                <w:lang w:val="es-ES"/>
              </w:rPr>
              <w:t>(1)</w:t>
            </w:r>
          </w:p>
        </w:tc>
        <w:tc>
          <w:tcPr>
            <w:tcW w:w="263" w:type="pct"/>
            <w:vMerge w:val="restart"/>
            <w:vAlign w:val="center"/>
          </w:tcPr>
          <w:p w:rsidR="007C0A9C" w:rsidRPr="007C0A9C" w:rsidRDefault="007C0A9C" w:rsidP="005820EE">
            <w:pPr>
              <w:pStyle w:val="Style11"/>
              <w:tabs>
                <w:tab w:val="left" w:leader="dot" w:pos="8424"/>
              </w:tabs>
              <w:spacing w:line="240" w:lineRule="auto"/>
              <w:jc w:val="center"/>
              <w:rPr>
                <w:b/>
                <w:szCs w:val="26"/>
              </w:rPr>
            </w:pPr>
            <w:r w:rsidRPr="007C0A9C">
              <w:rPr>
                <w:b/>
                <w:szCs w:val="26"/>
              </w:rPr>
              <w:t xml:space="preserve">Thông tin trong </w:t>
            </w:r>
          </w:p>
          <w:p w:rsidR="007C0A9C" w:rsidRPr="007C0A9C" w:rsidRDefault="007C0A9C" w:rsidP="005820EE">
            <w:pPr>
              <w:pStyle w:val="Style11"/>
              <w:tabs>
                <w:tab w:val="left" w:leader="dot" w:pos="8424"/>
              </w:tabs>
              <w:spacing w:line="240" w:lineRule="auto"/>
              <w:jc w:val="center"/>
              <w:rPr>
                <w:lang w:val="nl-NL"/>
              </w:rPr>
            </w:pPr>
            <w:r w:rsidRPr="007C0A9C">
              <w:rPr>
                <w:b/>
                <w:szCs w:val="26"/>
              </w:rPr>
              <w:t>E-HSDT</w:t>
            </w:r>
            <w:r w:rsidRPr="007C0A9C">
              <w:rPr>
                <w:b/>
                <w:szCs w:val="26"/>
                <w:vertAlign w:val="superscript"/>
              </w:rPr>
              <w:t>(2)</w:t>
            </w:r>
          </w:p>
        </w:tc>
        <w:tc>
          <w:tcPr>
            <w:tcW w:w="293" w:type="pct"/>
            <w:gridSpan w:val="2"/>
            <w:vMerge w:val="restart"/>
            <w:vAlign w:val="center"/>
          </w:tcPr>
          <w:p w:rsidR="007C0A9C" w:rsidRPr="007C0A9C" w:rsidRDefault="007C0A9C" w:rsidP="005820EE">
            <w:pPr>
              <w:pStyle w:val="Style11"/>
              <w:tabs>
                <w:tab w:val="left" w:leader="dot" w:pos="8424"/>
              </w:tabs>
              <w:spacing w:line="240" w:lineRule="auto"/>
              <w:jc w:val="center"/>
              <w:rPr>
                <w:lang w:val="nl-NL"/>
              </w:rPr>
            </w:pPr>
            <w:r w:rsidRPr="007C0A9C">
              <w:rPr>
                <w:b/>
                <w:szCs w:val="26"/>
              </w:rPr>
              <w:t>Kết quả đánh giá tự động từ Hệ thống</w:t>
            </w:r>
            <w:r w:rsidRPr="007C0A9C">
              <w:rPr>
                <w:b/>
                <w:szCs w:val="26"/>
                <w:vertAlign w:val="superscript"/>
                <w:lang w:val="es-ES"/>
              </w:rPr>
              <w:t>(3)</w:t>
            </w:r>
          </w:p>
        </w:tc>
        <w:tc>
          <w:tcPr>
            <w:tcW w:w="275" w:type="pct"/>
            <w:gridSpan w:val="2"/>
            <w:vMerge w:val="restart"/>
            <w:vAlign w:val="center"/>
          </w:tcPr>
          <w:p w:rsidR="007C0A9C" w:rsidRPr="007C0A9C" w:rsidRDefault="007C0A9C" w:rsidP="005820EE">
            <w:pPr>
              <w:pStyle w:val="Style11"/>
              <w:tabs>
                <w:tab w:val="left" w:leader="dot" w:pos="8424"/>
              </w:tabs>
              <w:spacing w:line="240" w:lineRule="auto"/>
              <w:jc w:val="center"/>
              <w:rPr>
                <w:b/>
              </w:rPr>
            </w:pPr>
            <w:r w:rsidRPr="007C0A9C">
              <w:rPr>
                <w:b/>
                <w:szCs w:val="26"/>
              </w:rPr>
              <w:t>Kết quả đánh giá của chuyên gia</w:t>
            </w:r>
            <w:r w:rsidRPr="007C0A9C">
              <w:rPr>
                <w:b/>
                <w:szCs w:val="26"/>
                <w:vertAlign w:val="superscript"/>
              </w:rPr>
              <w:t>(4)</w:t>
            </w:r>
          </w:p>
        </w:tc>
        <w:tc>
          <w:tcPr>
            <w:tcW w:w="248" w:type="pct"/>
            <w:vMerge w:val="restart"/>
          </w:tcPr>
          <w:p w:rsidR="007C0A9C" w:rsidRPr="007C0A9C" w:rsidRDefault="007C0A9C" w:rsidP="005820EE">
            <w:pPr>
              <w:pStyle w:val="Style11"/>
              <w:tabs>
                <w:tab w:val="left" w:leader="dot" w:pos="8424"/>
              </w:tabs>
              <w:spacing w:line="240" w:lineRule="auto"/>
              <w:jc w:val="center"/>
              <w:rPr>
                <w:b/>
              </w:rPr>
            </w:pPr>
            <w:r w:rsidRPr="007C0A9C">
              <w:rPr>
                <w:b/>
                <w:szCs w:val="26"/>
              </w:rPr>
              <w:t>Nhận xét của chuyên gia (nếu có)</w:t>
            </w: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434" w:type="pct"/>
          <w:trHeight w:val="436"/>
          <w:tblHeader/>
        </w:trPr>
        <w:tc>
          <w:tcPr>
            <w:tcW w:w="109" w:type="pct"/>
            <w:gridSpan w:val="2"/>
            <w:vMerge w:val="restart"/>
            <w:vAlign w:val="center"/>
          </w:tcPr>
          <w:p w:rsidR="007C0A9C" w:rsidRPr="007C0A9C" w:rsidRDefault="007C0A9C" w:rsidP="005820EE">
            <w:pPr>
              <w:pStyle w:val="Style11"/>
              <w:tabs>
                <w:tab w:val="left" w:leader="dot" w:pos="8424"/>
              </w:tabs>
              <w:spacing w:before="80" w:after="80" w:line="240" w:lineRule="auto"/>
              <w:jc w:val="center"/>
              <w:rPr>
                <w:b/>
              </w:rPr>
            </w:pPr>
            <w:r w:rsidRPr="007C0A9C">
              <w:rPr>
                <w:b/>
              </w:rPr>
              <w:t>TT</w:t>
            </w:r>
          </w:p>
        </w:tc>
        <w:tc>
          <w:tcPr>
            <w:tcW w:w="383" w:type="pct"/>
            <w:vMerge w:val="restart"/>
            <w:vAlign w:val="center"/>
          </w:tcPr>
          <w:p w:rsidR="007C0A9C" w:rsidRPr="007C0A9C" w:rsidRDefault="007C0A9C" w:rsidP="005820EE">
            <w:pPr>
              <w:pStyle w:val="Style11"/>
              <w:tabs>
                <w:tab w:val="left" w:leader="dot" w:pos="8424"/>
              </w:tabs>
              <w:spacing w:before="80" w:after="80" w:line="240" w:lineRule="auto"/>
              <w:jc w:val="center"/>
              <w:rPr>
                <w:b/>
              </w:rPr>
            </w:pPr>
            <w:r w:rsidRPr="007C0A9C">
              <w:rPr>
                <w:b/>
              </w:rPr>
              <w:t>Mô tả</w:t>
            </w:r>
          </w:p>
        </w:tc>
        <w:tc>
          <w:tcPr>
            <w:tcW w:w="994" w:type="pct"/>
            <w:gridSpan w:val="2"/>
            <w:vMerge w:val="restart"/>
            <w:vAlign w:val="center"/>
          </w:tcPr>
          <w:p w:rsidR="007C0A9C" w:rsidRPr="007C0A9C" w:rsidRDefault="007C0A9C" w:rsidP="005820EE">
            <w:pPr>
              <w:pStyle w:val="Style11"/>
              <w:tabs>
                <w:tab w:val="left" w:leader="dot" w:pos="8424"/>
              </w:tabs>
              <w:spacing w:before="80" w:after="80" w:line="240" w:lineRule="auto"/>
              <w:jc w:val="center"/>
              <w:rPr>
                <w:b/>
              </w:rPr>
            </w:pPr>
            <w:r w:rsidRPr="007C0A9C">
              <w:rPr>
                <w:b/>
              </w:rPr>
              <w:t>Yêu cầu</w:t>
            </w:r>
          </w:p>
        </w:tc>
        <w:tc>
          <w:tcPr>
            <w:tcW w:w="263" w:type="pct"/>
            <w:vMerge/>
            <w:vAlign w:val="center"/>
          </w:tcPr>
          <w:p w:rsidR="007C0A9C" w:rsidRPr="007C0A9C" w:rsidRDefault="007C0A9C" w:rsidP="005820EE">
            <w:pPr>
              <w:pStyle w:val="Style11"/>
              <w:tabs>
                <w:tab w:val="left" w:leader="dot" w:pos="8424"/>
              </w:tabs>
              <w:spacing w:line="240" w:lineRule="auto"/>
              <w:jc w:val="center"/>
              <w:rPr>
                <w:b/>
              </w:rPr>
            </w:pPr>
          </w:p>
        </w:tc>
        <w:tc>
          <w:tcPr>
            <w:tcW w:w="293" w:type="pct"/>
            <w:gridSpan w:val="2"/>
            <w:vMerge/>
            <w:vAlign w:val="center"/>
          </w:tcPr>
          <w:p w:rsidR="007C0A9C" w:rsidRPr="007C0A9C" w:rsidRDefault="007C0A9C" w:rsidP="005820EE">
            <w:pPr>
              <w:pStyle w:val="Style11"/>
              <w:tabs>
                <w:tab w:val="left" w:leader="dot" w:pos="8424"/>
              </w:tabs>
              <w:spacing w:line="240" w:lineRule="auto"/>
              <w:jc w:val="center"/>
              <w:rPr>
                <w:b/>
              </w:rPr>
            </w:pPr>
          </w:p>
        </w:tc>
        <w:tc>
          <w:tcPr>
            <w:tcW w:w="275" w:type="pct"/>
            <w:gridSpan w:val="2"/>
            <w:vMerge/>
            <w:vAlign w:val="center"/>
          </w:tcPr>
          <w:p w:rsidR="007C0A9C" w:rsidRPr="007C0A9C" w:rsidRDefault="007C0A9C" w:rsidP="005820EE">
            <w:pPr>
              <w:pStyle w:val="Style11"/>
              <w:tabs>
                <w:tab w:val="left" w:leader="dot" w:pos="8424"/>
              </w:tabs>
              <w:spacing w:line="240" w:lineRule="auto"/>
              <w:jc w:val="center"/>
              <w:rPr>
                <w:b/>
              </w:rPr>
            </w:pPr>
          </w:p>
        </w:tc>
        <w:tc>
          <w:tcPr>
            <w:tcW w:w="248" w:type="pct"/>
            <w:vMerge/>
          </w:tcPr>
          <w:p w:rsidR="007C0A9C" w:rsidRPr="007C0A9C" w:rsidRDefault="007C0A9C" w:rsidP="005820EE">
            <w:pPr>
              <w:pStyle w:val="Style11"/>
              <w:tabs>
                <w:tab w:val="left" w:leader="dot" w:pos="8424"/>
              </w:tabs>
              <w:spacing w:line="240" w:lineRule="auto"/>
              <w:jc w:val="center"/>
              <w:rPr>
                <w:b/>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434" w:type="pct"/>
          <w:tblHeader/>
        </w:trPr>
        <w:tc>
          <w:tcPr>
            <w:tcW w:w="109" w:type="pct"/>
            <w:gridSpan w:val="2"/>
            <w:vMerge/>
          </w:tcPr>
          <w:p w:rsidR="007C0A9C" w:rsidRPr="007C0A9C" w:rsidRDefault="007C0A9C" w:rsidP="005820EE">
            <w:pPr>
              <w:pStyle w:val="Style11"/>
              <w:tabs>
                <w:tab w:val="left" w:leader="dot" w:pos="8424"/>
              </w:tabs>
              <w:spacing w:before="80" w:after="80" w:line="240" w:lineRule="auto"/>
              <w:jc w:val="both"/>
              <w:outlineLvl w:val="0"/>
              <w:rPr>
                <w:b/>
              </w:rPr>
            </w:pPr>
          </w:p>
        </w:tc>
        <w:tc>
          <w:tcPr>
            <w:tcW w:w="383" w:type="pct"/>
            <w:vMerge/>
          </w:tcPr>
          <w:p w:rsidR="007C0A9C" w:rsidRPr="007C0A9C" w:rsidRDefault="007C0A9C" w:rsidP="005820EE">
            <w:pPr>
              <w:pStyle w:val="Style11"/>
              <w:tabs>
                <w:tab w:val="left" w:leader="dot" w:pos="8424"/>
              </w:tabs>
              <w:spacing w:before="80" w:after="80" w:line="240" w:lineRule="auto"/>
              <w:jc w:val="both"/>
              <w:outlineLvl w:val="0"/>
              <w:rPr>
                <w:b/>
              </w:rPr>
            </w:pPr>
          </w:p>
        </w:tc>
        <w:tc>
          <w:tcPr>
            <w:tcW w:w="994" w:type="pct"/>
            <w:gridSpan w:val="2"/>
            <w:vMerge/>
          </w:tcPr>
          <w:p w:rsidR="007C0A9C" w:rsidRPr="007C0A9C" w:rsidRDefault="007C0A9C" w:rsidP="005820EE">
            <w:pPr>
              <w:pStyle w:val="Style11"/>
              <w:tabs>
                <w:tab w:val="left" w:leader="dot" w:pos="8424"/>
              </w:tabs>
              <w:spacing w:before="80" w:after="80" w:line="240" w:lineRule="auto"/>
              <w:jc w:val="both"/>
              <w:outlineLvl w:val="0"/>
              <w:rPr>
                <w:b/>
              </w:rPr>
            </w:pPr>
          </w:p>
        </w:tc>
        <w:tc>
          <w:tcPr>
            <w:tcW w:w="263" w:type="pct"/>
            <w:vMerge/>
          </w:tcPr>
          <w:p w:rsidR="007C0A9C" w:rsidRPr="007C0A9C" w:rsidRDefault="007C0A9C" w:rsidP="005820EE">
            <w:pPr>
              <w:pStyle w:val="Style11"/>
              <w:tabs>
                <w:tab w:val="left" w:leader="dot" w:pos="8424"/>
              </w:tabs>
              <w:spacing w:line="240" w:lineRule="auto"/>
              <w:jc w:val="center"/>
              <w:outlineLvl w:val="0"/>
              <w:rPr>
                <w:b/>
              </w:rPr>
            </w:pPr>
          </w:p>
        </w:tc>
        <w:tc>
          <w:tcPr>
            <w:tcW w:w="142" w:type="pct"/>
            <w:vAlign w:val="center"/>
          </w:tcPr>
          <w:p w:rsidR="007C0A9C" w:rsidRPr="007C0A9C" w:rsidRDefault="007C0A9C" w:rsidP="005820EE">
            <w:pPr>
              <w:pStyle w:val="Style11"/>
              <w:tabs>
                <w:tab w:val="left" w:leader="dot" w:pos="8424"/>
              </w:tabs>
              <w:spacing w:line="240" w:lineRule="auto"/>
              <w:jc w:val="center"/>
              <w:rPr>
                <w:b/>
                <w:szCs w:val="26"/>
              </w:rPr>
            </w:pPr>
            <w:r w:rsidRPr="007C0A9C">
              <w:rPr>
                <w:b/>
                <w:szCs w:val="26"/>
              </w:rPr>
              <w:t>Đạt</w:t>
            </w:r>
          </w:p>
        </w:tc>
        <w:tc>
          <w:tcPr>
            <w:tcW w:w="152" w:type="pct"/>
          </w:tcPr>
          <w:p w:rsidR="007C0A9C" w:rsidRPr="007C0A9C" w:rsidRDefault="007C0A9C" w:rsidP="005820EE">
            <w:pPr>
              <w:pStyle w:val="Style11"/>
              <w:tabs>
                <w:tab w:val="left" w:leader="dot" w:pos="8424"/>
              </w:tabs>
              <w:spacing w:line="240" w:lineRule="auto"/>
              <w:jc w:val="center"/>
              <w:rPr>
                <w:b/>
                <w:szCs w:val="26"/>
              </w:rPr>
            </w:pPr>
            <w:r w:rsidRPr="007C0A9C">
              <w:rPr>
                <w:b/>
                <w:szCs w:val="26"/>
              </w:rPr>
              <w:t>Không đạt</w:t>
            </w:r>
          </w:p>
        </w:tc>
        <w:tc>
          <w:tcPr>
            <w:tcW w:w="124" w:type="pct"/>
            <w:vAlign w:val="center"/>
          </w:tcPr>
          <w:p w:rsidR="007C0A9C" w:rsidRPr="007C0A9C" w:rsidRDefault="007C0A9C" w:rsidP="005820EE">
            <w:pPr>
              <w:pStyle w:val="Style11"/>
              <w:tabs>
                <w:tab w:val="left" w:leader="dot" w:pos="8424"/>
              </w:tabs>
              <w:spacing w:line="240" w:lineRule="auto"/>
              <w:jc w:val="center"/>
              <w:rPr>
                <w:b/>
                <w:szCs w:val="26"/>
              </w:rPr>
            </w:pPr>
            <w:r w:rsidRPr="007C0A9C">
              <w:rPr>
                <w:b/>
                <w:szCs w:val="26"/>
              </w:rPr>
              <w:t>Đạt</w:t>
            </w:r>
          </w:p>
        </w:tc>
        <w:tc>
          <w:tcPr>
            <w:tcW w:w="152" w:type="pct"/>
          </w:tcPr>
          <w:p w:rsidR="007C0A9C" w:rsidRPr="007C0A9C" w:rsidRDefault="007C0A9C" w:rsidP="005820EE">
            <w:pPr>
              <w:pStyle w:val="Style11"/>
              <w:tabs>
                <w:tab w:val="left" w:leader="dot" w:pos="8424"/>
              </w:tabs>
              <w:spacing w:line="240" w:lineRule="auto"/>
              <w:jc w:val="center"/>
              <w:rPr>
                <w:b/>
                <w:szCs w:val="26"/>
              </w:rPr>
            </w:pPr>
            <w:r w:rsidRPr="007C0A9C">
              <w:rPr>
                <w:b/>
                <w:szCs w:val="26"/>
              </w:rPr>
              <w:t>Không đạt</w:t>
            </w:r>
          </w:p>
        </w:tc>
        <w:tc>
          <w:tcPr>
            <w:tcW w:w="248" w:type="pct"/>
            <w:vMerge/>
          </w:tcPr>
          <w:p w:rsidR="007C0A9C" w:rsidRPr="007C0A9C" w:rsidRDefault="007C0A9C" w:rsidP="005820EE">
            <w:pPr>
              <w:pStyle w:val="Style11"/>
              <w:tabs>
                <w:tab w:val="left" w:leader="dot" w:pos="8424"/>
              </w:tabs>
              <w:spacing w:line="240" w:lineRule="auto"/>
              <w:jc w:val="center"/>
              <w:outlineLvl w:val="0"/>
              <w:rPr>
                <w:b/>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434" w:type="pct"/>
          <w:trHeight w:val="467"/>
        </w:trPr>
        <w:tc>
          <w:tcPr>
            <w:tcW w:w="109" w:type="pct"/>
            <w:gridSpan w:val="2"/>
          </w:tcPr>
          <w:p w:rsidR="007C0A9C" w:rsidRPr="007C0A9C" w:rsidRDefault="007C0A9C" w:rsidP="005820EE">
            <w:pPr>
              <w:pStyle w:val="Style11"/>
              <w:tabs>
                <w:tab w:val="left" w:leader="dot" w:pos="8424"/>
              </w:tabs>
              <w:spacing w:before="80" w:after="80" w:line="240" w:lineRule="auto"/>
              <w:jc w:val="center"/>
              <w:rPr>
                <w:b/>
              </w:rPr>
            </w:pPr>
            <w:r w:rsidRPr="007C0A9C">
              <w:rPr>
                <w:b/>
              </w:rPr>
              <w:t>1</w:t>
            </w:r>
          </w:p>
        </w:tc>
        <w:tc>
          <w:tcPr>
            <w:tcW w:w="383" w:type="pct"/>
          </w:tcPr>
          <w:p w:rsidR="007C0A9C" w:rsidRPr="007C0A9C" w:rsidRDefault="007C0A9C" w:rsidP="005820EE">
            <w:pPr>
              <w:pStyle w:val="Style11"/>
              <w:tabs>
                <w:tab w:val="left" w:leader="dot" w:pos="8424"/>
              </w:tabs>
              <w:spacing w:before="80" w:after="80" w:line="240" w:lineRule="auto"/>
              <w:jc w:val="both"/>
              <w:rPr>
                <w:b/>
                <w:sz w:val="22"/>
              </w:rPr>
            </w:pPr>
            <w:r w:rsidRPr="007C0A9C">
              <w:rPr>
                <w:b/>
                <w:sz w:val="22"/>
              </w:rPr>
              <w:t xml:space="preserve">Lịch sử không hoàn thành hợp đồng do lỗi của nhà thầu </w:t>
            </w:r>
          </w:p>
        </w:tc>
        <w:tc>
          <w:tcPr>
            <w:tcW w:w="994" w:type="pct"/>
            <w:gridSpan w:val="2"/>
          </w:tcPr>
          <w:p w:rsidR="007C0A9C" w:rsidRPr="007C0A9C" w:rsidRDefault="007C0A9C" w:rsidP="005820EE">
            <w:pPr>
              <w:pStyle w:val="Style11"/>
              <w:tabs>
                <w:tab w:val="left" w:leader="dot" w:pos="8424"/>
              </w:tabs>
              <w:spacing w:before="80" w:after="80" w:line="240" w:lineRule="auto"/>
              <w:jc w:val="both"/>
              <w:rPr>
                <w:sz w:val="22"/>
              </w:rPr>
            </w:pPr>
            <w:r w:rsidRPr="007C0A9C">
              <w:rPr>
                <w:sz w:val="22"/>
              </w:rPr>
              <w:t xml:space="preserve">Từ ngày 01 tháng 01 năm </w:t>
            </w:r>
            <w:r w:rsidRPr="007C0A9C">
              <w:rPr>
                <w:color w:val="C00000"/>
                <w:sz w:val="22"/>
              </w:rPr>
              <w:t>2022</w:t>
            </w:r>
            <w:r w:rsidRPr="007C0A9C">
              <w:rPr>
                <w:sz w:val="22"/>
              </w:rPr>
              <w:t xml:space="preserve"> </w:t>
            </w:r>
            <w:r w:rsidRPr="007C0A9C">
              <w:rPr>
                <w:sz w:val="22"/>
                <w:vertAlign w:val="superscript"/>
              </w:rPr>
              <w:t xml:space="preserve">(2) </w:t>
            </w:r>
            <w:r w:rsidRPr="007C0A9C">
              <w:rPr>
                <w:sz w:val="22"/>
              </w:rPr>
              <w:t>đến thời điểm đóng thầu, nhà thầu không có từ 02 hợp đồng trở lên (cung cấp hàng hóa, EPC, EP, PC, chìa khóa trao tay) không hoàn thành do lỗi của nhà thầu</w:t>
            </w:r>
            <w:r w:rsidRPr="007C0A9C">
              <w:rPr>
                <w:sz w:val="22"/>
                <w:vertAlign w:val="superscript"/>
              </w:rPr>
              <w:t>(3)</w:t>
            </w:r>
            <w:r w:rsidRPr="007C0A9C">
              <w:rPr>
                <w:sz w:val="22"/>
              </w:rPr>
              <w:t>.</w:t>
            </w:r>
          </w:p>
        </w:tc>
        <w:tc>
          <w:tcPr>
            <w:tcW w:w="263" w:type="pct"/>
          </w:tcPr>
          <w:p w:rsidR="007C0A9C" w:rsidRPr="007C0A9C" w:rsidRDefault="007C0A9C" w:rsidP="005820EE">
            <w:pPr>
              <w:pStyle w:val="Style11"/>
              <w:tabs>
                <w:tab w:val="left" w:leader="dot" w:pos="8424"/>
              </w:tabs>
              <w:spacing w:line="240" w:lineRule="auto"/>
              <w:jc w:val="center"/>
              <w:rPr>
                <w:sz w:val="22"/>
              </w:rPr>
            </w:pPr>
          </w:p>
        </w:tc>
        <w:tc>
          <w:tcPr>
            <w:tcW w:w="142" w:type="pct"/>
          </w:tcPr>
          <w:p w:rsidR="007C0A9C" w:rsidRPr="007C0A9C" w:rsidRDefault="007C0A9C" w:rsidP="005820EE">
            <w:pPr>
              <w:pStyle w:val="Style11"/>
              <w:tabs>
                <w:tab w:val="left" w:leader="dot" w:pos="8424"/>
              </w:tabs>
              <w:spacing w:line="240" w:lineRule="auto"/>
              <w:jc w:val="center"/>
              <w:rPr>
                <w:sz w:val="22"/>
              </w:rPr>
            </w:pPr>
          </w:p>
        </w:tc>
        <w:tc>
          <w:tcPr>
            <w:tcW w:w="152" w:type="pct"/>
          </w:tcPr>
          <w:p w:rsidR="007C0A9C" w:rsidRPr="007C0A9C" w:rsidRDefault="007C0A9C" w:rsidP="005820EE">
            <w:pPr>
              <w:pStyle w:val="Style11"/>
              <w:tabs>
                <w:tab w:val="left" w:leader="dot" w:pos="8424"/>
              </w:tabs>
              <w:spacing w:line="240" w:lineRule="auto"/>
              <w:jc w:val="center"/>
              <w:rPr>
                <w:sz w:val="22"/>
              </w:rPr>
            </w:pPr>
          </w:p>
        </w:tc>
        <w:tc>
          <w:tcPr>
            <w:tcW w:w="124" w:type="pct"/>
          </w:tcPr>
          <w:p w:rsidR="007C0A9C" w:rsidRPr="007C0A9C" w:rsidRDefault="007C0A9C" w:rsidP="005820EE">
            <w:pPr>
              <w:pStyle w:val="Style11"/>
              <w:tabs>
                <w:tab w:val="left" w:leader="dot" w:pos="8424"/>
              </w:tabs>
              <w:spacing w:line="240" w:lineRule="auto"/>
              <w:jc w:val="center"/>
            </w:pPr>
          </w:p>
        </w:tc>
        <w:tc>
          <w:tcPr>
            <w:tcW w:w="152" w:type="pct"/>
          </w:tcPr>
          <w:p w:rsidR="007C0A9C" w:rsidRPr="007C0A9C" w:rsidRDefault="007C0A9C" w:rsidP="005820EE">
            <w:pPr>
              <w:pStyle w:val="Style11"/>
              <w:tabs>
                <w:tab w:val="left" w:leader="dot" w:pos="8424"/>
              </w:tabs>
              <w:spacing w:line="240" w:lineRule="auto"/>
              <w:jc w:val="center"/>
            </w:pPr>
          </w:p>
        </w:tc>
        <w:tc>
          <w:tcPr>
            <w:tcW w:w="248" w:type="pct"/>
          </w:tcPr>
          <w:p w:rsidR="007C0A9C" w:rsidRPr="007C0A9C" w:rsidRDefault="007C0A9C" w:rsidP="005820EE">
            <w:pPr>
              <w:pStyle w:val="Style11"/>
              <w:tabs>
                <w:tab w:val="left" w:leader="dot" w:pos="8424"/>
              </w:tabs>
              <w:spacing w:line="240" w:lineRule="auto"/>
              <w:jc w:val="cente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434" w:type="pct"/>
          <w:trHeight w:val="467"/>
          <w:hidden/>
        </w:trPr>
        <w:tc>
          <w:tcPr>
            <w:tcW w:w="109" w:type="pct"/>
            <w:gridSpan w:val="2"/>
          </w:tcPr>
          <w:p w:rsidR="007C0A9C" w:rsidRPr="007C0A9C" w:rsidRDefault="007C0A9C" w:rsidP="005820EE">
            <w:pPr>
              <w:pStyle w:val="Style11"/>
              <w:tabs>
                <w:tab w:val="left" w:leader="dot" w:pos="8424"/>
              </w:tabs>
              <w:spacing w:before="80" w:after="80" w:line="240" w:lineRule="auto"/>
              <w:jc w:val="center"/>
              <w:rPr>
                <w:rFonts w:eastAsia="Calibri"/>
                <w:b/>
                <w:strike/>
                <w:vanish/>
                <w:lang w:val="nl-NL"/>
              </w:rPr>
            </w:pPr>
          </w:p>
        </w:tc>
        <w:tc>
          <w:tcPr>
            <w:tcW w:w="383" w:type="pct"/>
          </w:tcPr>
          <w:p w:rsidR="007C0A9C" w:rsidRPr="007C0A9C" w:rsidRDefault="007C0A9C" w:rsidP="005820EE">
            <w:pPr>
              <w:pStyle w:val="Style11"/>
              <w:tabs>
                <w:tab w:val="left" w:leader="dot" w:pos="8424"/>
              </w:tabs>
              <w:spacing w:before="80" w:after="80" w:line="240" w:lineRule="auto"/>
              <w:jc w:val="both"/>
              <w:rPr>
                <w:b/>
                <w:strike/>
                <w:vanish/>
                <w:sz w:val="22"/>
                <w:vertAlign w:val="superscript"/>
              </w:rPr>
            </w:pPr>
          </w:p>
        </w:tc>
        <w:tc>
          <w:tcPr>
            <w:tcW w:w="994" w:type="pct"/>
            <w:gridSpan w:val="2"/>
          </w:tcPr>
          <w:p w:rsidR="007C0A9C" w:rsidRPr="007C0A9C" w:rsidRDefault="007C0A9C" w:rsidP="005820EE">
            <w:pPr>
              <w:pStyle w:val="Style11"/>
              <w:tabs>
                <w:tab w:val="left" w:leader="dot" w:pos="8424"/>
              </w:tabs>
              <w:spacing w:before="80" w:after="80" w:line="240" w:lineRule="auto"/>
              <w:jc w:val="both"/>
              <w:rPr>
                <w:strike/>
                <w:vanish/>
                <w:sz w:val="22"/>
              </w:rPr>
            </w:pPr>
          </w:p>
        </w:tc>
        <w:tc>
          <w:tcPr>
            <w:tcW w:w="263" w:type="pct"/>
          </w:tcPr>
          <w:p w:rsidR="007C0A9C" w:rsidRPr="007C0A9C" w:rsidRDefault="007C0A9C" w:rsidP="005820EE">
            <w:pPr>
              <w:pStyle w:val="Style11"/>
              <w:tabs>
                <w:tab w:val="left" w:leader="dot" w:pos="8424"/>
              </w:tabs>
              <w:spacing w:before="80" w:after="80" w:line="240" w:lineRule="auto"/>
              <w:jc w:val="center"/>
              <w:rPr>
                <w:strike/>
                <w:vanish/>
                <w:sz w:val="22"/>
              </w:rPr>
            </w:pPr>
          </w:p>
        </w:tc>
        <w:tc>
          <w:tcPr>
            <w:tcW w:w="142" w:type="pct"/>
          </w:tcPr>
          <w:p w:rsidR="007C0A9C" w:rsidRPr="007C0A9C" w:rsidRDefault="007C0A9C" w:rsidP="005820EE">
            <w:pPr>
              <w:pStyle w:val="Style11"/>
              <w:tabs>
                <w:tab w:val="left" w:leader="dot" w:pos="8424"/>
              </w:tabs>
              <w:spacing w:before="80" w:after="80" w:line="240" w:lineRule="auto"/>
              <w:jc w:val="center"/>
              <w:rPr>
                <w:strike/>
                <w:vanish/>
                <w:sz w:val="22"/>
              </w:rPr>
            </w:pPr>
          </w:p>
        </w:tc>
        <w:tc>
          <w:tcPr>
            <w:tcW w:w="152" w:type="pct"/>
          </w:tcPr>
          <w:p w:rsidR="007C0A9C" w:rsidRPr="007C0A9C" w:rsidRDefault="007C0A9C" w:rsidP="005820EE">
            <w:pPr>
              <w:pStyle w:val="Style11"/>
              <w:tabs>
                <w:tab w:val="left" w:leader="dot" w:pos="8424"/>
              </w:tabs>
              <w:spacing w:before="80" w:after="80" w:line="240" w:lineRule="auto"/>
              <w:jc w:val="center"/>
              <w:rPr>
                <w:strike/>
                <w:vanish/>
                <w:sz w:val="22"/>
              </w:rPr>
            </w:pPr>
          </w:p>
        </w:tc>
        <w:tc>
          <w:tcPr>
            <w:tcW w:w="124" w:type="pct"/>
          </w:tcPr>
          <w:p w:rsidR="007C0A9C" w:rsidRPr="007C0A9C" w:rsidRDefault="007C0A9C" w:rsidP="005820EE">
            <w:pPr>
              <w:pStyle w:val="Style11"/>
              <w:tabs>
                <w:tab w:val="left" w:leader="dot" w:pos="8424"/>
              </w:tabs>
              <w:spacing w:before="80" w:after="80" w:line="240" w:lineRule="auto"/>
              <w:jc w:val="center"/>
              <w:rPr>
                <w:strike/>
                <w:vanish/>
              </w:rPr>
            </w:pPr>
          </w:p>
        </w:tc>
        <w:tc>
          <w:tcPr>
            <w:tcW w:w="152" w:type="pct"/>
          </w:tcPr>
          <w:p w:rsidR="007C0A9C" w:rsidRPr="007C0A9C" w:rsidRDefault="007C0A9C" w:rsidP="005820EE">
            <w:pPr>
              <w:pStyle w:val="Style11"/>
              <w:tabs>
                <w:tab w:val="left" w:leader="dot" w:pos="8424"/>
              </w:tabs>
              <w:spacing w:before="80" w:after="80" w:line="240" w:lineRule="auto"/>
              <w:jc w:val="center"/>
              <w:rPr>
                <w:strike/>
                <w:vanish/>
              </w:rPr>
            </w:pPr>
          </w:p>
        </w:tc>
        <w:tc>
          <w:tcPr>
            <w:tcW w:w="248" w:type="pct"/>
          </w:tcPr>
          <w:p w:rsidR="007C0A9C" w:rsidRPr="007C0A9C" w:rsidRDefault="007C0A9C" w:rsidP="005820EE">
            <w:pPr>
              <w:pStyle w:val="Style11"/>
              <w:tabs>
                <w:tab w:val="left" w:leader="dot" w:pos="8424"/>
              </w:tabs>
              <w:spacing w:before="80" w:after="80" w:line="240" w:lineRule="auto"/>
              <w:jc w:val="center"/>
              <w:rPr>
                <w:strike/>
                <w:vanish/>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434" w:type="pct"/>
          <w:trHeight w:val="467"/>
        </w:trPr>
        <w:tc>
          <w:tcPr>
            <w:tcW w:w="109" w:type="pct"/>
            <w:gridSpan w:val="2"/>
          </w:tcPr>
          <w:p w:rsidR="007C0A9C" w:rsidRPr="007C0A9C" w:rsidRDefault="007C0A9C" w:rsidP="005820EE">
            <w:pPr>
              <w:pStyle w:val="Style11"/>
              <w:tabs>
                <w:tab w:val="left" w:leader="dot" w:pos="8424"/>
              </w:tabs>
              <w:spacing w:before="80" w:after="80" w:line="240" w:lineRule="auto"/>
              <w:jc w:val="center"/>
              <w:rPr>
                <w:b/>
              </w:rPr>
            </w:pPr>
            <w:r w:rsidRPr="007C0A9C">
              <w:rPr>
                <w:b/>
              </w:rPr>
              <w:t>2</w:t>
            </w:r>
          </w:p>
        </w:tc>
        <w:tc>
          <w:tcPr>
            <w:tcW w:w="383" w:type="pct"/>
          </w:tcPr>
          <w:p w:rsidR="007C0A9C" w:rsidRPr="007C0A9C" w:rsidRDefault="007C0A9C" w:rsidP="005820EE">
            <w:pPr>
              <w:pStyle w:val="Style11"/>
              <w:tabs>
                <w:tab w:val="left" w:leader="dot" w:pos="8424"/>
              </w:tabs>
              <w:spacing w:before="80" w:after="80" w:line="240" w:lineRule="auto"/>
              <w:jc w:val="both"/>
              <w:rPr>
                <w:b/>
                <w:sz w:val="22"/>
              </w:rPr>
            </w:pPr>
            <w:r w:rsidRPr="007C0A9C">
              <w:rPr>
                <w:b/>
                <w:sz w:val="22"/>
              </w:rPr>
              <w:t xml:space="preserve">Thực hiện nghĩa vụ kê khai thuế, nộp thuế </w:t>
            </w:r>
          </w:p>
        </w:tc>
        <w:tc>
          <w:tcPr>
            <w:tcW w:w="994" w:type="pct"/>
            <w:gridSpan w:val="2"/>
          </w:tcPr>
          <w:p w:rsidR="007C0A9C" w:rsidRPr="007C0A9C" w:rsidRDefault="007C0A9C" w:rsidP="005820EE">
            <w:pPr>
              <w:pStyle w:val="Style11"/>
              <w:tabs>
                <w:tab w:val="left" w:leader="dot" w:pos="8424"/>
              </w:tabs>
              <w:spacing w:before="80" w:after="80" w:line="240" w:lineRule="auto"/>
              <w:jc w:val="both"/>
              <w:rPr>
                <w:strike/>
                <w:sz w:val="22"/>
              </w:rPr>
            </w:pPr>
            <w:r w:rsidRPr="007C0A9C">
              <w:rPr>
                <w:sz w:val="22"/>
              </w:rPr>
              <w:t>Đã thực hiện nghĩa vụ kê khai thuế, nộp thuế</w:t>
            </w:r>
            <w:r w:rsidRPr="007C0A9C">
              <w:rPr>
                <w:sz w:val="22"/>
                <w:vertAlign w:val="superscript"/>
              </w:rPr>
              <w:t>(4)</w:t>
            </w:r>
            <w:r w:rsidRPr="007C0A9C">
              <w:rPr>
                <w:sz w:val="22"/>
              </w:rPr>
              <w:t xml:space="preserve"> của năm tài chính gần nhất so với thời điểm đóng thầu. </w:t>
            </w:r>
          </w:p>
        </w:tc>
        <w:tc>
          <w:tcPr>
            <w:tcW w:w="263" w:type="pct"/>
          </w:tcPr>
          <w:p w:rsidR="007C0A9C" w:rsidRPr="007C0A9C" w:rsidRDefault="007C0A9C" w:rsidP="005820EE">
            <w:pPr>
              <w:pStyle w:val="Style11"/>
              <w:tabs>
                <w:tab w:val="left" w:leader="dot" w:pos="8424"/>
              </w:tabs>
              <w:spacing w:before="80" w:after="80" w:line="240" w:lineRule="auto"/>
              <w:jc w:val="center"/>
              <w:rPr>
                <w:strike/>
                <w:sz w:val="22"/>
              </w:rPr>
            </w:pPr>
          </w:p>
        </w:tc>
        <w:tc>
          <w:tcPr>
            <w:tcW w:w="142" w:type="pct"/>
          </w:tcPr>
          <w:p w:rsidR="007C0A9C" w:rsidRPr="007C0A9C" w:rsidRDefault="007C0A9C" w:rsidP="005820EE">
            <w:pPr>
              <w:pStyle w:val="Style11"/>
              <w:tabs>
                <w:tab w:val="left" w:leader="dot" w:pos="8424"/>
              </w:tabs>
              <w:spacing w:before="80" w:after="80" w:line="240" w:lineRule="auto"/>
              <w:jc w:val="center"/>
              <w:rPr>
                <w:strike/>
                <w:sz w:val="22"/>
              </w:rPr>
            </w:pPr>
          </w:p>
        </w:tc>
        <w:tc>
          <w:tcPr>
            <w:tcW w:w="152" w:type="pct"/>
          </w:tcPr>
          <w:p w:rsidR="007C0A9C" w:rsidRPr="007C0A9C" w:rsidRDefault="007C0A9C" w:rsidP="005820EE">
            <w:pPr>
              <w:pStyle w:val="Style11"/>
              <w:tabs>
                <w:tab w:val="left" w:leader="dot" w:pos="8424"/>
              </w:tabs>
              <w:spacing w:before="80" w:after="80" w:line="240" w:lineRule="auto"/>
              <w:jc w:val="center"/>
              <w:rPr>
                <w:strike/>
                <w:sz w:val="22"/>
              </w:rPr>
            </w:pPr>
          </w:p>
        </w:tc>
        <w:tc>
          <w:tcPr>
            <w:tcW w:w="124" w:type="pct"/>
          </w:tcPr>
          <w:p w:rsidR="007C0A9C" w:rsidRPr="007C0A9C" w:rsidRDefault="007C0A9C" w:rsidP="005820EE">
            <w:pPr>
              <w:pStyle w:val="Style11"/>
              <w:tabs>
                <w:tab w:val="left" w:leader="dot" w:pos="8424"/>
              </w:tabs>
              <w:spacing w:before="80" w:after="80" w:line="240" w:lineRule="auto"/>
              <w:jc w:val="center"/>
              <w:rPr>
                <w:strike/>
              </w:rPr>
            </w:pPr>
          </w:p>
        </w:tc>
        <w:tc>
          <w:tcPr>
            <w:tcW w:w="152" w:type="pct"/>
          </w:tcPr>
          <w:p w:rsidR="007C0A9C" w:rsidRPr="007C0A9C" w:rsidRDefault="007C0A9C" w:rsidP="005820EE">
            <w:pPr>
              <w:pStyle w:val="Style11"/>
              <w:tabs>
                <w:tab w:val="left" w:leader="dot" w:pos="8424"/>
              </w:tabs>
              <w:spacing w:before="80" w:after="80" w:line="240" w:lineRule="auto"/>
              <w:jc w:val="center"/>
            </w:pPr>
          </w:p>
        </w:tc>
        <w:tc>
          <w:tcPr>
            <w:tcW w:w="248" w:type="pct"/>
          </w:tcPr>
          <w:p w:rsidR="007C0A9C" w:rsidRPr="007C0A9C" w:rsidRDefault="007C0A9C" w:rsidP="005820EE">
            <w:pPr>
              <w:pStyle w:val="Style11"/>
              <w:tabs>
                <w:tab w:val="left" w:leader="dot" w:pos="8424"/>
              </w:tabs>
              <w:spacing w:before="80" w:after="80" w:line="240" w:lineRule="auto"/>
              <w:jc w:val="cente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434" w:type="pct"/>
          <w:trHeight w:val="467"/>
        </w:trPr>
        <w:tc>
          <w:tcPr>
            <w:tcW w:w="109" w:type="pct"/>
            <w:gridSpan w:val="2"/>
          </w:tcPr>
          <w:p w:rsidR="007C0A9C" w:rsidRPr="007C0A9C" w:rsidRDefault="007C0A9C" w:rsidP="005820EE">
            <w:pPr>
              <w:pStyle w:val="Style11"/>
              <w:tabs>
                <w:tab w:val="left" w:leader="dot" w:pos="8424"/>
              </w:tabs>
              <w:spacing w:before="80" w:after="80" w:line="240" w:lineRule="auto"/>
              <w:jc w:val="center"/>
              <w:rPr>
                <w:b/>
              </w:rPr>
            </w:pPr>
            <w:r w:rsidRPr="007C0A9C">
              <w:rPr>
                <w:b/>
              </w:rPr>
              <w:t>3</w:t>
            </w:r>
          </w:p>
        </w:tc>
        <w:tc>
          <w:tcPr>
            <w:tcW w:w="2057" w:type="pct"/>
            <w:gridSpan w:val="7"/>
          </w:tcPr>
          <w:p w:rsidR="007C0A9C" w:rsidRPr="007C0A9C" w:rsidRDefault="007C0A9C" w:rsidP="005820EE">
            <w:pPr>
              <w:pStyle w:val="Style11"/>
              <w:tabs>
                <w:tab w:val="left" w:leader="dot" w:pos="8424"/>
              </w:tabs>
              <w:spacing w:before="80" w:after="80" w:line="240" w:lineRule="auto"/>
              <w:jc w:val="both"/>
              <w:rPr>
                <w:sz w:val="22"/>
                <w:vertAlign w:val="superscript"/>
              </w:rPr>
            </w:pPr>
            <w:r w:rsidRPr="007C0A9C">
              <w:rPr>
                <w:b/>
                <w:bCs/>
                <w:sz w:val="22"/>
                <w:lang w:val="nl-NL"/>
              </w:rPr>
              <w:t>Năng lực tài chính</w:t>
            </w:r>
          </w:p>
        </w:tc>
        <w:tc>
          <w:tcPr>
            <w:tcW w:w="152" w:type="pct"/>
          </w:tcPr>
          <w:p w:rsidR="007C0A9C" w:rsidRPr="007C0A9C" w:rsidRDefault="007C0A9C" w:rsidP="005820EE">
            <w:pPr>
              <w:pStyle w:val="Style11"/>
              <w:tabs>
                <w:tab w:val="left" w:leader="dot" w:pos="8424"/>
              </w:tabs>
              <w:spacing w:before="80" w:after="80" w:line="240" w:lineRule="auto"/>
              <w:jc w:val="both"/>
              <w:rPr>
                <w:b/>
                <w:bCs/>
                <w:lang w:val="nl-NL"/>
              </w:rPr>
            </w:pPr>
          </w:p>
        </w:tc>
        <w:tc>
          <w:tcPr>
            <w:tcW w:w="248" w:type="pct"/>
          </w:tcPr>
          <w:p w:rsidR="007C0A9C" w:rsidRPr="007C0A9C" w:rsidRDefault="007C0A9C" w:rsidP="005820EE">
            <w:pPr>
              <w:pStyle w:val="Style11"/>
              <w:tabs>
                <w:tab w:val="left" w:leader="dot" w:pos="8424"/>
              </w:tabs>
              <w:spacing w:before="80" w:after="80" w:line="240" w:lineRule="auto"/>
              <w:jc w:val="both"/>
              <w:rPr>
                <w:b/>
                <w:bCs/>
                <w:lang w:val="nl-NL"/>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434" w:type="pct"/>
          <w:trHeight w:val="467"/>
        </w:trPr>
        <w:tc>
          <w:tcPr>
            <w:tcW w:w="109" w:type="pct"/>
            <w:gridSpan w:val="2"/>
          </w:tcPr>
          <w:p w:rsidR="007C0A9C" w:rsidRPr="007C0A9C" w:rsidRDefault="007C0A9C" w:rsidP="005820EE">
            <w:pPr>
              <w:pStyle w:val="Style11"/>
              <w:tabs>
                <w:tab w:val="left" w:leader="dot" w:pos="8424"/>
              </w:tabs>
              <w:spacing w:before="80" w:after="80" w:line="240" w:lineRule="auto"/>
              <w:jc w:val="center"/>
              <w:rPr>
                <w:rFonts w:eastAsia="Calibri"/>
                <w:b/>
                <w:lang w:val="nl-NL"/>
              </w:rPr>
            </w:pPr>
            <w:r w:rsidRPr="007C0A9C">
              <w:rPr>
                <w:b/>
              </w:rPr>
              <w:t>3.1</w:t>
            </w:r>
          </w:p>
        </w:tc>
        <w:tc>
          <w:tcPr>
            <w:tcW w:w="383" w:type="pct"/>
          </w:tcPr>
          <w:p w:rsidR="007C0A9C" w:rsidRPr="007C0A9C" w:rsidRDefault="007C0A9C" w:rsidP="005820EE">
            <w:pPr>
              <w:pStyle w:val="Style11"/>
              <w:tabs>
                <w:tab w:val="left" w:leader="dot" w:pos="8424"/>
              </w:tabs>
              <w:spacing w:before="80" w:after="80" w:line="240" w:lineRule="auto"/>
              <w:jc w:val="both"/>
              <w:rPr>
                <w:b/>
                <w:sz w:val="22"/>
                <w:szCs w:val="22"/>
                <w:vertAlign w:val="superscript"/>
                <w:lang w:val="nl-NL"/>
              </w:rPr>
            </w:pPr>
            <w:r w:rsidRPr="007C0A9C">
              <w:rPr>
                <w:b/>
                <w:sz w:val="22"/>
                <w:szCs w:val="22"/>
                <w:lang w:val="nl-NL"/>
              </w:rPr>
              <w:t>Kết quả hoạt động tài chính</w:t>
            </w:r>
            <w:r w:rsidRPr="007C0A9C">
              <w:rPr>
                <w:b/>
                <w:sz w:val="22"/>
                <w:szCs w:val="22"/>
                <w:vertAlign w:val="superscript"/>
                <w:lang w:val="nl-NL"/>
              </w:rPr>
              <w:t>(5)</w:t>
            </w:r>
          </w:p>
        </w:tc>
        <w:tc>
          <w:tcPr>
            <w:tcW w:w="994" w:type="pct"/>
            <w:gridSpan w:val="2"/>
          </w:tcPr>
          <w:p w:rsidR="007C0A9C" w:rsidRPr="007C0A9C" w:rsidRDefault="007C0A9C" w:rsidP="005820EE">
            <w:pPr>
              <w:pStyle w:val="Style11"/>
              <w:tabs>
                <w:tab w:val="left" w:leader="dot" w:pos="8424"/>
              </w:tabs>
              <w:spacing w:before="80" w:after="80" w:line="240" w:lineRule="auto"/>
              <w:jc w:val="both"/>
              <w:rPr>
                <w:sz w:val="22"/>
                <w:lang w:val="nl-NL"/>
              </w:rPr>
            </w:pPr>
            <w:r w:rsidRPr="007C0A9C">
              <w:rPr>
                <w:sz w:val="22"/>
                <w:lang w:val="nl-NL"/>
              </w:rPr>
              <w:t xml:space="preserve">Giá trị tài sản ròng của nhà thầu trong năm tài chính gần nhất so với thời điểm đóng thầu phải dương. </w:t>
            </w:r>
          </w:p>
          <w:p w:rsidR="007C0A9C" w:rsidRPr="007C0A9C" w:rsidRDefault="007C0A9C" w:rsidP="005820EE">
            <w:pPr>
              <w:pStyle w:val="BodyText"/>
              <w:widowControl w:val="0"/>
              <w:spacing w:before="80" w:after="80"/>
              <w:ind w:right="75"/>
              <w:rPr>
                <w:rFonts w:eastAsia="Calibri"/>
                <w:sz w:val="22"/>
                <w:szCs w:val="24"/>
                <w:lang w:val="nl-NL"/>
              </w:rPr>
            </w:pPr>
            <w:r w:rsidRPr="007C0A9C">
              <w:rPr>
                <w:rFonts w:eastAsia="Calibri"/>
                <w:sz w:val="22"/>
                <w:szCs w:val="24"/>
                <w:lang w:val="nl-NL"/>
              </w:rPr>
              <w:t>(Giá trị tài sản ròng = Tổng tài sản - Tổng nợ)</w:t>
            </w:r>
          </w:p>
        </w:tc>
        <w:tc>
          <w:tcPr>
            <w:tcW w:w="263" w:type="pct"/>
          </w:tcPr>
          <w:p w:rsidR="007C0A9C" w:rsidRPr="007C0A9C" w:rsidRDefault="007C0A9C" w:rsidP="005820EE">
            <w:pPr>
              <w:pStyle w:val="Style11"/>
              <w:tabs>
                <w:tab w:val="left" w:leader="dot" w:pos="8424"/>
              </w:tabs>
              <w:spacing w:before="80" w:after="80" w:line="240" w:lineRule="auto"/>
              <w:jc w:val="center"/>
              <w:rPr>
                <w:sz w:val="22"/>
                <w:lang w:val="nl-NL"/>
              </w:rPr>
            </w:pPr>
          </w:p>
        </w:tc>
        <w:tc>
          <w:tcPr>
            <w:tcW w:w="142" w:type="pct"/>
          </w:tcPr>
          <w:p w:rsidR="007C0A9C" w:rsidRPr="007C0A9C" w:rsidRDefault="007C0A9C" w:rsidP="005820EE">
            <w:pPr>
              <w:pStyle w:val="Style11"/>
              <w:tabs>
                <w:tab w:val="left" w:leader="dot" w:pos="8424"/>
              </w:tabs>
              <w:spacing w:before="80" w:after="80" w:line="240" w:lineRule="auto"/>
              <w:jc w:val="center"/>
              <w:rPr>
                <w:sz w:val="22"/>
              </w:rPr>
            </w:pPr>
          </w:p>
        </w:tc>
        <w:tc>
          <w:tcPr>
            <w:tcW w:w="152" w:type="pct"/>
          </w:tcPr>
          <w:p w:rsidR="007C0A9C" w:rsidRPr="007C0A9C" w:rsidRDefault="007C0A9C" w:rsidP="005820EE">
            <w:pPr>
              <w:pStyle w:val="Style11"/>
              <w:tabs>
                <w:tab w:val="left" w:leader="dot" w:pos="8424"/>
              </w:tabs>
              <w:spacing w:before="80" w:after="80" w:line="240" w:lineRule="auto"/>
              <w:jc w:val="center"/>
              <w:rPr>
                <w:sz w:val="22"/>
              </w:rPr>
            </w:pPr>
          </w:p>
        </w:tc>
        <w:tc>
          <w:tcPr>
            <w:tcW w:w="124" w:type="pct"/>
          </w:tcPr>
          <w:p w:rsidR="007C0A9C" w:rsidRPr="007C0A9C" w:rsidRDefault="007C0A9C" w:rsidP="005820EE">
            <w:pPr>
              <w:pStyle w:val="Style11"/>
              <w:tabs>
                <w:tab w:val="left" w:leader="dot" w:pos="8424"/>
              </w:tabs>
              <w:spacing w:before="80" w:after="80" w:line="240" w:lineRule="auto"/>
              <w:jc w:val="center"/>
            </w:pPr>
          </w:p>
        </w:tc>
        <w:tc>
          <w:tcPr>
            <w:tcW w:w="152" w:type="pct"/>
          </w:tcPr>
          <w:p w:rsidR="007C0A9C" w:rsidRPr="007C0A9C" w:rsidRDefault="007C0A9C" w:rsidP="005820EE">
            <w:pPr>
              <w:pStyle w:val="Style11"/>
              <w:tabs>
                <w:tab w:val="left" w:leader="dot" w:pos="8424"/>
              </w:tabs>
              <w:spacing w:before="80" w:after="80" w:line="240" w:lineRule="auto"/>
              <w:jc w:val="center"/>
            </w:pPr>
          </w:p>
        </w:tc>
        <w:tc>
          <w:tcPr>
            <w:tcW w:w="248" w:type="pct"/>
          </w:tcPr>
          <w:p w:rsidR="007C0A9C" w:rsidRPr="007C0A9C" w:rsidRDefault="007C0A9C" w:rsidP="005820EE">
            <w:pPr>
              <w:pStyle w:val="Style11"/>
              <w:tabs>
                <w:tab w:val="left" w:leader="dot" w:pos="8424"/>
              </w:tabs>
              <w:spacing w:before="80" w:after="80" w:line="240" w:lineRule="auto"/>
              <w:jc w:val="cente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434" w:type="pct"/>
          <w:trHeight w:val="467"/>
        </w:trPr>
        <w:tc>
          <w:tcPr>
            <w:tcW w:w="109" w:type="pct"/>
            <w:gridSpan w:val="2"/>
          </w:tcPr>
          <w:p w:rsidR="007C0A9C" w:rsidRPr="007C0A9C" w:rsidRDefault="007C0A9C" w:rsidP="005820EE">
            <w:pPr>
              <w:pStyle w:val="Style11"/>
              <w:tabs>
                <w:tab w:val="left" w:leader="dot" w:pos="8424"/>
              </w:tabs>
              <w:spacing w:before="80" w:after="80" w:line="240" w:lineRule="auto"/>
              <w:jc w:val="center"/>
              <w:rPr>
                <w:b/>
              </w:rPr>
            </w:pPr>
            <w:r w:rsidRPr="007C0A9C">
              <w:rPr>
                <w:rFonts w:eastAsia="Calibri"/>
                <w:b/>
                <w:lang w:val="nl-NL"/>
              </w:rPr>
              <w:t>3.2</w:t>
            </w:r>
          </w:p>
        </w:tc>
        <w:tc>
          <w:tcPr>
            <w:tcW w:w="383" w:type="pct"/>
          </w:tcPr>
          <w:p w:rsidR="007C0A9C" w:rsidRPr="007C0A9C" w:rsidRDefault="007C0A9C" w:rsidP="005820EE">
            <w:pPr>
              <w:pStyle w:val="Style11"/>
              <w:tabs>
                <w:tab w:val="left" w:leader="dot" w:pos="8424"/>
              </w:tabs>
              <w:spacing w:before="80" w:after="80" w:line="240" w:lineRule="auto"/>
              <w:jc w:val="both"/>
              <w:rPr>
                <w:b/>
                <w:sz w:val="22"/>
                <w:szCs w:val="22"/>
              </w:rPr>
            </w:pPr>
            <w:r w:rsidRPr="007C0A9C">
              <w:rPr>
                <w:b/>
                <w:sz w:val="22"/>
                <w:szCs w:val="22"/>
              </w:rPr>
              <w:t>Doanh thu bình quân hằng năm (không bao gồm thuế VAT)</w:t>
            </w:r>
          </w:p>
        </w:tc>
        <w:tc>
          <w:tcPr>
            <w:tcW w:w="994" w:type="pct"/>
            <w:gridSpan w:val="2"/>
          </w:tcPr>
          <w:p w:rsidR="007C0A9C" w:rsidRPr="007C0A9C" w:rsidRDefault="007C0A9C" w:rsidP="005820EE">
            <w:pPr>
              <w:pStyle w:val="BodyText"/>
              <w:widowControl w:val="0"/>
              <w:spacing w:before="80" w:after="80"/>
              <w:ind w:right="75"/>
              <w:rPr>
                <w:rFonts w:eastAsia="Calibri"/>
                <w:sz w:val="22"/>
                <w:szCs w:val="24"/>
                <w:lang w:val="nl-NL"/>
              </w:rPr>
            </w:pPr>
            <w:r w:rsidRPr="007C0A9C">
              <w:rPr>
                <w:rFonts w:eastAsia="Calibri"/>
                <w:sz w:val="22"/>
                <w:szCs w:val="24"/>
                <w:lang w:val="nl-NL"/>
              </w:rPr>
              <w:t xml:space="preserve">Doanh thu bình quân hằng năm (không bao gồm thuế VAT) của  </w:t>
            </w:r>
            <w:r w:rsidRPr="007C0A9C">
              <w:rPr>
                <w:rFonts w:eastAsia="Calibri"/>
                <w:color w:val="C00000"/>
                <w:sz w:val="22"/>
                <w:szCs w:val="24"/>
                <w:lang w:val="nl-NL"/>
              </w:rPr>
              <w:t>03</w:t>
            </w:r>
            <w:r w:rsidRPr="007C0A9C">
              <w:rPr>
                <w:rFonts w:eastAsia="Calibri"/>
                <w:sz w:val="22"/>
                <w:szCs w:val="24"/>
                <w:lang w:val="nl-NL"/>
              </w:rPr>
              <w:t xml:space="preserve"> </w:t>
            </w:r>
            <w:r w:rsidRPr="007C0A9C">
              <w:rPr>
                <w:rFonts w:eastAsia="Calibri"/>
                <w:sz w:val="22"/>
                <w:szCs w:val="24"/>
                <w:vertAlign w:val="superscript"/>
                <w:lang w:val="nl-NL"/>
              </w:rPr>
              <w:t>(6)</w:t>
            </w:r>
            <w:r w:rsidRPr="007C0A9C">
              <w:rPr>
                <w:rFonts w:eastAsia="Calibri"/>
                <w:sz w:val="22"/>
                <w:szCs w:val="24"/>
                <w:lang w:val="nl-NL"/>
              </w:rPr>
              <w:t xml:space="preserve">năm tài chính gần nhất </w:t>
            </w:r>
            <w:r w:rsidRPr="007C0A9C">
              <w:rPr>
                <w:sz w:val="22"/>
                <w:szCs w:val="24"/>
              </w:rPr>
              <w:t>so với thời điểm đóng thầu</w:t>
            </w:r>
            <w:r w:rsidRPr="007C0A9C">
              <w:rPr>
                <w:rFonts w:eastAsia="Calibri"/>
                <w:sz w:val="22"/>
                <w:szCs w:val="24"/>
                <w:lang w:val="nl-NL"/>
              </w:rPr>
              <w:t xml:space="preserve"> của nhà thầu có giá trị tối thiểu là </w:t>
            </w:r>
            <w:r w:rsidRPr="007C0A9C">
              <w:rPr>
                <w:rFonts w:eastAsia="Calibri"/>
                <w:b/>
                <w:color w:val="C00000"/>
                <w:sz w:val="22"/>
                <w:szCs w:val="24"/>
                <w:lang w:val="nl-NL"/>
              </w:rPr>
              <w:t xml:space="preserve"> 3.260.625.267  </w:t>
            </w:r>
            <w:r w:rsidRPr="007C0A9C">
              <w:rPr>
                <w:rFonts w:eastAsia="Calibri"/>
                <w:sz w:val="22"/>
                <w:szCs w:val="24"/>
                <w:vertAlign w:val="superscript"/>
                <w:lang w:val="nl-NL"/>
              </w:rPr>
              <w:t>(7)</w:t>
            </w:r>
            <w:r w:rsidRPr="007C0A9C">
              <w:rPr>
                <w:rFonts w:eastAsia="Calibri"/>
                <w:sz w:val="22"/>
                <w:szCs w:val="24"/>
                <w:lang w:val="nl-NL"/>
              </w:rPr>
              <w:t>VND.</w:t>
            </w:r>
          </w:p>
          <w:p w:rsidR="007C0A9C" w:rsidRPr="007C0A9C" w:rsidRDefault="007C0A9C" w:rsidP="005820EE">
            <w:pPr>
              <w:rPr>
                <w:sz w:val="22"/>
                <w:szCs w:val="24"/>
              </w:rPr>
            </w:pPr>
            <w:r w:rsidRPr="007C0A9C">
              <w:rPr>
                <w:sz w:val="22"/>
                <w:szCs w:val="24"/>
                <w:lang w:val="nl-NL"/>
              </w:rPr>
              <w:t>Đối với gói thầu mua sắm tập trung áp dụng lựa chọn nhà thầu theo khả năng cung cấp, doanh thu được xác định tương ứng với giá dự thầu theo hệ số “k”____.</w:t>
            </w:r>
          </w:p>
        </w:tc>
        <w:tc>
          <w:tcPr>
            <w:tcW w:w="263" w:type="pct"/>
          </w:tcPr>
          <w:p w:rsidR="007C0A9C" w:rsidRPr="007C0A9C" w:rsidRDefault="007C0A9C" w:rsidP="005820EE">
            <w:pPr>
              <w:pStyle w:val="Style11"/>
              <w:tabs>
                <w:tab w:val="left" w:leader="dot" w:pos="8424"/>
              </w:tabs>
              <w:spacing w:before="80" w:after="80" w:line="240" w:lineRule="auto"/>
              <w:jc w:val="center"/>
              <w:rPr>
                <w:sz w:val="22"/>
                <w:lang w:val="nl-NL"/>
              </w:rPr>
            </w:pPr>
          </w:p>
        </w:tc>
        <w:tc>
          <w:tcPr>
            <w:tcW w:w="142" w:type="pct"/>
          </w:tcPr>
          <w:p w:rsidR="007C0A9C" w:rsidRPr="007C0A9C" w:rsidRDefault="007C0A9C" w:rsidP="005820EE">
            <w:pPr>
              <w:pStyle w:val="Style11"/>
              <w:tabs>
                <w:tab w:val="left" w:leader="dot" w:pos="8424"/>
              </w:tabs>
              <w:spacing w:before="80" w:after="80" w:line="240" w:lineRule="auto"/>
              <w:jc w:val="center"/>
              <w:rPr>
                <w:sz w:val="22"/>
                <w:lang w:val="nl-NL"/>
              </w:rPr>
            </w:pPr>
          </w:p>
        </w:tc>
        <w:tc>
          <w:tcPr>
            <w:tcW w:w="152" w:type="pct"/>
          </w:tcPr>
          <w:p w:rsidR="007C0A9C" w:rsidRPr="007C0A9C" w:rsidRDefault="007C0A9C" w:rsidP="005820EE">
            <w:pPr>
              <w:pStyle w:val="Style11"/>
              <w:tabs>
                <w:tab w:val="left" w:leader="dot" w:pos="8424"/>
              </w:tabs>
              <w:spacing w:before="80" w:after="80" w:line="240" w:lineRule="auto"/>
              <w:jc w:val="center"/>
              <w:rPr>
                <w:sz w:val="22"/>
              </w:rPr>
            </w:pPr>
          </w:p>
        </w:tc>
        <w:tc>
          <w:tcPr>
            <w:tcW w:w="124" w:type="pct"/>
          </w:tcPr>
          <w:p w:rsidR="007C0A9C" w:rsidRPr="007C0A9C" w:rsidRDefault="007C0A9C" w:rsidP="005820EE">
            <w:pPr>
              <w:pStyle w:val="Style11"/>
              <w:tabs>
                <w:tab w:val="left" w:leader="dot" w:pos="8424"/>
              </w:tabs>
              <w:spacing w:before="80" w:after="80" w:line="240" w:lineRule="auto"/>
              <w:jc w:val="center"/>
            </w:pPr>
          </w:p>
        </w:tc>
        <w:tc>
          <w:tcPr>
            <w:tcW w:w="152" w:type="pct"/>
          </w:tcPr>
          <w:p w:rsidR="007C0A9C" w:rsidRPr="007C0A9C" w:rsidRDefault="007C0A9C" w:rsidP="005820EE">
            <w:pPr>
              <w:pStyle w:val="Style11"/>
              <w:tabs>
                <w:tab w:val="left" w:leader="dot" w:pos="8424"/>
              </w:tabs>
              <w:spacing w:before="80" w:after="80" w:line="240" w:lineRule="auto"/>
              <w:jc w:val="center"/>
            </w:pPr>
          </w:p>
        </w:tc>
        <w:tc>
          <w:tcPr>
            <w:tcW w:w="248" w:type="pct"/>
          </w:tcPr>
          <w:p w:rsidR="007C0A9C" w:rsidRPr="007C0A9C" w:rsidRDefault="007C0A9C" w:rsidP="005820EE">
            <w:pPr>
              <w:pStyle w:val="Style11"/>
              <w:tabs>
                <w:tab w:val="left" w:leader="dot" w:pos="8424"/>
              </w:tabs>
              <w:spacing w:before="80" w:after="80" w:line="240" w:lineRule="auto"/>
              <w:jc w:val="cente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434" w:type="pct"/>
          <w:trHeight w:val="467"/>
        </w:trPr>
        <w:tc>
          <w:tcPr>
            <w:tcW w:w="109" w:type="pct"/>
            <w:gridSpan w:val="2"/>
          </w:tcPr>
          <w:p w:rsidR="007C0A9C" w:rsidRPr="007C0A9C" w:rsidRDefault="007C0A9C" w:rsidP="005820EE">
            <w:pPr>
              <w:pStyle w:val="Style11"/>
              <w:tabs>
                <w:tab w:val="left" w:leader="dot" w:pos="8424"/>
              </w:tabs>
              <w:spacing w:before="80" w:after="80" w:line="240" w:lineRule="auto"/>
              <w:jc w:val="center"/>
              <w:rPr>
                <w:b/>
              </w:rPr>
            </w:pPr>
            <w:r w:rsidRPr="007C0A9C">
              <w:rPr>
                <w:b/>
              </w:rPr>
              <w:t>4</w:t>
            </w:r>
          </w:p>
        </w:tc>
        <w:tc>
          <w:tcPr>
            <w:tcW w:w="383" w:type="pct"/>
          </w:tcPr>
          <w:p w:rsidR="007C0A9C" w:rsidRPr="007C0A9C" w:rsidRDefault="007C0A9C" w:rsidP="005820EE">
            <w:pPr>
              <w:pStyle w:val="Style11"/>
              <w:tabs>
                <w:tab w:val="left" w:leader="dot" w:pos="8424"/>
              </w:tabs>
              <w:spacing w:before="80" w:after="80" w:line="240" w:lineRule="auto"/>
              <w:jc w:val="both"/>
              <w:rPr>
                <w:b/>
              </w:rPr>
            </w:pPr>
            <w:r w:rsidRPr="007C0A9C">
              <w:rPr>
                <w:rFonts w:eastAsia="Calibri"/>
                <w:b/>
                <w:bCs/>
                <w:iCs/>
                <w:sz w:val="22"/>
                <w:lang w:val="pl-PL"/>
              </w:rPr>
              <w:t>Kinh nghiệm thực hiện hợp đồng cung cấp hàng hóa tương tự</w:t>
            </w:r>
          </w:p>
        </w:tc>
        <w:tc>
          <w:tcPr>
            <w:tcW w:w="994" w:type="pct"/>
            <w:gridSpan w:val="2"/>
          </w:tcPr>
          <w:p w:rsidR="007C0A9C" w:rsidRPr="007C0A9C" w:rsidRDefault="007C0A9C" w:rsidP="005820EE">
            <w:pPr>
              <w:pStyle w:val="BodyText"/>
              <w:widowControl w:val="0"/>
              <w:ind w:right="75"/>
              <w:rPr>
                <w:i/>
                <w:iCs/>
                <w:sz w:val="22"/>
                <w:szCs w:val="24"/>
              </w:rPr>
            </w:pPr>
            <w:r w:rsidRPr="007C0A9C">
              <w:rPr>
                <w:i/>
                <w:iCs/>
                <w:sz w:val="22"/>
                <w:szCs w:val="24"/>
              </w:rPr>
              <w:t>Căn cứ vào tính chất, điều kiện cụ thể của gói thầu, chủ đầu tư yêu cầu về kinh nghiệm thực hiện hợp đồng cung cấp hàng hóa tương tự hoặc không yêu cầu về kinh nghiệm thực hiện hợp đồng cung cấp hàng hóa tương tự.</w:t>
            </w:r>
          </w:p>
          <w:p w:rsidR="007C0A9C" w:rsidRPr="007C0A9C" w:rsidRDefault="007C0A9C" w:rsidP="005820EE">
            <w:pPr>
              <w:pStyle w:val="BodyText"/>
              <w:widowControl w:val="0"/>
              <w:ind w:right="75"/>
              <w:rPr>
                <w:i/>
                <w:iCs/>
                <w:sz w:val="22"/>
                <w:szCs w:val="24"/>
              </w:rPr>
            </w:pPr>
            <w:r w:rsidRPr="007C0A9C">
              <w:rPr>
                <w:i/>
                <w:iCs/>
                <w:sz w:val="22"/>
                <w:szCs w:val="24"/>
              </w:rPr>
              <w:t xml:space="preserve">- Trường hợp không yêu cầu về kinh nghiệm thực hiện hợp đồng </w:t>
            </w:r>
            <w:r w:rsidRPr="007C0A9C">
              <w:rPr>
                <w:i/>
                <w:iCs/>
                <w:sz w:val="22"/>
                <w:szCs w:val="24"/>
              </w:rPr>
              <w:lastRenderedPageBreak/>
              <w:t>cung cấp hàng hóa tương tự thì chọn “Không áp dụng”.</w:t>
            </w:r>
          </w:p>
          <w:p w:rsidR="007C0A9C" w:rsidRPr="007C0A9C" w:rsidRDefault="007C0A9C" w:rsidP="005820EE">
            <w:pPr>
              <w:pStyle w:val="BodyText"/>
              <w:widowControl w:val="0"/>
              <w:ind w:right="75"/>
              <w:rPr>
                <w:i/>
                <w:iCs/>
                <w:sz w:val="22"/>
                <w:szCs w:val="24"/>
              </w:rPr>
            </w:pPr>
            <w:r w:rsidRPr="007C0A9C">
              <w:rPr>
                <w:i/>
                <w:iCs/>
                <w:sz w:val="22"/>
                <w:szCs w:val="24"/>
              </w:rPr>
              <w:t>- Trường hợp có yêu cầu về kinh nghiệm thực hiện hợp đồng cung cấp hàng hóa tương tự thì chọn “Áp dụng” và quy định như sau:</w:t>
            </w:r>
          </w:p>
          <w:p w:rsidR="007C0A9C" w:rsidRPr="007C0A9C" w:rsidRDefault="007C0A9C" w:rsidP="005820EE">
            <w:pPr>
              <w:pStyle w:val="BodyText"/>
              <w:widowControl w:val="0"/>
              <w:ind w:right="75"/>
              <w:rPr>
                <w:sz w:val="22"/>
                <w:szCs w:val="24"/>
                <w:lang w:val="es-ES"/>
              </w:rPr>
            </w:pPr>
            <w:r w:rsidRPr="007C0A9C">
              <w:rPr>
                <w:sz w:val="22"/>
                <w:szCs w:val="24"/>
              </w:rPr>
              <w:t>N</w:t>
            </w:r>
            <w:r w:rsidRPr="007C0A9C">
              <w:rPr>
                <w:sz w:val="22"/>
                <w:szCs w:val="24"/>
                <w:lang w:val="es-ES"/>
              </w:rPr>
              <w:t>hà thầu đã hoàn thành</w:t>
            </w:r>
            <w:r w:rsidRPr="007C0A9C">
              <w:rPr>
                <w:sz w:val="22"/>
                <w:szCs w:val="24"/>
                <w:vertAlign w:val="subscript"/>
                <w:lang w:val="es-ES"/>
              </w:rPr>
              <w:t xml:space="preserve"> </w:t>
            </w:r>
            <w:r w:rsidRPr="007C0A9C">
              <w:rPr>
                <w:sz w:val="22"/>
                <w:szCs w:val="24"/>
                <w:lang w:val="es-ES"/>
              </w:rPr>
              <w:t>tối</w:t>
            </w:r>
            <w:r w:rsidRPr="007C0A9C">
              <w:rPr>
                <w:sz w:val="22"/>
                <w:szCs w:val="24"/>
                <w:vertAlign w:val="subscript"/>
                <w:lang w:val="es-ES"/>
              </w:rPr>
              <w:t xml:space="preserve"> </w:t>
            </w:r>
            <w:r w:rsidRPr="007C0A9C">
              <w:rPr>
                <w:sz w:val="22"/>
                <w:szCs w:val="24"/>
                <w:lang w:val="es-ES"/>
              </w:rPr>
              <w:t>thiểu 01 hợp đồng tương tự</w:t>
            </w:r>
            <w:r w:rsidRPr="007C0A9C">
              <w:rPr>
                <w:sz w:val="22"/>
                <w:szCs w:val="24"/>
                <w:vertAlign w:val="superscript"/>
                <w:lang w:val="es-ES"/>
              </w:rPr>
              <w:t xml:space="preserve"> </w:t>
            </w:r>
            <w:r w:rsidRPr="007C0A9C">
              <w:rPr>
                <w:sz w:val="22"/>
                <w:szCs w:val="24"/>
                <w:lang w:val="es-ES"/>
              </w:rPr>
              <w:t>với tư cách là nhà thầu chính (độc lập hoặc thành viên liên danh)</w:t>
            </w:r>
            <w:r w:rsidRPr="007C0A9C">
              <w:rPr>
                <w:sz w:val="22"/>
                <w:szCs w:val="24"/>
                <w:vertAlign w:val="superscript"/>
                <w:lang w:val="es-ES"/>
              </w:rPr>
              <w:t xml:space="preserve"> </w:t>
            </w:r>
            <w:r w:rsidRPr="007C0A9C">
              <w:rPr>
                <w:sz w:val="22"/>
                <w:szCs w:val="24"/>
                <w:lang w:val="es-ES"/>
              </w:rPr>
              <w:t>hoặc nhà thầu phụ</w:t>
            </w:r>
            <w:r w:rsidRPr="007C0A9C">
              <w:rPr>
                <w:sz w:val="22"/>
                <w:szCs w:val="24"/>
                <w:vertAlign w:val="superscript"/>
              </w:rPr>
              <w:t>(8)</w:t>
            </w:r>
            <w:r w:rsidRPr="007C0A9C">
              <w:rPr>
                <w:sz w:val="22"/>
                <w:szCs w:val="24"/>
                <w:lang w:val="es-ES"/>
              </w:rPr>
              <w:t xml:space="preserve"> trong khoảng thời gian kể </w:t>
            </w:r>
            <w:r w:rsidRPr="007C0A9C">
              <w:rPr>
                <w:sz w:val="22"/>
                <w:szCs w:val="24"/>
              </w:rPr>
              <w:t xml:space="preserve">từ ngày 01 tháng 01 </w:t>
            </w:r>
            <w:r w:rsidRPr="007C0A9C">
              <w:rPr>
                <w:color w:val="C00000"/>
                <w:sz w:val="22"/>
                <w:szCs w:val="24"/>
              </w:rPr>
              <w:t>năm</w:t>
            </w:r>
            <w:r w:rsidRPr="007C0A9C">
              <w:rPr>
                <w:b/>
                <w:color w:val="C00000"/>
                <w:sz w:val="22"/>
                <w:szCs w:val="24"/>
              </w:rPr>
              <w:t xml:space="preserve"> 2022</w:t>
            </w:r>
            <w:r w:rsidRPr="007C0A9C">
              <w:rPr>
                <w:sz w:val="22"/>
                <w:szCs w:val="24"/>
              </w:rPr>
              <w:t xml:space="preserve"> </w:t>
            </w:r>
            <w:r w:rsidRPr="007C0A9C">
              <w:rPr>
                <w:sz w:val="22"/>
                <w:szCs w:val="24"/>
                <w:vertAlign w:val="superscript"/>
              </w:rPr>
              <w:t>(9)</w:t>
            </w:r>
            <w:r w:rsidRPr="007C0A9C">
              <w:rPr>
                <w:sz w:val="22"/>
                <w:szCs w:val="24"/>
                <w:lang w:val="es-ES"/>
              </w:rPr>
              <w:t xml:space="preserve"> đến thời điểm đóng thầu.</w:t>
            </w:r>
          </w:p>
          <w:p w:rsidR="007C0A9C" w:rsidRPr="007C0A9C" w:rsidRDefault="007C0A9C" w:rsidP="005820EE">
            <w:pPr>
              <w:pStyle w:val="Style11"/>
              <w:tabs>
                <w:tab w:val="left" w:leader="dot" w:pos="8424"/>
              </w:tabs>
              <w:spacing w:line="240" w:lineRule="auto"/>
              <w:jc w:val="both"/>
              <w:rPr>
                <w:sz w:val="22"/>
                <w:lang w:val="es-ES"/>
              </w:rPr>
            </w:pPr>
            <w:r w:rsidRPr="007C0A9C">
              <w:rPr>
                <w:sz w:val="22"/>
                <w:lang w:val="es-ES"/>
              </w:rPr>
              <w:t>Trong đó hợp đồng tương tự là:</w:t>
            </w:r>
          </w:p>
          <w:p w:rsidR="007C0A9C" w:rsidRPr="007C0A9C" w:rsidRDefault="007C0A9C" w:rsidP="005820EE">
            <w:pPr>
              <w:pStyle w:val="Style11"/>
              <w:tabs>
                <w:tab w:val="left" w:leader="dot" w:pos="8424"/>
              </w:tabs>
              <w:spacing w:line="240" w:lineRule="auto"/>
              <w:jc w:val="both"/>
              <w:rPr>
                <w:sz w:val="22"/>
                <w:lang w:val="es-ES"/>
              </w:rPr>
            </w:pPr>
            <w:r w:rsidRPr="007C0A9C">
              <w:rPr>
                <w:sz w:val="22"/>
                <w:lang w:val="es-ES"/>
              </w:rPr>
              <w:t xml:space="preserve">- Có tính chất tương tự: </w:t>
            </w:r>
            <w:r w:rsidRPr="007C0A9C">
              <w:rPr>
                <w:b/>
                <w:color w:val="C00000"/>
                <w:sz w:val="22"/>
                <w:lang w:val="es-ES"/>
              </w:rPr>
              <w:t>Hóa chất, sinh phẩm, vật tư tiêu hao, vật tư y tế</w:t>
            </w:r>
            <w:r w:rsidRPr="007C0A9C">
              <w:rPr>
                <w:sz w:val="22"/>
                <w:lang w:val="es-ES"/>
              </w:rPr>
              <w:t xml:space="preserve"> </w:t>
            </w:r>
            <w:r w:rsidRPr="007C0A9C">
              <w:rPr>
                <w:sz w:val="22"/>
                <w:vertAlign w:val="superscript"/>
                <w:lang w:val="es-ES"/>
              </w:rPr>
              <w:t>(10)</w:t>
            </w:r>
            <w:r w:rsidRPr="007C0A9C">
              <w:rPr>
                <w:sz w:val="22"/>
                <w:lang w:val="es-ES"/>
              </w:rPr>
              <w:t>;</w:t>
            </w:r>
          </w:p>
          <w:p w:rsidR="007C0A9C" w:rsidRPr="007C0A9C" w:rsidRDefault="007C0A9C" w:rsidP="005820EE">
            <w:pPr>
              <w:pStyle w:val="Style11"/>
              <w:tabs>
                <w:tab w:val="left" w:leader="dot" w:pos="8424"/>
              </w:tabs>
              <w:spacing w:line="240" w:lineRule="auto"/>
              <w:jc w:val="both"/>
              <w:rPr>
                <w:sz w:val="22"/>
                <w:lang w:val="es-ES"/>
              </w:rPr>
            </w:pPr>
            <w:r w:rsidRPr="007C0A9C">
              <w:rPr>
                <w:sz w:val="22"/>
                <w:lang w:val="es-ES"/>
              </w:rPr>
              <w:t xml:space="preserve">- Có quy mô (giá trị) tối thiểu: </w:t>
            </w:r>
            <w:r w:rsidRPr="007C0A9C">
              <w:rPr>
                <w:b/>
                <w:color w:val="C00000"/>
                <w:sz w:val="22"/>
                <w:lang w:val="es-ES"/>
              </w:rPr>
              <w:t xml:space="preserve">1.086.875.089 </w:t>
            </w:r>
            <w:r w:rsidRPr="007C0A9C">
              <w:rPr>
                <w:sz w:val="22"/>
                <w:lang w:val="es-ES"/>
              </w:rPr>
              <w:t xml:space="preserve">VND </w:t>
            </w:r>
            <w:r w:rsidRPr="007C0A9C">
              <w:rPr>
                <w:sz w:val="22"/>
                <w:vertAlign w:val="superscript"/>
                <w:lang w:val="es-ES"/>
              </w:rPr>
              <w:t>(11)</w:t>
            </w:r>
            <w:r w:rsidRPr="007C0A9C">
              <w:rPr>
                <w:sz w:val="22"/>
                <w:lang w:val="es-ES"/>
              </w:rPr>
              <w:t>.</w:t>
            </w:r>
          </w:p>
          <w:p w:rsidR="007C0A9C" w:rsidRPr="007C0A9C" w:rsidRDefault="007C0A9C" w:rsidP="005820EE">
            <w:pPr>
              <w:pStyle w:val="Style11"/>
              <w:tabs>
                <w:tab w:val="left" w:leader="dot" w:pos="8424"/>
              </w:tabs>
              <w:spacing w:line="240" w:lineRule="auto"/>
              <w:jc w:val="both"/>
              <w:rPr>
                <w:rFonts w:eastAsia="Calibri"/>
                <w:sz w:val="22"/>
                <w:lang w:val="nl-NL"/>
              </w:rPr>
            </w:pPr>
            <w:r w:rsidRPr="007C0A9C">
              <w:rPr>
                <w:sz w:val="22"/>
                <w:lang w:val="es-ES"/>
              </w:rPr>
              <w:t>Trường hợp gói thầu có nhiều loại hàng hóa khác nhau thì việc đưa ra yêu cầu về hợp đồng tương tự được thực hiện theo Bảng Y.</w:t>
            </w:r>
          </w:p>
        </w:tc>
        <w:tc>
          <w:tcPr>
            <w:tcW w:w="263" w:type="pct"/>
          </w:tcPr>
          <w:p w:rsidR="007C0A9C" w:rsidRPr="007C0A9C" w:rsidRDefault="007C0A9C" w:rsidP="005820EE">
            <w:pPr>
              <w:pStyle w:val="Style11"/>
              <w:tabs>
                <w:tab w:val="left" w:leader="dot" w:pos="8424"/>
              </w:tabs>
              <w:spacing w:before="80" w:after="80" w:line="240" w:lineRule="auto"/>
              <w:jc w:val="center"/>
              <w:rPr>
                <w:sz w:val="22"/>
                <w:lang w:val="nl-NL"/>
              </w:rPr>
            </w:pPr>
          </w:p>
        </w:tc>
        <w:tc>
          <w:tcPr>
            <w:tcW w:w="142" w:type="pct"/>
          </w:tcPr>
          <w:p w:rsidR="007C0A9C" w:rsidRPr="007C0A9C" w:rsidRDefault="007C0A9C" w:rsidP="005820EE">
            <w:pPr>
              <w:pStyle w:val="Style11"/>
              <w:tabs>
                <w:tab w:val="left" w:leader="dot" w:pos="8424"/>
              </w:tabs>
              <w:spacing w:before="80" w:after="80" w:line="240" w:lineRule="auto"/>
              <w:jc w:val="center"/>
              <w:rPr>
                <w:sz w:val="22"/>
                <w:lang w:val="nl-NL"/>
              </w:rPr>
            </w:pPr>
          </w:p>
        </w:tc>
        <w:tc>
          <w:tcPr>
            <w:tcW w:w="152" w:type="pct"/>
          </w:tcPr>
          <w:p w:rsidR="007C0A9C" w:rsidRPr="007C0A9C" w:rsidRDefault="007C0A9C" w:rsidP="005820EE">
            <w:pPr>
              <w:pStyle w:val="Style11"/>
              <w:tabs>
                <w:tab w:val="left" w:leader="dot" w:pos="8424"/>
              </w:tabs>
              <w:spacing w:before="80" w:after="80" w:line="240" w:lineRule="auto"/>
              <w:jc w:val="center"/>
              <w:rPr>
                <w:sz w:val="22"/>
                <w:lang w:val="nl-NL"/>
              </w:rPr>
            </w:pPr>
          </w:p>
        </w:tc>
        <w:tc>
          <w:tcPr>
            <w:tcW w:w="124" w:type="pct"/>
          </w:tcPr>
          <w:p w:rsidR="007C0A9C" w:rsidRPr="007C0A9C" w:rsidRDefault="007C0A9C" w:rsidP="005820EE">
            <w:pPr>
              <w:pStyle w:val="Style11"/>
              <w:tabs>
                <w:tab w:val="left" w:leader="dot" w:pos="8424"/>
              </w:tabs>
              <w:spacing w:before="80" w:after="80" w:line="240" w:lineRule="auto"/>
              <w:jc w:val="center"/>
            </w:pPr>
          </w:p>
        </w:tc>
        <w:tc>
          <w:tcPr>
            <w:tcW w:w="152" w:type="pct"/>
          </w:tcPr>
          <w:p w:rsidR="007C0A9C" w:rsidRPr="007C0A9C" w:rsidRDefault="007C0A9C" w:rsidP="005820EE">
            <w:pPr>
              <w:pStyle w:val="Style11"/>
              <w:tabs>
                <w:tab w:val="left" w:leader="dot" w:pos="8424"/>
              </w:tabs>
              <w:spacing w:before="80" w:after="80" w:line="240" w:lineRule="auto"/>
              <w:jc w:val="center"/>
            </w:pPr>
          </w:p>
        </w:tc>
        <w:tc>
          <w:tcPr>
            <w:tcW w:w="248" w:type="pct"/>
          </w:tcPr>
          <w:p w:rsidR="007C0A9C" w:rsidRPr="007C0A9C" w:rsidRDefault="007C0A9C" w:rsidP="005820EE">
            <w:pPr>
              <w:pStyle w:val="Style11"/>
              <w:tabs>
                <w:tab w:val="left" w:leader="dot" w:pos="8424"/>
              </w:tabs>
              <w:spacing w:before="80" w:after="80" w:line="240" w:lineRule="auto"/>
              <w:jc w:val="cente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434" w:type="pct"/>
          <w:trHeight w:val="467"/>
        </w:trPr>
        <w:tc>
          <w:tcPr>
            <w:tcW w:w="109" w:type="pct"/>
            <w:gridSpan w:val="2"/>
          </w:tcPr>
          <w:p w:rsidR="007C0A9C" w:rsidRPr="007C0A9C" w:rsidRDefault="007C0A9C" w:rsidP="005820EE">
            <w:pPr>
              <w:pStyle w:val="Style11"/>
              <w:tabs>
                <w:tab w:val="left" w:leader="dot" w:pos="8424"/>
              </w:tabs>
              <w:spacing w:before="80" w:after="80" w:line="240" w:lineRule="auto"/>
              <w:jc w:val="center"/>
              <w:rPr>
                <w:b/>
              </w:rPr>
            </w:pPr>
            <w:r w:rsidRPr="007C0A9C">
              <w:rPr>
                <w:b/>
              </w:rPr>
              <w:lastRenderedPageBreak/>
              <w:t>5</w:t>
            </w:r>
          </w:p>
        </w:tc>
        <w:tc>
          <w:tcPr>
            <w:tcW w:w="383" w:type="pct"/>
          </w:tcPr>
          <w:p w:rsidR="007C0A9C" w:rsidRPr="007C0A9C" w:rsidRDefault="007C0A9C" w:rsidP="005820EE">
            <w:pPr>
              <w:pStyle w:val="Style11"/>
              <w:tabs>
                <w:tab w:val="left" w:leader="dot" w:pos="8424"/>
              </w:tabs>
              <w:spacing w:before="80" w:after="80" w:line="240" w:lineRule="auto"/>
              <w:jc w:val="both"/>
              <w:rPr>
                <w:rFonts w:eastAsia="Calibri"/>
                <w:b/>
                <w:bCs/>
                <w:iCs/>
                <w:lang w:val="pl-PL"/>
              </w:rPr>
            </w:pPr>
            <w:r w:rsidRPr="007C0A9C">
              <w:rPr>
                <w:rFonts w:eastAsia="Calibri"/>
                <w:b/>
                <w:snapToGrid w:val="0"/>
                <w:sz w:val="22"/>
                <w:lang w:val="nl-NL"/>
              </w:rPr>
              <w:t xml:space="preserve">Khả năng bảo hành, bảo trì, duy tu, bảo dưỡng, </w:t>
            </w:r>
            <w:r w:rsidRPr="007C0A9C">
              <w:rPr>
                <w:rFonts w:eastAsia="Calibri"/>
                <w:b/>
                <w:bCs/>
                <w:iCs/>
                <w:sz w:val="22"/>
                <w:lang w:val="pl-PL"/>
              </w:rPr>
              <w:t>sửa</w:t>
            </w:r>
            <w:r w:rsidRPr="007C0A9C">
              <w:rPr>
                <w:rFonts w:eastAsia="Calibri"/>
                <w:b/>
                <w:snapToGrid w:val="0"/>
                <w:sz w:val="22"/>
                <w:lang w:val="nl-NL"/>
              </w:rPr>
              <w:t xml:space="preserve"> chữa, cung cấp phụ tùng thay thế hoặc cung cấp các dịch vụ sau bán hàng khác</w:t>
            </w:r>
            <w:r w:rsidRPr="007C0A9C">
              <w:rPr>
                <w:rFonts w:eastAsia="Calibri"/>
                <w:snapToGrid w:val="0"/>
                <w:sz w:val="22"/>
                <w:vertAlign w:val="superscript"/>
                <w:lang w:val="nl-NL"/>
              </w:rPr>
              <w:t>(12)</w:t>
            </w:r>
          </w:p>
        </w:tc>
        <w:tc>
          <w:tcPr>
            <w:tcW w:w="994" w:type="pct"/>
            <w:gridSpan w:val="2"/>
          </w:tcPr>
          <w:p w:rsidR="007C0A9C" w:rsidRPr="007C0A9C" w:rsidRDefault="007C0A9C" w:rsidP="005820EE">
            <w:pPr>
              <w:pStyle w:val="Style11"/>
              <w:tabs>
                <w:tab w:val="left" w:leader="dot" w:pos="8424"/>
              </w:tabs>
              <w:spacing w:line="240" w:lineRule="auto"/>
              <w:jc w:val="both"/>
              <w:rPr>
                <w:rFonts w:eastAsia="Calibri"/>
                <w:snapToGrid w:val="0"/>
                <w:sz w:val="22"/>
                <w:lang w:val="nl-NL"/>
              </w:rPr>
            </w:pPr>
            <w:r w:rsidRPr="007C0A9C">
              <w:rPr>
                <w:sz w:val="22"/>
                <w:lang w:val="es-ES"/>
              </w:rPr>
              <w:t xml:space="preserve">Nhà thầu phải chứng minh khả năng </w:t>
            </w:r>
            <w:r w:rsidRPr="007C0A9C">
              <w:rPr>
                <w:rFonts w:eastAsia="Calibri"/>
                <w:snapToGrid w:val="0"/>
                <w:sz w:val="22"/>
                <w:lang w:val="nl-NL"/>
              </w:rPr>
              <w:t xml:space="preserve">thực hiện nghĩa vụ bảo hành, bảo trì, duy tu, bảo dưỡng, </w:t>
            </w:r>
            <w:r w:rsidRPr="007C0A9C">
              <w:rPr>
                <w:rFonts w:eastAsia="Calibri"/>
                <w:bCs/>
                <w:iCs/>
                <w:sz w:val="22"/>
                <w:lang w:val="pl-PL"/>
              </w:rPr>
              <w:t>sửa</w:t>
            </w:r>
            <w:r w:rsidRPr="007C0A9C">
              <w:rPr>
                <w:rFonts w:eastAsia="Calibri"/>
                <w:snapToGrid w:val="0"/>
                <w:sz w:val="22"/>
                <w:lang w:val="nl-NL"/>
              </w:rPr>
              <w:t xml:space="preserve"> chữa, cung cấp phụ tùng thay thế hoặc cung cấp các dịch vụ sau bán hàng bằng một trong các cách sau đây:</w:t>
            </w:r>
          </w:p>
          <w:p w:rsidR="007C0A9C" w:rsidRPr="007C0A9C" w:rsidRDefault="007C0A9C" w:rsidP="005820EE">
            <w:pPr>
              <w:pStyle w:val="Style11"/>
              <w:tabs>
                <w:tab w:val="left" w:leader="dot" w:pos="8424"/>
              </w:tabs>
              <w:spacing w:line="240" w:lineRule="auto"/>
              <w:jc w:val="both"/>
              <w:rPr>
                <w:rFonts w:eastAsia="Calibri"/>
                <w:snapToGrid w:val="0"/>
                <w:sz w:val="22"/>
                <w:lang w:val="nl-NL"/>
              </w:rPr>
            </w:pPr>
            <w:r w:rsidRPr="007C0A9C">
              <w:rPr>
                <w:rFonts w:eastAsia="Calibri"/>
                <w:snapToGrid w:val="0"/>
                <w:sz w:val="22"/>
                <w:lang w:val="nl-NL"/>
              </w:rPr>
              <w:t xml:space="preserve">- Nhà thầu cam kết có năng lực tự thực hiện các nghĩa vụ bảo hành, bảo trì, duy tu, bảo dưỡng, </w:t>
            </w:r>
            <w:r w:rsidRPr="007C0A9C">
              <w:rPr>
                <w:rFonts w:eastAsia="Calibri"/>
                <w:bCs/>
                <w:iCs/>
                <w:sz w:val="22"/>
                <w:lang w:val="pl-PL"/>
              </w:rPr>
              <w:t>sửa</w:t>
            </w:r>
            <w:r w:rsidRPr="007C0A9C">
              <w:rPr>
                <w:rFonts w:eastAsia="Calibri"/>
                <w:snapToGrid w:val="0"/>
                <w:sz w:val="22"/>
                <w:lang w:val="nl-NL"/>
              </w:rPr>
              <w:t xml:space="preserve"> chữa, cung cấp phụ tùng thay thế hoặc cung cấp các dịch vụ sau bán hàng theo yêu cầu của E-HSMT.</w:t>
            </w:r>
          </w:p>
          <w:p w:rsidR="007C0A9C" w:rsidRPr="007C0A9C" w:rsidRDefault="007C0A9C" w:rsidP="005820EE">
            <w:pPr>
              <w:pStyle w:val="Style11"/>
              <w:tabs>
                <w:tab w:val="left" w:leader="dot" w:pos="8424"/>
              </w:tabs>
              <w:spacing w:line="240" w:lineRule="auto"/>
              <w:jc w:val="both"/>
              <w:rPr>
                <w:sz w:val="22"/>
                <w:lang w:val="nl-NL"/>
              </w:rPr>
            </w:pPr>
            <w:r w:rsidRPr="007C0A9C">
              <w:rPr>
                <w:rFonts w:eastAsia="Calibri"/>
                <w:snapToGrid w:val="0"/>
                <w:sz w:val="22"/>
                <w:lang w:val="nl-NL"/>
              </w:rPr>
              <w:t xml:space="preserve">- Nhà thầu ký hợp đồng nguyên tắc với đơn vị có đủ khả năng thực hiện nghĩa vụ bảo hành, bảo trì, duy tu, bảo dưỡng, </w:t>
            </w:r>
            <w:r w:rsidRPr="007C0A9C">
              <w:rPr>
                <w:rFonts w:eastAsia="Calibri"/>
                <w:bCs/>
                <w:iCs/>
                <w:sz w:val="22"/>
                <w:lang w:val="pl-PL"/>
              </w:rPr>
              <w:t>sửa</w:t>
            </w:r>
            <w:r w:rsidRPr="007C0A9C">
              <w:rPr>
                <w:rFonts w:eastAsia="Calibri"/>
                <w:snapToGrid w:val="0"/>
                <w:sz w:val="22"/>
                <w:lang w:val="nl-NL"/>
              </w:rPr>
              <w:t xml:space="preserve"> chữa, cung cấp phụ tùng thay thế hoặc cung cấp các dịch vụ sau bán hàng theo yêu cầu của E-HSMT.</w:t>
            </w:r>
          </w:p>
        </w:tc>
        <w:tc>
          <w:tcPr>
            <w:tcW w:w="263" w:type="pct"/>
          </w:tcPr>
          <w:p w:rsidR="007C0A9C" w:rsidRPr="007C0A9C" w:rsidRDefault="007C0A9C" w:rsidP="005820EE">
            <w:pPr>
              <w:pStyle w:val="Style11"/>
              <w:tabs>
                <w:tab w:val="left" w:leader="dot" w:pos="8424"/>
              </w:tabs>
              <w:spacing w:before="80" w:after="80" w:line="240" w:lineRule="auto"/>
              <w:jc w:val="center"/>
              <w:rPr>
                <w:sz w:val="22"/>
                <w:lang w:val="nl-NL"/>
              </w:rPr>
            </w:pPr>
          </w:p>
        </w:tc>
        <w:tc>
          <w:tcPr>
            <w:tcW w:w="142" w:type="pct"/>
          </w:tcPr>
          <w:p w:rsidR="007C0A9C" w:rsidRPr="007C0A9C" w:rsidRDefault="007C0A9C" w:rsidP="005820EE">
            <w:pPr>
              <w:pStyle w:val="Style11"/>
              <w:tabs>
                <w:tab w:val="left" w:leader="dot" w:pos="8424"/>
              </w:tabs>
              <w:spacing w:before="80" w:after="80" w:line="240" w:lineRule="auto"/>
              <w:jc w:val="center"/>
              <w:rPr>
                <w:sz w:val="22"/>
                <w:lang w:val="nl-NL"/>
              </w:rPr>
            </w:pPr>
          </w:p>
        </w:tc>
        <w:tc>
          <w:tcPr>
            <w:tcW w:w="152" w:type="pct"/>
          </w:tcPr>
          <w:p w:rsidR="007C0A9C" w:rsidRPr="007C0A9C" w:rsidRDefault="007C0A9C" w:rsidP="005820EE">
            <w:pPr>
              <w:pStyle w:val="Style11"/>
              <w:tabs>
                <w:tab w:val="left" w:leader="dot" w:pos="8424"/>
              </w:tabs>
              <w:spacing w:before="80" w:after="80" w:line="240" w:lineRule="auto"/>
              <w:jc w:val="center"/>
              <w:rPr>
                <w:sz w:val="22"/>
                <w:lang w:val="nl-NL"/>
              </w:rPr>
            </w:pPr>
          </w:p>
        </w:tc>
        <w:tc>
          <w:tcPr>
            <w:tcW w:w="124" w:type="pct"/>
          </w:tcPr>
          <w:p w:rsidR="007C0A9C" w:rsidRPr="007C0A9C" w:rsidRDefault="007C0A9C" w:rsidP="005820EE">
            <w:pPr>
              <w:pStyle w:val="Style11"/>
              <w:tabs>
                <w:tab w:val="left" w:leader="dot" w:pos="8424"/>
              </w:tabs>
              <w:spacing w:before="80" w:after="80" w:line="240" w:lineRule="auto"/>
              <w:jc w:val="center"/>
              <w:rPr>
                <w:lang w:val="nl-NL"/>
              </w:rPr>
            </w:pPr>
          </w:p>
        </w:tc>
        <w:tc>
          <w:tcPr>
            <w:tcW w:w="152" w:type="pct"/>
          </w:tcPr>
          <w:p w:rsidR="007C0A9C" w:rsidRPr="007C0A9C" w:rsidRDefault="007C0A9C" w:rsidP="005820EE">
            <w:pPr>
              <w:pStyle w:val="Style11"/>
              <w:tabs>
                <w:tab w:val="left" w:leader="dot" w:pos="8424"/>
              </w:tabs>
              <w:spacing w:before="80" w:after="80" w:line="240" w:lineRule="auto"/>
              <w:jc w:val="center"/>
              <w:rPr>
                <w:lang w:val="nl-NL"/>
              </w:rPr>
            </w:pPr>
          </w:p>
        </w:tc>
        <w:tc>
          <w:tcPr>
            <w:tcW w:w="248" w:type="pct"/>
          </w:tcPr>
          <w:p w:rsidR="007C0A9C" w:rsidRPr="007C0A9C" w:rsidRDefault="007C0A9C" w:rsidP="005820EE">
            <w:pPr>
              <w:pStyle w:val="Style11"/>
              <w:tabs>
                <w:tab w:val="left" w:leader="dot" w:pos="8424"/>
              </w:tabs>
              <w:spacing w:before="80" w:after="80" w:line="240" w:lineRule="auto"/>
              <w:jc w:val="center"/>
              <w:rPr>
                <w:lang w:val="nl-NL"/>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434" w:type="pct"/>
          <w:trHeight w:val="467"/>
        </w:trPr>
        <w:tc>
          <w:tcPr>
            <w:tcW w:w="109" w:type="pct"/>
            <w:gridSpan w:val="2"/>
          </w:tcPr>
          <w:p w:rsidR="007C0A9C" w:rsidRPr="007C0A9C" w:rsidRDefault="007C0A9C" w:rsidP="005820EE">
            <w:pPr>
              <w:pStyle w:val="Style11"/>
              <w:tabs>
                <w:tab w:val="left" w:leader="dot" w:pos="8424"/>
              </w:tabs>
              <w:spacing w:before="80" w:after="80" w:line="240" w:lineRule="auto"/>
              <w:jc w:val="center"/>
              <w:rPr>
                <w:b/>
              </w:rPr>
            </w:pPr>
          </w:p>
        </w:tc>
        <w:tc>
          <w:tcPr>
            <w:tcW w:w="1640" w:type="pct"/>
            <w:gridSpan w:val="4"/>
          </w:tcPr>
          <w:p w:rsidR="007C0A9C" w:rsidRPr="007C0A9C" w:rsidRDefault="007C0A9C" w:rsidP="005820EE">
            <w:pPr>
              <w:pStyle w:val="Style11"/>
              <w:tabs>
                <w:tab w:val="left" w:leader="dot" w:pos="8424"/>
              </w:tabs>
              <w:spacing w:before="80" w:after="80" w:line="240" w:lineRule="auto"/>
              <w:jc w:val="center"/>
              <w:rPr>
                <w:lang w:val="nl-NL"/>
              </w:rPr>
            </w:pPr>
            <w:r w:rsidRPr="007C0A9C">
              <w:rPr>
                <w:b/>
                <w:sz w:val="26"/>
                <w:szCs w:val="26"/>
              </w:rPr>
              <w:t>Kết luận</w:t>
            </w:r>
          </w:p>
        </w:tc>
        <w:tc>
          <w:tcPr>
            <w:tcW w:w="293" w:type="pct"/>
            <w:gridSpan w:val="2"/>
          </w:tcPr>
          <w:p w:rsidR="007C0A9C" w:rsidRPr="007C0A9C" w:rsidRDefault="007C0A9C" w:rsidP="005820EE">
            <w:pPr>
              <w:pStyle w:val="Style11"/>
              <w:tabs>
                <w:tab w:val="left" w:leader="dot" w:pos="8424"/>
              </w:tabs>
              <w:spacing w:before="80" w:after="80" w:line="240" w:lineRule="auto"/>
              <w:jc w:val="center"/>
              <w:rPr>
                <w:lang w:val="nl-NL"/>
              </w:rPr>
            </w:pPr>
          </w:p>
        </w:tc>
        <w:tc>
          <w:tcPr>
            <w:tcW w:w="275" w:type="pct"/>
            <w:gridSpan w:val="2"/>
          </w:tcPr>
          <w:p w:rsidR="007C0A9C" w:rsidRPr="007C0A9C" w:rsidRDefault="007C0A9C" w:rsidP="005820EE">
            <w:pPr>
              <w:pStyle w:val="Style11"/>
              <w:tabs>
                <w:tab w:val="left" w:leader="dot" w:pos="8424"/>
              </w:tabs>
              <w:spacing w:before="80" w:after="80" w:line="240" w:lineRule="auto"/>
              <w:jc w:val="center"/>
              <w:rPr>
                <w:lang w:val="nl-NL"/>
              </w:rPr>
            </w:pPr>
          </w:p>
        </w:tc>
        <w:tc>
          <w:tcPr>
            <w:tcW w:w="248" w:type="pct"/>
          </w:tcPr>
          <w:p w:rsidR="007C0A9C" w:rsidRPr="007C0A9C" w:rsidRDefault="007C0A9C" w:rsidP="005820EE">
            <w:pPr>
              <w:pStyle w:val="Style11"/>
              <w:tabs>
                <w:tab w:val="left" w:leader="dot" w:pos="8424"/>
              </w:tabs>
              <w:spacing w:before="80" w:after="80" w:line="240" w:lineRule="auto"/>
              <w:jc w:val="center"/>
              <w:rPr>
                <w:lang w:val="nl-NL"/>
              </w:rPr>
            </w:pPr>
          </w:p>
        </w:tc>
      </w:tr>
    </w:tbl>
    <w:p w:rsidR="007C0A9C" w:rsidRPr="007C0A9C" w:rsidRDefault="007C0A9C" w:rsidP="007C0A9C">
      <w:pPr>
        <w:spacing w:before="80" w:after="80" w:line="260" w:lineRule="exact"/>
        <w:ind w:firstLine="454"/>
        <w:rPr>
          <w:szCs w:val="24"/>
          <w:lang w:val="de-DE"/>
        </w:rPr>
      </w:pPr>
    </w:p>
    <w:p w:rsidR="007C0A9C" w:rsidRPr="007C0A9C" w:rsidRDefault="007C0A9C" w:rsidP="007C0A9C">
      <w:pPr>
        <w:ind w:left="9666"/>
        <w:jc w:val="center"/>
        <w:rPr>
          <w:b/>
          <w:iCs/>
          <w:vertAlign w:val="superscript"/>
          <w:lang w:val="es-ES"/>
        </w:rPr>
      </w:pPr>
      <w:r w:rsidRPr="007C0A9C">
        <w:rPr>
          <w:b/>
          <w:iCs/>
          <w:lang w:val="es-ES"/>
        </w:rPr>
        <w:t xml:space="preserve">Người đánh giá </w:t>
      </w:r>
    </w:p>
    <w:p w:rsidR="007C0A9C" w:rsidRPr="007C0A9C" w:rsidRDefault="007C0A9C" w:rsidP="007C0A9C">
      <w:pPr>
        <w:ind w:left="9666"/>
        <w:jc w:val="center"/>
        <w:rPr>
          <w:i/>
          <w:iCs/>
          <w:lang w:val="de-DE"/>
        </w:rPr>
      </w:pPr>
      <w:r w:rsidRPr="007C0A9C">
        <w:rPr>
          <w:i/>
          <w:iCs/>
          <w:lang w:val="es-ES"/>
        </w:rPr>
        <w:t>(Ký và ghi rõ họ tên)</w:t>
      </w:r>
    </w:p>
    <w:p w:rsidR="007C0A9C" w:rsidRPr="007C0A9C" w:rsidRDefault="007C0A9C" w:rsidP="007C0A9C">
      <w:pPr>
        <w:ind w:firstLine="454"/>
        <w:rPr>
          <w:szCs w:val="24"/>
          <w:lang w:val="de-DE"/>
        </w:rPr>
      </w:pPr>
    </w:p>
    <w:p w:rsidR="007C0A9C" w:rsidRPr="007C0A9C" w:rsidRDefault="007C0A9C" w:rsidP="007C0A9C">
      <w:pPr>
        <w:spacing w:before="80" w:after="80" w:line="260" w:lineRule="exact"/>
        <w:ind w:firstLine="454"/>
        <w:rPr>
          <w:szCs w:val="24"/>
          <w:lang w:val="de-DE"/>
        </w:rPr>
      </w:pPr>
    </w:p>
    <w:p w:rsidR="007C0A9C" w:rsidRPr="007C0A9C" w:rsidRDefault="007C0A9C" w:rsidP="007C0A9C">
      <w:pPr>
        <w:spacing w:before="80" w:after="80" w:line="260" w:lineRule="exact"/>
        <w:ind w:firstLine="454"/>
        <w:rPr>
          <w:szCs w:val="24"/>
          <w:lang w:val="de-DE"/>
        </w:rPr>
      </w:pPr>
    </w:p>
    <w:p w:rsidR="007C0A9C" w:rsidRPr="007C0A9C" w:rsidRDefault="007C0A9C" w:rsidP="007C0A9C">
      <w:pPr>
        <w:spacing w:before="80" w:after="80" w:line="260" w:lineRule="exact"/>
        <w:ind w:firstLine="454"/>
        <w:rPr>
          <w:szCs w:val="24"/>
          <w:lang w:val="de-DE"/>
        </w:rPr>
      </w:pPr>
    </w:p>
    <w:p w:rsidR="007C0A9C" w:rsidRPr="007C0A9C" w:rsidRDefault="007C0A9C" w:rsidP="007C0A9C">
      <w:pPr>
        <w:ind w:firstLine="454"/>
        <w:rPr>
          <w:bCs/>
          <w:sz w:val="18"/>
          <w:szCs w:val="24"/>
          <w:lang w:val="de-DE"/>
        </w:rPr>
      </w:pPr>
      <w:r w:rsidRPr="007C0A9C">
        <w:rPr>
          <w:sz w:val="18"/>
          <w:szCs w:val="24"/>
          <w:lang w:val="de-DE"/>
        </w:rPr>
        <w:t>Ghi chú</w:t>
      </w:r>
      <w:r w:rsidRPr="007C0A9C">
        <w:rPr>
          <w:bCs/>
          <w:sz w:val="18"/>
          <w:szCs w:val="24"/>
          <w:lang w:val="de-DE"/>
        </w:rPr>
        <w:t xml:space="preserve">: </w:t>
      </w:r>
    </w:p>
    <w:p w:rsidR="007C0A9C" w:rsidRPr="007C0A9C" w:rsidRDefault="007C0A9C" w:rsidP="007C0A9C">
      <w:pPr>
        <w:ind w:firstLine="454"/>
        <w:rPr>
          <w:bCs/>
          <w:sz w:val="18"/>
          <w:szCs w:val="24"/>
          <w:lang w:val="de-DE"/>
        </w:rPr>
      </w:pPr>
      <w:r w:rsidRPr="007C0A9C">
        <w:rPr>
          <w:bCs/>
          <w:sz w:val="18"/>
          <w:szCs w:val="24"/>
          <w:lang w:val="de-DE"/>
        </w:rPr>
        <w:t>(1), (2): Hệ thống tự động trích xuất thông tin trong E-HSMT và E-HSDT.</w:t>
      </w:r>
    </w:p>
    <w:p w:rsidR="007C0A9C" w:rsidRPr="007C0A9C" w:rsidRDefault="007C0A9C" w:rsidP="007C0A9C">
      <w:pPr>
        <w:ind w:firstLine="454"/>
        <w:rPr>
          <w:bCs/>
          <w:sz w:val="18"/>
          <w:szCs w:val="24"/>
          <w:lang w:val="de-DE"/>
        </w:rPr>
      </w:pPr>
      <w:r w:rsidRPr="007C0A9C">
        <w:rPr>
          <w:bCs/>
          <w:sz w:val="18"/>
          <w:szCs w:val="24"/>
          <w:lang w:val="de-DE"/>
        </w:rPr>
        <w:lastRenderedPageBreak/>
        <w:t>(3): Việc đánh giá thực hiện như sau:</w:t>
      </w:r>
    </w:p>
    <w:p w:rsidR="007C0A9C" w:rsidRPr="007C0A9C" w:rsidRDefault="007C0A9C" w:rsidP="007C0A9C">
      <w:pPr>
        <w:ind w:firstLine="454"/>
        <w:rPr>
          <w:bCs/>
          <w:sz w:val="18"/>
          <w:szCs w:val="24"/>
          <w:lang w:val="de-DE"/>
        </w:rPr>
      </w:pPr>
      <w:bookmarkStart w:id="25" w:name="_Hlk161911677"/>
      <w:r w:rsidRPr="007C0A9C">
        <w:rPr>
          <w:bCs/>
          <w:sz w:val="18"/>
          <w:szCs w:val="24"/>
          <w:lang w:val="de-DE"/>
        </w:rPr>
        <w:t>- Lịch sử không hoàn thành hợp đồng: Hệ thống đánh giá căn cứ thông tin nhà thầu kê khai trên webform</w:t>
      </w:r>
    </w:p>
    <w:p w:rsidR="007C0A9C" w:rsidRPr="007C0A9C" w:rsidRDefault="007C0A9C" w:rsidP="007C0A9C">
      <w:pPr>
        <w:ind w:firstLine="454"/>
        <w:rPr>
          <w:bCs/>
          <w:sz w:val="18"/>
          <w:szCs w:val="24"/>
          <w:lang w:val="de-DE"/>
        </w:rPr>
      </w:pPr>
      <w:r w:rsidRPr="007C0A9C">
        <w:rPr>
          <w:bCs/>
          <w:sz w:val="18"/>
          <w:szCs w:val="24"/>
          <w:lang w:val="de-DE"/>
        </w:rPr>
        <w:t>- Thực hiện nghĩa vụ kê khai thuế, nộp thuế: Hệ thống đánh giá căn cứ cam kết của nhà thầu trong đơn dự thầu</w:t>
      </w:r>
    </w:p>
    <w:p w:rsidR="007C0A9C" w:rsidRPr="007C0A9C" w:rsidRDefault="007C0A9C" w:rsidP="007C0A9C">
      <w:pPr>
        <w:ind w:firstLine="454"/>
        <w:rPr>
          <w:bCs/>
          <w:strike/>
          <w:sz w:val="18"/>
          <w:szCs w:val="24"/>
          <w:lang w:val="de-DE"/>
        </w:rPr>
      </w:pPr>
      <w:bookmarkStart w:id="26" w:name="_Hlk100738913"/>
      <w:bookmarkStart w:id="27" w:name="_Hlk100740619"/>
      <w:r w:rsidRPr="007C0A9C">
        <w:rPr>
          <w:bCs/>
          <w:sz w:val="18"/>
          <w:szCs w:val="24"/>
          <w:lang w:val="de-DE"/>
        </w:rPr>
        <w:t xml:space="preserve">- Kết quả hoạt động tài chính, doanh thu bình quân hằng năm: Đối với số liệu từ 2021 trở đi, Hệ thống đánh giá căn cứ thông tin được trích xuất hoặc thông tin do nhà thầu cập nhật; đối với số liệu trước năm 2021, hệ thống đánh giá căn cứ thông tin do nhà thầu kê khai. </w:t>
      </w:r>
      <w:r w:rsidRPr="007C0A9C">
        <w:rPr>
          <w:rFonts w:eastAsia="Calibri"/>
          <w:bCs/>
          <w:snapToGrid w:val="0"/>
          <w:sz w:val="18"/>
          <w:szCs w:val="24"/>
          <w:lang w:val="nl-NL"/>
        </w:rPr>
        <w:t xml:space="preserve">Đối với nhà thầu là hộ kinh doanh, không bắt buộc phải nộp báo cáo tài chính nhưng nhà thầu phải cung cấp tài liệu chứng minh doanh thu tương ứng với nghĩa vụ kê khai thuế, nộp thuế. </w:t>
      </w:r>
    </w:p>
    <w:p w:rsidR="007C0A9C" w:rsidRPr="007C0A9C" w:rsidRDefault="007C0A9C" w:rsidP="007C0A9C">
      <w:pPr>
        <w:tabs>
          <w:tab w:val="left" w:pos="993"/>
        </w:tabs>
        <w:ind w:firstLine="454"/>
        <w:rPr>
          <w:sz w:val="18"/>
          <w:szCs w:val="24"/>
          <w:lang w:val="nl-NL"/>
        </w:rPr>
      </w:pPr>
      <w:r w:rsidRPr="007C0A9C">
        <w:rPr>
          <w:sz w:val="18"/>
          <w:szCs w:val="24"/>
          <w:lang w:val="nl-NL"/>
        </w:rPr>
        <w:t>+ Đối với tiêu chí kết quả hoạt động tài chính: Đối với nhà thầu là hộ kinh doanh thì không đánh giá tiêu chí này.</w:t>
      </w:r>
    </w:p>
    <w:p w:rsidR="007C0A9C" w:rsidRPr="007C0A9C" w:rsidRDefault="007C0A9C" w:rsidP="007C0A9C">
      <w:pPr>
        <w:widowControl w:val="0"/>
        <w:ind w:firstLine="426"/>
        <w:rPr>
          <w:sz w:val="18"/>
          <w:szCs w:val="24"/>
          <w:lang w:val="nl-NL"/>
        </w:rPr>
      </w:pPr>
      <w:r w:rsidRPr="007C0A9C">
        <w:rPr>
          <w:sz w:val="18"/>
          <w:szCs w:val="24"/>
          <w:lang w:val="nl-NL"/>
        </w:rPr>
        <w:t xml:space="preserve">+ Đối với tiêu chí về doanh thu bình quân hằng năm: Đối với doanh nghiệp khởi nghiệp sáng tạo trong nước khi chào thầu sản phẩm đổi mới sáng tạo của doanh nghiệp đó theo quy định tại khoản 4 Điều 6 của Nghị định số 214/2025/NĐ-CP không phải đáp ứng tiêu chí này trong thời hạn 06 năm kể từ lần đầu được sản xuất và đủ điều kiện để đưa ra thị trường. </w:t>
      </w:r>
    </w:p>
    <w:p w:rsidR="007C0A9C" w:rsidRPr="007C0A9C" w:rsidRDefault="007C0A9C" w:rsidP="007C0A9C">
      <w:pPr>
        <w:widowControl w:val="0"/>
        <w:ind w:firstLine="426"/>
        <w:rPr>
          <w:sz w:val="18"/>
          <w:szCs w:val="24"/>
          <w:lang w:val="nl-NL"/>
        </w:rPr>
      </w:pPr>
      <w:r w:rsidRPr="007C0A9C">
        <w:rPr>
          <w:rFonts w:eastAsia="Calibri"/>
          <w:kern w:val="2"/>
          <w:sz w:val="18"/>
          <w:szCs w:val="24"/>
          <w:lang w:val="vi-VN"/>
        </w:rPr>
        <w:t xml:space="preserve">Đối với nhà thầu trong nước được chuyển giao công nghệ để sản xuất hàng hóa có xuất xứ Việt Nam phù hợp với E-HSMT không phải đáp ứng tiêu chí này trong thời hạn 05 năm kể từ khi sản phẩm lần đầu được sản xuất và đủ điều kiện để đưa ra thị trường. Trong trường hợp này, nhà thầu phải cung cấp </w:t>
      </w:r>
      <w:r w:rsidRPr="007C0A9C">
        <w:rPr>
          <w:sz w:val="18"/>
          <w:szCs w:val="24"/>
          <w:lang w:val="nl-NL"/>
        </w:rPr>
        <w:t>Giấy chứng nhận đăng ký chuyển giao công nghệ, Giấy chứng</w:t>
      </w:r>
      <w:r w:rsidRPr="007C0A9C">
        <w:rPr>
          <w:sz w:val="18"/>
          <w:lang w:val="vi-VN"/>
        </w:rPr>
        <w:t xml:space="preserve"> </w:t>
      </w:r>
      <w:r w:rsidRPr="007C0A9C">
        <w:rPr>
          <w:sz w:val="18"/>
          <w:szCs w:val="24"/>
          <w:lang w:val="nl-NL"/>
        </w:rPr>
        <w:t>nhận chuyển giao công nghệ khuyến khích chuyển giao theo quy định của pháp luật về công nghệ, pháp luật về đầu tư</w:t>
      </w:r>
      <w:r w:rsidRPr="007C0A9C" w:rsidDel="0048289D">
        <w:rPr>
          <w:sz w:val="18"/>
          <w:szCs w:val="24"/>
          <w:lang w:val="nl-NL"/>
        </w:rPr>
        <w:t xml:space="preserve"> </w:t>
      </w:r>
      <w:r w:rsidRPr="007C0A9C">
        <w:rPr>
          <w:sz w:val="18"/>
          <w:szCs w:val="24"/>
          <w:lang w:val="nl-NL"/>
        </w:rPr>
        <w:t xml:space="preserve">để chứng minh. </w:t>
      </w:r>
    </w:p>
    <w:p w:rsidR="007C0A9C" w:rsidRPr="007C0A9C" w:rsidRDefault="007C0A9C" w:rsidP="007C0A9C">
      <w:pPr>
        <w:widowControl w:val="0"/>
        <w:ind w:firstLine="426"/>
        <w:rPr>
          <w:sz w:val="18"/>
          <w:szCs w:val="24"/>
          <w:lang w:val="nl-NL"/>
        </w:rPr>
      </w:pPr>
      <w:r w:rsidRPr="007C0A9C">
        <w:rPr>
          <w:sz w:val="18"/>
          <w:szCs w:val="24"/>
          <w:lang w:val="nl-NL"/>
        </w:rPr>
        <w:t>Đối với nhà thầu trong nước sản xuất hàng hóa có xuất xứ Việt Nam, không phải đáp ứng yêu cầu về doanh thu khi nhà thầu chào thầu hàng hóa mà chủng loại hàng hóa này lần đầu được 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p w:rsidR="007C0A9C" w:rsidRPr="007C0A9C" w:rsidRDefault="007C0A9C" w:rsidP="007C0A9C">
      <w:pPr>
        <w:widowControl w:val="0"/>
        <w:ind w:firstLine="426"/>
        <w:rPr>
          <w:sz w:val="18"/>
          <w:szCs w:val="24"/>
          <w:lang w:val="nl-NL"/>
        </w:rPr>
      </w:pPr>
      <w:bookmarkStart w:id="28" w:name="_Hlk170832927"/>
      <w:r w:rsidRPr="007C0A9C">
        <w:rPr>
          <w:sz w:val="18"/>
          <w:szCs w:val="24"/>
          <w:lang w:val="nl-NL"/>
        </w:rPr>
        <w:t xml:space="preserve">Trường hợp nhà thầu liên danh tham gia gói thầu EPC, EP, PC và trong phần cung cấp hàng hóa có các sản phẩm được ưu đãi nêu trên (sản phẩm đổi mới sáng tạo của doanh nghiệp khởi nghiệp sáng tạo, sản phẩm được sản xuất từ chuyển giao công nghệ, hàng hóa có xuất xứ Việt Nam) thì chỉ thành viên liên danh sản xuất đồng thời cung cấp các sản phẩm này được hưởng ưu đãi khi tính doanh thu bình quân hàng năm. </w:t>
      </w:r>
      <w:bookmarkEnd w:id="28"/>
    </w:p>
    <w:p w:rsidR="007C0A9C" w:rsidRPr="007C0A9C" w:rsidRDefault="007C0A9C" w:rsidP="007C0A9C">
      <w:pPr>
        <w:tabs>
          <w:tab w:val="left" w:pos="993"/>
        </w:tabs>
        <w:ind w:firstLine="454"/>
        <w:rPr>
          <w:bCs/>
          <w:sz w:val="18"/>
          <w:szCs w:val="24"/>
          <w:lang w:val="de-DE"/>
        </w:rPr>
      </w:pPr>
      <w:bookmarkStart w:id="29" w:name="_Hlk100740682"/>
      <w:bookmarkEnd w:id="26"/>
      <w:bookmarkEnd w:id="27"/>
      <w:r w:rsidRPr="007C0A9C">
        <w:rPr>
          <w:bCs/>
          <w:sz w:val="18"/>
          <w:szCs w:val="24"/>
          <w:lang w:val="de-DE"/>
        </w:rPr>
        <w:t>(4) Tổ chuyên gia đánh giá đối với các nội dung sau:</w:t>
      </w:r>
    </w:p>
    <w:p w:rsidR="007C0A9C" w:rsidRPr="007C0A9C" w:rsidRDefault="007C0A9C" w:rsidP="007C0A9C">
      <w:pPr>
        <w:ind w:firstLine="454"/>
        <w:rPr>
          <w:bCs/>
          <w:sz w:val="18"/>
          <w:szCs w:val="24"/>
          <w:lang w:val="de-DE"/>
        </w:rPr>
      </w:pPr>
      <w:bookmarkStart w:id="30" w:name="_Hlk100740358"/>
      <w:r w:rsidRPr="007C0A9C">
        <w:rPr>
          <w:bCs/>
          <w:sz w:val="18"/>
          <w:szCs w:val="24"/>
          <w:lang w:val="de-DE"/>
        </w:rPr>
        <w:t>- Đánh giá các nội dung ngoài các nội dung mà Hệ thống đánh giá tự động:</w:t>
      </w:r>
    </w:p>
    <w:p w:rsidR="007C0A9C" w:rsidRPr="007C0A9C" w:rsidRDefault="007C0A9C" w:rsidP="007C0A9C">
      <w:pPr>
        <w:tabs>
          <w:tab w:val="left" w:pos="709"/>
        </w:tabs>
        <w:ind w:firstLine="454"/>
        <w:rPr>
          <w:bCs/>
          <w:sz w:val="18"/>
          <w:szCs w:val="24"/>
          <w:lang w:val="sv-SE"/>
        </w:rPr>
      </w:pPr>
      <w:r w:rsidRPr="007C0A9C">
        <w:rPr>
          <w:bCs/>
          <w:sz w:val="20"/>
          <w:szCs w:val="26"/>
          <w:lang w:val="de-DE"/>
        </w:rPr>
        <w:t xml:space="preserve">     </w:t>
      </w:r>
      <w:r w:rsidRPr="007C0A9C">
        <w:rPr>
          <w:bCs/>
          <w:sz w:val="18"/>
          <w:szCs w:val="24"/>
          <w:lang w:val="de-DE"/>
        </w:rPr>
        <w:t>+ Nguồn lực tài chính (đối với gói thầu xây lắp, EPC, EC, PC).</w:t>
      </w:r>
      <w:r w:rsidRPr="007C0A9C">
        <w:rPr>
          <w:rFonts w:eastAsia="DengXian"/>
          <w:bCs/>
          <w:sz w:val="18"/>
          <w:szCs w:val="24"/>
          <w:lang w:val="de-DE" w:eastAsia="zh-CN"/>
        </w:rPr>
        <w:t xml:space="preserve"> </w:t>
      </w:r>
      <w:r w:rsidRPr="007C0A9C">
        <w:rPr>
          <w:bCs/>
          <w:sz w:val="18"/>
          <w:szCs w:val="24"/>
          <w:lang w:val="de-DE"/>
        </w:rPr>
        <w:t>Trường hợp nhà thầu cung cấp</w:t>
      </w:r>
      <w:r w:rsidRPr="007C0A9C" w:rsidDel="00DC3A3F">
        <w:rPr>
          <w:bCs/>
          <w:sz w:val="18"/>
          <w:szCs w:val="24"/>
          <w:lang w:val="de-DE"/>
        </w:rPr>
        <w:t xml:space="preserve"> </w:t>
      </w:r>
      <w:r w:rsidRPr="007C0A9C">
        <w:rPr>
          <w:bCs/>
          <w:sz w:val="18"/>
          <w:szCs w:val="24"/>
          <w:lang w:val="sv-SE"/>
        </w:rPr>
        <w:t>cam kết cung cấp tín dụng theo quy định của E-HSMT, tổ chuyên gia căn cứ vào tài liệu đính kèm để đánh giá. Cam kết cung cấp tín dụng bổ sung sau thời điểm đóng thầu sẽ không được xem xét, đánh giá.</w:t>
      </w:r>
    </w:p>
    <w:bookmarkEnd w:id="30"/>
    <w:p w:rsidR="007C0A9C" w:rsidRPr="007C0A9C" w:rsidRDefault="007C0A9C" w:rsidP="007C0A9C">
      <w:pPr>
        <w:widowControl w:val="0"/>
        <w:tabs>
          <w:tab w:val="left" w:pos="709"/>
        </w:tabs>
        <w:ind w:firstLine="454"/>
        <w:rPr>
          <w:bCs/>
          <w:sz w:val="18"/>
          <w:szCs w:val="24"/>
          <w:lang w:val="de-DE"/>
        </w:rPr>
      </w:pPr>
      <w:r w:rsidRPr="007C0A9C">
        <w:rPr>
          <w:bCs/>
          <w:sz w:val="18"/>
          <w:szCs w:val="24"/>
          <w:lang w:val="de-DE"/>
        </w:rPr>
        <w:t xml:space="preserve">      + Hợp đồng tương tự; năng lực sản xuất; nhân sự chủ chốt; thiết bị thi công chủ yếu; </w:t>
      </w:r>
      <w:r w:rsidRPr="007C0A9C">
        <w:rPr>
          <w:rFonts w:eastAsia="Calibri"/>
          <w:bCs/>
          <w:snapToGrid w:val="0"/>
          <w:sz w:val="18"/>
          <w:szCs w:val="24"/>
          <w:lang w:val="nl-NL"/>
        </w:rPr>
        <w:t xml:space="preserve">khả năng bảo hành, bảo trì, duy tu, bảo dưỡng, </w:t>
      </w:r>
      <w:r w:rsidRPr="007C0A9C">
        <w:rPr>
          <w:rFonts w:eastAsia="Calibri"/>
          <w:bCs/>
          <w:iCs/>
          <w:sz w:val="18"/>
          <w:szCs w:val="24"/>
          <w:lang w:val="pl-PL"/>
        </w:rPr>
        <w:t>sửa</w:t>
      </w:r>
      <w:r w:rsidRPr="007C0A9C">
        <w:rPr>
          <w:rFonts w:eastAsia="Calibri"/>
          <w:bCs/>
          <w:snapToGrid w:val="0"/>
          <w:sz w:val="18"/>
          <w:szCs w:val="24"/>
          <w:lang w:val="nl-NL"/>
        </w:rPr>
        <w:t xml:space="preserve"> chữa, cung cấp phụ tùng thay thế hoặc cung cấp các dịch vụ sau bán hàng khác</w:t>
      </w:r>
      <w:r w:rsidRPr="007C0A9C">
        <w:rPr>
          <w:bCs/>
          <w:sz w:val="18"/>
          <w:szCs w:val="24"/>
          <w:lang w:val="de-DE"/>
        </w:rPr>
        <w:t>.</w:t>
      </w:r>
      <w:r w:rsidRPr="007C0A9C">
        <w:rPr>
          <w:sz w:val="18"/>
          <w:lang w:val="pl-PL"/>
        </w:rPr>
        <w:t xml:space="preserve"> </w:t>
      </w:r>
      <w:bookmarkStart w:id="31" w:name="_Hlk161405437"/>
    </w:p>
    <w:bookmarkEnd w:id="31"/>
    <w:p w:rsidR="007C0A9C" w:rsidRPr="007C0A9C" w:rsidRDefault="007C0A9C" w:rsidP="007C0A9C">
      <w:pPr>
        <w:ind w:firstLine="567"/>
        <w:rPr>
          <w:spacing w:val="-4"/>
          <w:sz w:val="18"/>
          <w:szCs w:val="24"/>
          <w:lang w:val="sv-SE"/>
        </w:rPr>
      </w:pPr>
      <w:r w:rsidRPr="007C0A9C">
        <w:rPr>
          <w:bCs/>
          <w:sz w:val="18"/>
          <w:szCs w:val="24"/>
          <w:lang w:val="de-DE"/>
        </w:rPr>
        <w:t xml:space="preserve">- Các nội dung Hệ thống đánh giá là </w:t>
      </w:r>
      <w:r w:rsidRPr="007C0A9C">
        <w:rPr>
          <w:spacing w:val="-4"/>
          <w:sz w:val="18"/>
          <w:szCs w:val="24"/>
          <w:lang w:val="sv-SE"/>
        </w:rPr>
        <w:t xml:space="preserve">"đạt" </w:t>
      </w:r>
      <w:r w:rsidRPr="007C0A9C">
        <w:rPr>
          <w:bCs/>
          <w:sz w:val="18"/>
          <w:szCs w:val="24"/>
          <w:lang w:val="de-DE"/>
        </w:rPr>
        <w:t xml:space="preserve">mà tổ chuyên gia xét thấy phải đánh giá lại. </w:t>
      </w:r>
      <w:r w:rsidRPr="007C0A9C">
        <w:rPr>
          <w:spacing w:val="-4"/>
          <w:sz w:val="18"/>
          <w:szCs w:val="24"/>
          <w:lang w:val="sv-SE"/>
        </w:rPr>
        <w:t xml:space="preserve">Trường hợp tổ chuyên gia phát hiện Hệ thống đánh giá nhà thầu "đạt" là chưa chính xác thì tổ chuyên gia có quyền đánh giá lại để làm kết quả đánh giá ở nội dung này và nêu  rõ ý kiến tại phiếu chấm của tổ chuyên gia. Trường hợp Hệ thống đánh giá "không đạt" thì nhà thầu bị loại. Đối với các nội dung Hệ thống tự động đánh giá "không đạt", tổ chuyên gia không thể sửa đổi kết quả đánh giá từ "không đạt" thành "đạt". </w:t>
      </w:r>
    </w:p>
    <w:p w:rsidR="007C0A9C" w:rsidRPr="007C0A9C" w:rsidRDefault="007C0A9C" w:rsidP="007C0A9C">
      <w:pPr>
        <w:ind w:firstLine="454"/>
        <w:rPr>
          <w:bCs/>
          <w:sz w:val="18"/>
          <w:szCs w:val="24"/>
          <w:lang w:val="de-DE"/>
        </w:rPr>
      </w:pPr>
      <w:r w:rsidRPr="007C0A9C">
        <w:rPr>
          <w:bCs/>
          <w:sz w:val="18"/>
          <w:szCs w:val="24"/>
          <w:lang w:val="de-DE"/>
        </w:rPr>
        <w:t xml:space="preserve">- Tổ chuyên gia ghi rõ ý kiến nhận xét đối với các nội dung tổ chuyên gia đánh giá là không đạt. </w:t>
      </w:r>
      <w:bookmarkEnd w:id="25"/>
      <w:bookmarkEnd w:id="29"/>
    </w:p>
    <w:p w:rsidR="007C0A9C" w:rsidRPr="007C0A9C" w:rsidRDefault="007C0A9C" w:rsidP="007C0A9C">
      <w:pPr>
        <w:ind w:firstLine="454"/>
        <w:rPr>
          <w:sz w:val="18"/>
          <w:szCs w:val="24"/>
          <w:lang w:val="de-DE"/>
        </w:rPr>
      </w:pPr>
      <w:r w:rsidRPr="007C0A9C">
        <w:rPr>
          <w:bCs/>
          <w:sz w:val="18"/>
          <w:szCs w:val="24"/>
          <w:lang w:val="de-DE"/>
        </w:rPr>
        <w:t xml:space="preserve">- </w:t>
      </w:r>
      <w:r w:rsidRPr="007C0A9C">
        <w:rPr>
          <w:sz w:val="18"/>
          <w:szCs w:val="24"/>
          <w:lang w:val="de-DE"/>
        </w:rPr>
        <w:t>E-HSDT có nội dung sai khác, đặt điều kiện hay bỏ sót nội dung cơ bản dẫn đến E-HSDT bị loại thì không phải tiếp tục đánh giá các tiêu chí khác. Trường hợp nhà thầu không đáp ứng một tiêu chí đánh giá cụ thể thì không phải đánh giá tiếp đối với các tiêu chí còn lại.</w:t>
      </w:r>
    </w:p>
    <w:p w:rsidR="007C0A9C" w:rsidRPr="007C0A9C" w:rsidRDefault="007C0A9C" w:rsidP="007C0A9C">
      <w:pPr>
        <w:tabs>
          <w:tab w:val="left" w:pos="2688"/>
        </w:tabs>
        <w:rPr>
          <w:sz w:val="22"/>
          <w:szCs w:val="24"/>
          <w:lang w:val="de-DE"/>
        </w:rPr>
      </w:pPr>
      <w:r w:rsidRPr="007C0A9C">
        <w:rPr>
          <w:sz w:val="22"/>
          <w:szCs w:val="24"/>
          <w:lang w:val="de-DE"/>
        </w:rPr>
        <w:br w:type="page"/>
      </w:r>
    </w:p>
    <w:p w:rsidR="007C0A9C" w:rsidRPr="007C0A9C" w:rsidRDefault="007C0A9C" w:rsidP="007C0A9C">
      <w:pPr>
        <w:tabs>
          <w:tab w:val="left" w:pos="2688"/>
        </w:tabs>
        <w:rPr>
          <w:sz w:val="20"/>
          <w:szCs w:val="24"/>
          <w:lang w:val="de-DE"/>
        </w:rPr>
      </w:pPr>
    </w:p>
    <w:p w:rsidR="007C0A9C" w:rsidRPr="007C0A9C" w:rsidRDefault="007C0A9C" w:rsidP="007C0A9C">
      <w:pPr>
        <w:spacing w:line="380" w:lineRule="exact"/>
        <w:ind w:firstLine="454"/>
        <w:jc w:val="right"/>
        <w:rPr>
          <w:b/>
          <w:lang w:val="sv-SE"/>
        </w:rPr>
      </w:pPr>
      <w:bookmarkStart w:id="32" w:name="_Toc257276544"/>
      <w:bookmarkStart w:id="33" w:name="_Toc259105147"/>
      <w:bookmarkStart w:id="34" w:name="_Toc401644279"/>
      <w:bookmarkStart w:id="35" w:name="_Toc421881161"/>
      <w:bookmarkStart w:id="36" w:name="_Toc421881804"/>
      <w:r w:rsidRPr="007C0A9C">
        <w:rPr>
          <w:b/>
          <w:lang w:val="sv-SE"/>
        </w:rPr>
        <w:t xml:space="preserve">Mẫu số </w:t>
      </w:r>
      <w:bookmarkEnd w:id="32"/>
      <w:bookmarkEnd w:id="33"/>
      <w:bookmarkEnd w:id="34"/>
      <w:bookmarkEnd w:id="35"/>
      <w:bookmarkEnd w:id="36"/>
      <w:r w:rsidRPr="007C0A9C">
        <w:rPr>
          <w:b/>
          <w:lang w:val="sv-SE"/>
        </w:rPr>
        <w:t xml:space="preserve">03B </w:t>
      </w:r>
      <w:bookmarkStart w:id="37" w:name="_Toc257104432"/>
      <w:bookmarkStart w:id="38" w:name="_Toc257276545"/>
      <w:bookmarkStart w:id="39" w:name="_Toc258849098"/>
      <w:bookmarkStart w:id="40" w:name="_Toc259105148"/>
      <w:bookmarkStart w:id="41" w:name="_Toc259105298"/>
      <w:bookmarkStart w:id="42" w:name="_Toc401644280"/>
      <w:bookmarkStart w:id="43" w:name="_Toc404067819"/>
      <w:bookmarkStart w:id="44" w:name="_Toc421881162"/>
    </w:p>
    <w:p w:rsidR="007C0A9C" w:rsidRPr="007C0A9C" w:rsidRDefault="007C0A9C" w:rsidP="007C0A9C">
      <w:pPr>
        <w:spacing w:line="380" w:lineRule="exact"/>
        <w:ind w:firstLine="18"/>
        <w:jc w:val="center"/>
        <w:rPr>
          <w:b/>
          <w:lang w:val="sv-SE"/>
        </w:rPr>
      </w:pPr>
      <w:r w:rsidRPr="007C0A9C">
        <w:rPr>
          <w:b/>
          <w:lang w:val="sv-SE"/>
        </w:rPr>
        <w:t xml:space="preserve">ĐÁNH GIÁ VỀ KỸ THUẬT </w:t>
      </w:r>
      <w:bookmarkEnd w:id="37"/>
      <w:bookmarkEnd w:id="38"/>
      <w:bookmarkEnd w:id="39"/>
      <w:bookmarkEnd w:id="40"/>
      <w:bookmarkEnd w:id="41"/>
      <w:bookmarkEnd w:id="42"/>
      <w:bookmarkEnd w:id="43"/>
      <w:bookmarkEnd w:id="44"/>
    </w:p>
    <w:p w:rsidR="007C0A9C" w:rsidRPr="007C0A9C" w:rsidRDefault="007C0A9C" w:rsidP="007C0A9C">
      <w:pPr>
        <w:spacing w:line="380" w:lineRule="exact"/>
        <w:ind w:firstLine="18"/>
        <w:jc w:val="center"/>
        <w:rPr>
          <w:b/>
          <w:lang w:val="sv-SE"/>
        </w:rPr>
      </w:pPr>
      <w:bookmarkStart w:id="45" w:name="_Toc257104433"/>
      <w:bookmarkStart w:id="46" w:name="_Toc257276546"/>
      <w:bookmarkStart w:id="47" w:name="_Toc258849099"/>
      <w:bookmarkStart w:id="48" w:name="_Toc259105149"/>
      <w:bookmarkStart w:id="49" w:name="_Toc401644281"/>
      <w:bookmarkStart w:id="50" w:name="_Toc404067820"/>
      <w:bookmarkStart w:id="51" w:name="_Toc421881163"/>
      <w:r w:rsidRPr="007C0A9C">
        <w:rPr>
          <w:b/>
          <w:lang w:val="sv-SE"/>
        </w:rPr>
        <w:t>(Sử dụng tiêu chí đánh giá “đạt”, “không đạt”)</w:t>
      </w:r>
      <w:bookmarkEnd w:id="45"/>
      <w:bookmarkEnd w:id="46"/>
      <w:bookmarkEnd w:id="47"/>
      <w:bookmarkEnd w:id="48"/>
      <w:bookmarkEnd w:id="49"/>
      <w:bookmarkEnd w:id="50"/>
      <w:bookmarkEnd w:id="51"/>
    </w:p>
    <w:tbl>
      <w:tblPr>
        <w:tblW w:w="5161" w:type="pct"/>
        <w:tblInd w:w="-237" w:type="dxa"/>
        <w:tblLook w:val="04A0" w:firstRow="1" w:lastRow="0" w:firstColumn="1" w:lastColumn="0" w:noHBand="0" w:noVBand="1"/>
      </w:tblPr>
      <w:tblGrid>
        <w:gridCol w:w="570"/>
        <w:gridCol w:w="363"/>
        <w:gridCol w:w="2467"/>
        <w:gridCol w:w="436"/>
        <w:gridCol w:w="6072"/>
        <w:gridCol w:w="845"/>
        <w:gridCol w:w="1424"/>
        <w:gridCol w:w="1113"/>
        <w:gridCol w:w="1247"/>
        <w:gridCol w:w="540"/>
        <w:gridCol w:w="171"/>
      </w:tblGrid>
      <w:tr w:rsidR="007C0A9C" w:rsidRPr="007C0A9C" w:rsidTr="005820EE">
        <w:trPr>
          <w:gridBefore w:val="2"/>
          <w:wBefore w:w="306" w:type="pct"/>
          <w:trHeight w:val="368"/>
        </w:trPr>
        <w:tc>
          <w:tcPr>
            <w:tcW w:w="952" w:type="pct"/>
            <w:gridSpan w:val="2"/>
            <w:hideMark/>
          </w:tcPr>
          <w:p w:rsidR="007C0A9C" w:rsidRPr="007C0A9C" w:rsidRDefault="007C0A9C" w:rsidP="005820EE">
            <w:pPr>
              <w:spacing w:line="22" w:lineRule="atLeast"/>
              <w:rPr>
                <w:b/>
                <w:szCs w:val="24"/>
              </w:rPr>
            </w:pPr>
            <w:r w:rsidRPr="007C0A9C">
              <w:rPr>
                <w:b/>
                <w:szCs w:val="24"/>
              </w:rPr>
              <w:t>Gói thầu:</w:t>
            </w:r>
          </w:p>
        </w:tc>
        <w:tc>
          <w:tcPr>
            <w:tcW w:w="3509" w:type="pct"/>
            <w:gridSpan w:val="5"/>
          </w:tcPr>
          <w:p w:rsidR="007C0A9C" w:rsidRPr="007C0A9C" w:rsidRDefault="007C0A9C" w:rsidP="005820EE">
            <w:pPr>
              <w:tabs>
                <w:tab w:val="left" w:pos="1985"/>
              </w:tabs>
              <w:spacing w:line="22" w:lineRule="atLeast"/>
              <w:jc w:val="left"/>
              <w:rPr>
                <w:b/>
                <w:szCs w:val="24"/>
              </w:rPr>
            </w:pPr>
            <w:r w:rsidRPr="007C0A9C">
              <w:rPr>
                <w:b/>
                <w:color w:val="C00000"/>
                <w:szCs w:val="24"/>
                <w:lang w:val="vi-VN"/>
              </w:rPr>
              <w:t>Gói thầu số 01: Hóa chất xét nghiệm máy sinh hóa</w:t>
            </w:r>
          </w:p>
        </w:tc>
        <w:tc>
          <w:tcPr>
            <w:tcW w:w="234" w:type="pct"/>
            <w:gridSpan w:val="2"/>
          </w:tcPr>
          <w:p w:rsidR="007C0A9C" w:rsidRPr="007C0A9C" w:rsidRDefault="007C0A9C" w:rsidP="005820EE">
            <w:pPr>
              <w:rPr>
                <w:strike/>
              </w:rPr>
            </w:pPr>
          </w:p>
        </w:tc>
      </w:tr>
      <w:tr w:rsidR="007C0A9C" w:rsidRPr="007C0A9C" w:rsidTr="005820EE">
        <w:trPr>
          <w:gridBefore w:val="2"/>
          <w:wBefore w:w="306" w:type="pct"/>
          <w:trHeight w:val="415"/>
        </w:trPr>
        <w:tc>
          <w:tcPr>
            <w:tcW w:w="952" w:type="pct"/>
            <w:gridSpan w:val="2"/>
            <w:hideMark/>
          </w:tcPr>
          <w:p w:rsidR="007C0A9C" w:rsidRPr="007C0A9C" w:rsidRDefault="007C0A9C" w:rsidP="005820EE">
            <w:pPr>
              <w:spacing w:line="22" w:lineRule="atLeast"/>
              <w:rPr>
                <w:b/>
                <w:szCs w:val="24"/>
              </w:rPr>
            </w:pPr>
            <w:r w:rsidRPr="007C0A9C">
              <w:rPr>
                <w:b/>
                <w:szCs w:val="24"/>
              </w:rPr>
              <w:t>Dự án/dự toán mua sắm:</w:t>
            </w:r>
          </w:p>
        </w:tc>
        <w:tc>
          <w:tcPr>
            <w:tcW w:w="3509" w:type="pct"/>
            <w:gridSpan w:val="5"/>
          </w:tcPr>
          <w:p w:rsidR="007C0A9C" w:rsidRPr="007C0A9C" w:rsidRDefault="007C0A9C" w:rsidP="005820EE">
            <w:pPr>
              <w:tabs>
                <w:tab w:val="left" w:pos="1985"/>
              </w:tabs>
              <w:spacing w:line="22" w:lineRule="atLeast"/>
              <w:jc w:val="left"/>
              <w:rPr>
                <w:b/>
                <w:szCs w:val="24"/>
              </w:rPr>
            </w:pPr>
            <w:r w:rsidRPr="007C0A9C">
              <w:rPr>
                <w:b/>
                <w:bCs/>
                <w:color w:val="C00000"/>
                <w:szCs w:val="24"/>
              </w:rPr>
              <w:t xml:space="preserve">Hóa chất, sinh phẩm, vật tư tiêu hao, vật tư y tế của Bệnh viện đa khoa Cái Nước giai đoạn 2026 </w:t>
            </w:r>
            <w:r w:rsidRPr="007C0A9C">
              <w:rPr>
                <w:bCs/>
                <w:color w:val="C00000"/>
                <w:szCs w:val="24"/>
              </w:rPr>
              <w:t>-</w:t>
            </w:r>
            <w:r w:rsidRPr="007C0A9C">
              <w:rPr>
                <w:b/>
                <w:bCs/>
                <w:color w:val="C00000"/>
                <w:szCs w:val="24"/>
              </w:rPr>
              <w:t xml:space="preserve"> 2027</w:t>
            </w:r>
          </w:p>
        </w:tc>
        <w:tc>
          <w:tcPr>
            <w:tcW w:w="234" w:type="pct"/>
            <w:gridSpan w:val="2"/>
          </w:tcPr>
          <w:p w:rsidR="007C0A9C" w:rsidRPr="007C0A9C" w:rsidRDefault="007C0A9C" w:rsidP="005820EE">
            <w:pPr>
              <w:rPr>
                <w:strike/>
              </w:rPr>
            </w:pPr>
          </w:p>
        </w:tc>
      </w:tr>
      <w:tr w:rsidR="007C0A9C" w:rsidRPr="007C0A9C" w:rsidTr="005820EE">
        <w:trPr>
          <w:gridBefore w:val="2"/>
          <w:wBefore w:w="306" w:type="pct"/>
          <w:trHeight w:val="414"/>
        </w:trPr>
        <w:tc>
          <w:tcPr>
            <w:tcW w:w="952" w:type="pct"/>
            <w:gridSpan w:val="2"/>
            <w:hideMark/>
          </w:tcPr>
          <w:p w:rsidR="007C0A9C" w:rsidRPr="007C0A9C" w:rsidRDefault="007C0A9C" w:rsidP="005820EE">
            <w:pPr>
              <w:spacing w:line="22" w:lineRule="atLeast"/>
              <w:rPr>
                <w:b/>
                <w:szCs w:val="24"/>
                <w:lang w:val="es-ES"/>
              </w:rPr>
            </w:pPr>
            <w:r w:rsidRPr="007C0A9C">
              <w:rPr>
                <w:b/>
                <w:szCs w:val="24"/>
                <w:lang w:val="es-ES"/>
              </w:rPr>
              <w:t>Nhà thầu:</w:t>
            </w:r>
            <w:r w:rsidRPr="007C0A9C">
              <w:rPr>
                <w:szCs w:val="24"/>
                <w:lang w:val="es-ES"/>
              </w:rPr>
              <w:t xml:space="preserve"> </w:t>
            </w:r>
          </w:p>
        </w:tc>
        <w:tc>
          <w:tcPr>
            <w:tcW w:w="3509" w:type="pct"/>
            <w:gridSpan w:val="5"/>
          </w:tcPr>
          <w:p w:rsidR="007C0A9C" w:rsidRPr="007C0A9C" w:rsidRDefault="007C0A9C" w:rsidP="005820EE">
            <w:pPr>
              <w:spacing w:line="22" w:lineRule="atLeast"/>
              <w:rPr>
                <w:szCs w:val="24"/>
                <w:lang w:val="es-ES"/>
              </w:rPr>
            </w:pPr>
            <w:r w:rsidRPr="007C0A9C">
              <w:rPr>
                <w:i/>
                <w:iCs/>
                <w:szCs w:val="24"/>
                <w:lang w:val="pt-BR"/>
              </w:rPr>
              <w:t xml:space="preserve">_____ </w:t>
            </w:r>
          </w:p>
        </w:tc>
        <w:tc>
          <w:tcPr>
            <w:tcW w:w="234" w:type="pct"/>
            <w:gridSpan w:val="2"/>
          </w:tcPr>
          <w:p w:rsidR="007C0A9C" w:rsidRPr="007C0A9C" w:rsidRDefault="007C0A9C" w:rsidP="005820EE">
            <w:pPr>
              <w:rPr>
                <w:strike/>
                <w:lang w:val="es-ES"/>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Merge w:val="restart"/>
            <w:vAlign w:val="center"/>
          </w:tcPr>
          <w:p w:rsidR="007C0A9C" w:rsidRPr="007C0A9C" w:rsidRDefault="007C0A9C" w:rsidP="005820EE">
            <w:pPr>
              <w:widowControl w:val="0"/>
              <w:tabs>
                <w:tab w:val="left" w:pos="851"/>
              </w:tabs>
              <w:spacing w:line="380" w:lineRule="exact"/>
              <w:jc w:val="center"/>
              <w:rPr>
                <w:b/>
                <w:szCs w:val="24"/>
              </w:rPr>
            </w:pPr>
            <w:r w:rsidRPr="007C0A9C">
              <w:rPr>
                <w:b/>
                <w:bCs/>
                <w:szCs w:val="24"/>
                <w:lang w:val="es-ES"/>
              </w:rPr>
              <w:t>Stt</w:t>
            </w:r>
          </w:p>
        </w:tc>
        <w:tc>
          <w:tcPr>
            <w:tcW w:w="3062" w:type="pct"/>
            <w:gridSpan w:val="4"/>
            <w:vMerge w:val="restart"/>
            <w:vAlign w:val="center"/>
          </w:tcPr>
          <w:p w:rsidR="007C0A9C" w:rsidRPr="007C0A9C" w:rsidRDefault="007C0A9C" w:rsidP="005820EE">
            <w:pPr>
              <w:widowControl w:val="0"/>
              <w:tabs>
                <w:tab w:val="left" w:pos="851"/>
              </w:tabs>
              <w:spacing w:line="380" w:lineRule="exact"/>
              <w:jc w:val="center"/>
              <w:rPr>
                <w:b/>
                <w:szCs w:val="24"/>
              </w:rPr>
            </w:pPr>
            <w:r w:rsidRPr="007C0A9C">
              <w:rPr>
                <w:b/>
                <w:szCs w:val="24"/>
              </w:rPr>
              <w:t>Nội dung đánh giá</w:t>
            </w:r>
            <w:r w:rsidRPr="007C0A9C">
              <w:rPr>
                <w:b/>
                <w:szCs w:val="24"/>
                <w:vertAlign w:val="superscript"/>
              </w:rPr>
              <w:t>(1)</w:t>
            </w:r>
          </w:p>
        </w:tc>
        <w:tc>
          <w:tcPr>
            <w:tcW w:w="1109" w:type="pct"/>
            <w:gridSpan w:val="3"/>
            <w:vAlign w:val="center"/>
          </w:tcPr>
          <w:p w:rsidR="007C0A9C" w:rsidRPr="007C0A9C" w:rsidRDefault="007C0A9C" w:rsidP="005820EE">
            <w:pPr>
              <w:widowControl w:val="0"/>
              <w:tabs>
                <w:tab w:val="left" w:pos="851"/>
              </w:tabs>
              <w:spacing w:line="380" w:lineRule="exact"/>
              <w:jc w:val="center"/>
              <w:rPr>
                <w:b/>
                <w:szCs w:val="24"/>
                <w:vertAlign w:val="superscript"/>
              </w:rPr>
            </w:pPr>
            <w:r w:rsidRPr="007C0A9C">
              <w:rPr>
                <w:b/>
                <w:szCs w:val="24"/>
              </w:rPr>
              <w:t xml:space="preserve">Kết quả đánh giá </w:t>
            </w:r>
            <w:r w:rsidRPr="007C0A9C">
              <w:rPr>
                <w:b/>
                <w:szCs w:val="24"/>
                <w:vertAlign w:val="superscript"/>
              </w:rPr>
              <w:t>(2)</w:t>
            </w:r>
          </w:p>
        </w:tc>
        <w:tc>
          <w:tcPr>
            <w:tcW w:w="586" w:type="pct"/>
            <w:gridSpan w:val="2"/>
            <w:vMerge w:val="restart"/>
            <w:vAlign w:val="center"/>
          </w:tcPr>
          <w:p w:rsidR="007C0A9C" w:rsidRPr="007C0A9C" w:rsidRDefault="007C0A9C" w:rsidP="005820EE">
            <w:pPr>
              <w:widowControl w:val="0"/>
              <w:tabs>
                <w:tab w:val="left" w:pos="851"/>
              </w:tabs>
              <w:jc w:val="center"/>
              <w:rPr>
                <w:b/>
                <w:szCs w:val="24"/>
              </w:rPr>
            </w:pPr>
            <w:r w:rsidRPr="007C0A9C">
              <w:rPr>
                <w:b/>
                <w:szCs w:val="24"/>
              </w:rPr>
              <w:t>Nhận xét của  chuyên gia</w:t>
            </w: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Height w:val="460"/>
        </w:trPr>
        <w:tc>
          <w:tcPr>
            <w:tcW w:w="187" w:type="pct"/>
            <w:vMerge/>
          </w:tcPr>
          <w:p w:rsidR="007C0A9C" w:rsidRPr="007C0A9C" w:rsidRDefault="007C0A9C" w:rsidP="005820EE">
            <w:pPr>
              <w:widowControl w:val="0"/>
              <w:tabs>
                <w:tab w:val="left" w:pos="851"/>
              </w:tabs>
              <w:spacing w:line="380" w:lineRule="exact"/>
              <w:rPr>
                <w:b/>
                <w:szCs w:val="24"/>
              </w:rPr>
            </w:pPr>
          </w:p>
        </w:tc>
        <w:tc>
          <w:tcPr>
            <w:tcW w:w="3062" w:type="pct"/>
            <w:gridSpan w:val="4"/>
            <w:vMerge/>
            <w:vAlign w:val="center"/>
          </w:tcPr>
          <w:p w:rsidR="007C0A9C" w:rsidRPr="007C0A9C" w:rsidRDefault="007C0A9C" w:rsidP="005820EE">
            <w:pPr>
              <w:widowControl w:val="0"/>
              <w:tabs>
                <w:tab w:val="left" w:pos="851"/>
              </w:tabs>
              <w:spacing w:line="380" w:lineRule="exact"/>
              <w:jc w:val="center"/>
              <w:rPr>
                <w:b/>
                <w:szCs w:val="24"/>
              </w:rPr>
            </w:pPr>
          </w:p>
        </w:tc>
        <w:tc>
          <w:tcPr>
            <w:tcW w:w="277" w:type="pct"/>
            <w:vMerge w:val="restart"/>
            <w:vAlign w:val="center"/>
          </w:tcPr>
          <w:p w:rsidR="007C0A9C" w:rsidRPr="007C0A9C" w:rsidRDefault="007C0A9C" w:rsidP="005820EE">
            <w:pPr>
              <w:widowControl w:val="0"/>
              <w:tabs>
                <w:tab w:val="left" w:pos="851"/>
              </w:tabs>
              <w:jc w:val="center"/>
              <w:rPr>
                <w:b/>
                <w:szCs w:val="24"/>
              </w:rPr>
            </w:pPr>
            <w:r w:rsidRPr="007C0A9C">
              <w:rPr>
                <w:b/>
                <w:szCs w:val="24"/>
              </w:rPr>
              <w:t>Đạt</w:t>
            </w:r>
          </w:p>
        </w:tc>
        <w:tc>
          <w:tcPr>
            <w:tcW w:w="467" w:type="pct"/>
            <w:vMerge w:val="restart"/>
            <w:vAlign w:val="center"/>
          </w:tcPr>
          <w:p w:rsidR="007C0A9C" w:rsidRPr="007C0A9C" w:rsidRDefault="007C0A9C" w:rsidP="005820EE">
            <w:pPr>
              <w:widowControl w:val="0"/>
              <w:tabs>
                <w:tab w:val="left" w:pos="851"/>
              </w:tabs>
              <w:jc w:val="center"/>
              <w:rPr>
                <w:b/>
                <w:szCs w:val="24"/>
              </w:rPr>
            </w:pPr>
            <w:r w:rsidRPr="007C0A9C">
              <w:rPr>
                <w:b/>
                <w:szCs w:val="24"/>
              </w:rPr>
              <w:t>Chấp nhận được</w:t>
            </w:r>
          </w:p>
        </w:tc>
        <w:tc>
          <w:tcPr>
            <w:tcW w:w="365" w:type="pct"/>
            <w:vMerge w:val="restart"/>
            <w:vAlign w:val="center"/>
          </w:tcPr>
          <w:p w:rsidR="007C0A9C" w:rsidRPr="007C0A9C" w:rsidRDefault="007C0A9C" w:rsidP="005820EE">
            <w:pPr>
              <w:widowControl w:val="0"/>
              <w:tabs>
                <w:tab w:val="left" w:pos="851"/>
              </w:tabs>
              <w:jc w:val="center"/>
              <w:rPr>
                <w:b/>
                <w:szCs w:val="24"/>
              </w:rPr>
            </w:pPr>
            <w:r w:rsidRPr="007C0A9C">
              <w:rPr>
                <w:b/>
                <w:szCs w:val="24"/>
              </w:rPr>
              <w:t>Không đạt</w:t>
            </w:r>
          </w:p>
        </w:tc>
        <w:tc>
          <w:tcPr>
            <w:tcW w:w="586" w:type="pct"/>
            <w:gridSpan w:val="2"/>
            <w:vMerge/>
            <w:vAlign w:val="center"/>
          </w:tcPr>
          <w:p w:rsidR="007C0A9C" w:rsidRPr="007C0A9C" w:rsidRDefault="007C0A9C" w:rsidP="005820EE">
            <w:pPr>
              <w:widowControl w:val="0"/>
              <w:tabs>
                <w:tab w:val="left" w:pos="851"/>
              </w:tabs>
              <w:spacing w:line="380" w:lineRule="exact"/>
              <w:jc w:val="center"/>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Merge/>
            <w:vAlign w:val="center"/>
          </w:tcPr>
          <w:p w:rsidR="007C0A9C" w:rsidRPr="007C0A9C" w:rsidRDefault="007C0A9C" w:rsidP="005820EE">
            <w:pPr>
              <w:jc w:val="center"/>
              <w:rPr>
                <w:color w:val="000000"/>
                <w:szCs w:val="24"/>
              </w:rPr>
            </w:pPr>
          </w:p>
        </w:tc>
        <w:tc>
          <w:tcPr>
            <w:tcW w:w="928" w:type="pct"/>
            <w:gridSpan w:val="2"/>
            <w:vAlign w:val="center"/>
          </w:tcPr>
          <w:p w:rsidR="007C0A9C" w:rsidRPr="007C0A9C" w:rsidRDefault="007C0A9C" w:rsidP="005820EE">
            <w:pPr>
              <w:jc w:val="center"/>
              <w:rPr>
                <w:b/>
                <w:color w:val="C00000"/>
                <w:szCs w:val="24"/>
              </w:rPr>
            </w:pPr>
            <w:r w:rsidRPr="007C0A9C">
              <w:rPr>
                <w:b/>
                <w:szCs w:val="24"/>
              </w:rPr>
              <w:t>Tên thiết bị y tế (hóa chất vật tư y tế)</w:t>
            </w:r>
          </w:p>
        </w:tc>
        <w:tc>
          <w:tcPr>
            <w:tcW w:w="2134" w:type="pct"/>
            <w:gridSpan w:val="2"/>
            <w:vAlign w:val="center"/>
          </w:tcPr>
          <w:p w:rsidR="007C0A9C" w:rsidRPr="007C0A9C" w:rsidRDefault="007C0A9C" w:rsidP="005820EE">
            <w:pPr>
              <w:jc w:val="center"/>
              <w:rPr>
                <w:color w:val="C00000"/>
                <w:szCs w:val="24"/>
              </w:rPr>
            </w:pPr>
            <w:r w:rsidRPr="007C0A9C">
              <w:rPr>
                <w:b/>
                <w:szCs w:val="24"/>
              </w:rPr>
              <w:t>Đặc tính thông số kỹ thuật</w:t>
            </w:r>
          </w:p>
        </w:tc>
        <w:tc>
          <w:tcPr>
            <w:tcW w:w="277" w:type="pct"/>
            <w:vMerge/>
          </w:tcPr>
          <w:p w:rsidR="007C0A9C" w:rsidRPr="007C0A9C" w:rsidRDefault="007C0A9C" w:rsidP="005820EE">
            <w:pPr>
              <w:widowControl w:val="0"/>
              <w:tabs>
                <w:tab w:val="left" w:pos="851"/>
              </w:tabs>
              <w:spacing w:line="380" w:lineRule="exact"/>
              <w:rPr>
                <w:b/>
                <w:szCs w:val="24"/>
              </w:rPr>
            </w:pPr>
          </w:p>
        </w:tc>
        <w:tc>
          <w:tcPr>
            <w:tcW w:w="467" w:type="pct"/>
            <w:vMerge/>
          </w:tcPr>
          <w:p w:rsidR="007C0A9C" w:rsidRPr="007C0A9C" w:rsidRDefault="007C0A9C" w:rsidP="005820EE">
            <w:pPr>
              <w:widowControl w:val="0"/>
              <w:tabs>
                <w:tab w:val="left" w:pos="851"/>
              </w:tabs>
              <w:spacing w:line="380" w:lineRule="exact"/>
              <w:rPr>
                <w:b/>
                <w:szCs w:val="24"/>
              </w:rPr>
            </w:pPr>
          </w:p>
        </w:tc>
        <w:tc>
          <w:tcPr>
            <w:tcW w:w="365" w:type="pct"/>
            <w:vMerge/>
          </w:tcPr>
          <w:p w:rsidR="007C0A9C" w:rsidRPr="007C0A9C" w:rsidRDefault="007C0A9C" w:rsidP="005820EE">
            <w:pPr>
              <w:widowControl w:val="0"/>
              <w:tabs>
                <w:tab w:val="left" w:pos="851"/>
              </w:tabs>
              <w:spacing w:line="380" w:lineRule="exact"/>
              <w:rPr>
                <w:b/>
                <w:szCs w:val="24"/>
              </w:rPr>
            </w:pPr>
          </w:p>
        </w:tc>
        <w:tc>
          <w:tcPr>
            <w:tcW w:w="586" w:type="pct"/>
            <w:gridSpan w:val="2"/>
            <w:vMerge/>
          </w:tcPr>
          <w:p w:rsidR="007C0A9C" w:rsidRPr="007C0A9C" w:rsidRDefault="007C0A9C" w:rsidP="005820EE">
            <w:pPr>
              <w:widowControl w:val="0"/>
              <w:tabs>
                <w:tab w:val="left" w:pos="851"/>
              </w:tabs>
              <w:spacing w:line="380" w:lineRule="exac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01</w:t>
            </w:r>
          </w:p>
        </w:tc>
        <w:tc>
          <w:tcPr>
            <w:tcW w:w="928" w:type="pct"/>
            <w:gridSpan w:val="2"/>
            <w:vAlign w:val="center"/>
          </w:tcPr>
          <w:p w:rsidR="007C0A9C" w:rsidRPr="007C0A9C" w:rsidRDefault="007C0A9C" w:rsidP="005820EE">
            <w:pPr>
              <w:jc w:val="left"/>
              <w:rPr>
                <w:color w:val="C00000"/>
                <w:sz w:val="20"/>
              </w:rPr>
            </w:pPr>
            <w:r w:rsidRPr="007C0A9C">
              <w:rPr>
                <w:color w:val="C00000"/>
                <w:sz w:val="20"/>
              </w:rPr>
              <w:t xml:space="preserve">Hóa chất định lượng xét nghiệm - Acid Uric </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Hóa chất xét nghiệm định lượng Uric Acid trong huyết thanh, huyết tương và nước tiểu người. Phương pháp: So màu enzymatic.</w:t>
            </w:r>
          </w:p>
        </w:tc>
        <w:tc>
          <w:tcPr>
            <w:tcW w:w="277" w:type="pct"/>
            <w:vAlign w:val="center"/>
          </w:tcPr>
          <w:p w:rsidR="007C0A9C" w:rsidRPr="007C0A9C" w:rsidRDefault="007C0A9C" w:rsidP="005820EE">
            <w:pPr>
              <w:widowControl w:val="0"/>
              <w:tabs>
                <w:tab w:val="left" w:pos="851"/>
              </w:tabs>
              <w:spacing w:line="380" w:lineRule="exact"/>
              <w:jc w:val="left"/>
              <w:rPr>
                <w:b/>
                <w:szCs w:val="24"/>
              </w:rPr>
            </w:pPr>
          </w:p>
        </w:tc>
        <w:tc>
          <w:tcPr>
            <w:tcW w:w="467" w:type="pct"/>
            <w:vAlign w:val="center"/>
          </w:tcPr>
          <w:p w:rsidR="007C0A9C" w:rsidRPr="007C0A9C" w:rsidRDefault="007C0A9C" w:rsidP="005820EE">
            <w:pPr>
              <w:widowControl w:val="0"/>
              <w:tabs>
                <w:tab w:val="left" w:pos="851"/>
              </w:tabs>
              <w:spacing w:line="380" w:lineRule="exact"/>
              <w:jc w:val="left"/>
              <w:rPr>
                <w:b/>
                <w:szCs w:val="24"/>
              </w:rPr>
            </w:pPr>
          </w:p>
        </w:tc>
        <w:tc>
          <w:tcPr>
            <w:tcW w:w="365" w:type="pct"/>
            <w:vAlign w:val="center"/>
          </w:tcPr>
          <w:p w:rsidR="007C0A9C" w:rsidRPr="007C0A9C" w:rsidRDefault="007C0A9C" w:rsidP="005820EE">
            <w:pPr>
              <w:widowControl w:val="0"/>
              <w:tabs>
                <w:tab w:val="left" w:pos="851"/>
              </w:tabs>
              <w:spacing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02</w:t>
            </w:r>
          </w:p>
        </w:tc>
        <w:tc>
          <w:tcPr>
            <w:tcW w:w="928" w:type="pct"/>
            <w:gridSpan w:val="2"/>
            <w:vAlign w:val="center"/>
          </w:tcPr>
          <w:p w:rsidR="007C0A9C" w:rsidRPr="007C0A9C" w:rsidRDefault="007C0A9C" w:rsidP="005820EE">
            <w:pPr>
              <w:jc w:val="left"/>
              <w:rPr>
                <w:color w:val="C00000"/>
                <w:sz w:val="20"/>
              </w:rPr>
            </w:pPr>
            <w:r w:rsidRPr="007C0A9C">
              <w:rPr>
                <w:color w:val="C00000"/>
                <w:sz w:val="20"/>
              </w:rPr>
              <w:t xml:space="preserve">Hóa chất định lượng xét nghiệm - Albumin </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Hóa chất xét nghiệm định lượng Albumin trong huyết thanh và huyết tương người.</w:t>
            </w:r>
            <w:r w:rsidRPr="007C0A9C">
              <w:rPr>
                <w:color w:val="C00000"/>
                <w:sz w:val="20"/>
              </w:rPr>
              <w:br/>
              <w:t>Phương pháp: Đo quang sử dụng Bromo Cresol Green (BCG).</w:t>
            </w:r>
          </w:p>
        </w:tc>
        <w:tc>
          <w:tcPr>
            <w:tcW w:w="27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03</w:t>
            </w:r>
          </w:p>
        </w:tc>
        <w:tc>
          <w:tcPr>
            <w:tcW w:w="928" w:type="pct"/>
            <w:gridSpan w:val="2"/>
            <w:vAlign w:val="center"/>
          </w:tcPr>
          <w:p w:rsidR="007C0A9C" w:rsidRPr="007C0A9C" w:rsidRDefault="007C0A9C" w:rsidP="005820EE">
            <w:pPr>
              <w:jc w:val="left"/>
              <w:rPr>
                <w:color w:val="C00000"/>
                <w:sz w:val="20"/>
              </w:rPr>
            </w:pPr>
            <w:r w:rsidRPr="007C0A9C">
              <w:rPr>
                <w:color w:val="C00000"/>
                <w:sz w:val="20"/>
              </w:rPr>
              <w:t xml:space="preserve">Hóa chất dùng cho xét nghiệm ALAT  </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Hóa chất xét nghiệm định lượng ALT/GPT  (Alanine Aminotransferase) trong huyết thanh và huyết tương người. Phương pháp: Đo hoạt độ enzym theo IFCC không có pyridoxal phosphat.</w:t>
            </w:r>
          </w:p>
        </w:tc>
        <w:tc>
          <w:tcPr>
            <w:tcW w:w="27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Height w:val="323"/>
        </w:trPr>
        <w:tc>
          <w:tcPr>
            <w:tcW w:w="187" w:type="pct"/>
            <w:vAlign w:val="center"/>
          </w:tcPr>
          <w:p w:rsidR="007C0A9C" w:rsidRPr="007C0A9C" w:rsidRDefault="007C0A9C" w:rsidP="005820EE">
            <w:pPr>
              <w:jc w:val="center"/>
              <w:rPr>
                <w:color w:val="000000"/>
                <w:sz w:val="20"/>
              </w:rPr>
            </w:pPr>
            <w:r w:rsidRPr="007C0A9C">
              <w:rPr>
                <w:color w:val="000000"/>
                <w:sz w:val="20"/>
              </w:rPr>
              <w:t>04</w:t>
            </w:r>
          </w:p>
        </w:tc>
        <w:tc>
          <w:tcPr>
            <w:tcW w:w="928" w:type="pct"/>
            <w:gridSpan w:val="2"/>
            <w:vAlign w:val="center"/>
          </w:tcPr>
          <w:p w:rsidR="007C0A9C" w:rsidRPr="007C0A9C" w:rsidRDefault="007C0A9C" w:rsidP="005820EE">
            <w:pPr>
              <w:jc w:val="left"/>
              <w:rPr>
                <w:color w:val="C00000"/>
                <w:sz w:val="20"/>
              </w:rPr>
            </w:pPr>
            <w:r w:rsidRPr="007C0A9C">
              <w:rPr>
                <w:color w:val="C00000"/>
                <w:sz w:val="20"/>
              </w:rPr>
              <w:t xml:space="preserve">Hóa chất dùng cho xét nghiệm ASAT   </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Hóa chất xét nghiệm định lượng AST/GOT (Aspartate Aminotransferase) trong huyết thanh và huyết tương người. Phương pháp: Đo hoạt độ enzym theo IFCC không có pyridoxal phosphat.</w:t>
            </w:r>
          </w:p>
        </w:tc>
        <w:tc>
          <w:tcPr>
            <w:tcW w:w="27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05</w:t>
            </w:r>
          </w:p>
        </w:tc>
        <w:tc>
          <w:tcPr>
            <w:tcW w:w="928" w:type="pct"/>
            <w:gridSpan w:val="2"/>
            <w:vAlign w:val="center"/>
          </w:tcPr>
          <w:p w:rsidR="007C0A9C" w:rsidRPr="007C0A9C" w:rsidRDefault="007C0A9C" w:rsidP="005820EE">
            <w:pPr>
              <w:jc w:val="left"/>
              <w:rPr>
                <w:color w:val="C00000"/>
                <w:sz w:val="20"/>
              </w:rPr>
            </w:pPr>
            <w:r w:rsidRPr="007C0A9C">
              <w:rPr>
                <w:color w:val="C00000"/>
                <w:sz w:val="20"/>
              </w:rPr>
              <w:t xml:space="preserve">Hóa chất định lượng xét nghiệm Bun - Ure </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Hóa chất xét nghiệm định lượng Urea trong huyết thanh, huyết tương và nước tiểu người.</w:t>
            </w:r>
            <w:r w:rsidRPr="007C0A9C">
              <w:rPr>
                <w:color w:val="C00000"/>
                <w:sz w:val="20"/>
              </w:rPr>
              <w:br/>
              <w:t>Phương pháp: Đo động học sử dụng GLDH.</w:t>
            </w:r>
          </w:p>
        </w:tc>
        <w:tc>
          <w:tcPr>
            <w:tcW w:w="27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06</w:t>
            </w:r>
          </w:p>
        </w:tc>
        <w:tc>
          <w:tcPr>
            <w:tcW w:w="928" w:type="pct"/>
            <w:gridSpan w:val="2"/>
            <w:vAlign w:val="center"/>
          </w:tcPr>
          <w:p w:rsidR="007C0A9C" w:rsidRPr="007C0A9C" w:rsidRDefault="007C0A9C" w:rsidP="005820EE">
            <w:pPr>
              <w:jc w:val="left"/>
              <w:rPr>
                <w:color w:val="C00000"/>
                <w:sz w:val="20"/>
              </w:rPr>
            </w:pPr>
            <w:r w:rsidRPr="007C0A9C">
              <w:rPr>
                <w:color w:val="C00000"/>
                <w:sz w:val="20"/>
              </w:rPr>
              <w:t xml:space="preserve">Hóa chất định lượng xét nghiệm Calcium  </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Hóa chất xét nghiệm định lượng Canxi trong huyết thanh, huyết tương và nước tiểu người.</w:t>
            </w:r>
            <w:r w:rsidRPr="007C0A9C">
              <w:rPr>
                <w:color w:val="C00000"/>
                <w:sz w:val="20"/>
              </w:rPr>
              <w:br/>
              <w:t>Phương pháp: Đo quang sử dụng Arsenaso III.</w:t>
            </w:r>
          </w:p>
        </w:tc>
        <w:tc>
          <w:tcPr>
            <w:tcW w:w="27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07</w:t>
            </w:r>
          </w:p>
        </w:tc>
        <w:tc>
          <w:tcPr>
            <w:tcW w:w="928" w:type="pct"/>
            <w:gridSpan w:val="2"/>
            <w:vAlign w:val="center"/>
          </w:tcPr>
          <w:p w:rsidR="007C0A9C" w:rsidRPr="007C0A9C" w:rsidRDefault="007C0A9C" w:rsidP="005820EE">
            <w:pPr>
              <w:jc w:val="left"/>
              <w:rPr>
                <w:color w:val="C00000"/>
                <w:sz w:val="20"/>
              </w:rPr>
            </w:pPr>
            <w:r w:rsidRPr="007C0A9C">
              <w:rPr>
                <w:color w:val="C00000"/>
                <w:sz w:val="20"/>
              </w:rPr>
              <w:t xml:space="preserve">Hóa chất dùng cho xét nghiệm Cholesterol  </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Hóa chất xét nghiệm định lượng Cholesterol trong huyết thanh và huyết tương người. Phương pháp: “CHOD-POP”: Đo quang enzymatic.</w:t>
            </w:r>
          </w:p>
        </w:tc>
        <w:tc>
          <w:tcPr>
            <w:tcW w:w="27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08</w:t>
            </w:r>
          </w:p>
        </w:tc>
        <w:tc>
          <w:tcPr>
            <w:tcW w:w="928" w:type="pct"/>
            <w:gridSpan w:val="2"/>
            <w:vAlign w:val="center"/>
          </w:tcPr>
          <w:p w:rsidR="007C0A9C" w:rsidRPr="007C0A9C" w:rsidRDefault="007C0A9C" w:rsidP="005820EE">
            <w:pPr>
              <w:jc w:val="left"/>
              <w:rPr>
                <w:color w:val="C00000"/>
                <w:sz w:val="20"/>
              </w:rPr>
            </w:pPr>
            <w:r w:rsidRPr="007C0A9C">
              <w:rPr>
                <w:color w:val="C00000"/>
                <w:sz w:val="20"/>
              </w:rPr>
              <w:t>Hóa chất dùng cho xét nghiệm CK-MB</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Hóa chất xét nghiệm định lượng Creatinine Kinase MB trong huyết thanh và huyết tương người. Phương pháp: Tối ưu hóa tia UV theo IFCC và DGKCH có sự ức chế miễn dịch.</w:t>
            </w:r>
          </w:p>
        </w:tc>
        <w:tc>
          <w:tcPr>
            <w:tcW w:w="27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09</w:t>
            </w:r>
          </w:p>
        </w:tc>
        <w:tc>
          <w:tcPr>
            <w:tcW w:w="928" w:type="pct"/>
            <w:gridSpan w:val="2"/>
            <w:vAlign w:val="center"/>
          </w:tcPr>
          <w:p w:rsidR="007C0A9C" w:rsidRPr="007C0A9C" w:rsidRDefault="007C0A9C" w:rsidP="005820EE">
            <w:pPr>
              <w:jc w:val="left"/>
              <w:rPr>
                <w:color w:val="C00000"/>
                <w:sz w:val="20"/>
              </w:rPr>
            </w:pPr>
            <w:r w:rsidRPr="007C0A9C">
              <w:rPr>
                <w:color w:val="C00000"/>
                <w:sz w:val="20"/>
              </w:rPr>
              <w:t xml:space="preserve">Hóa chất dùng cho xét nghiệm CK - Nac </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 xml:space="preserve">Hóa chất xét nghiệm định lượng Creatinine Kinase trong huyết thanh và huyết tương người. Phương pháp: Tối ưu hóa tia UV theo IFCC và DGKCH. </w:t>
            </w:r>
          </w:p>
        </w:tc>
        <w:tc>
          <w:tcPr>
            <w:tcW w:w="27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lastRenderedPageBreak/>
              <w:t>10</w:t>
            </w:r>
          </w:p>
        </w:tc>
        <w:tc>
          <w:tcPr>
            <w:tcW w:w="928" w:type="pct"/>
            <w:gridSpan w:val="2"/>
            <w:vAlign w:val="center"/>
          </w:tcPr>
          <w:p w:rsidR="007C0A9C" w:rsidRPr="007C0A9C" w:rsidRDefault="007C0A9C" w:rsidP="005820EE">
            <w:pPr>
              <w:jc w:val="left"/>
              <w:rPr>
                <w:color w:val="C00000"/>
                <w:sz w:val="20"/>
              </w:rPr>
            </w:pPr>
            <w:r w:rsidRPr="007C0A9C">
              <w:rPr>
                <w:color w:val="C00000"/>
                <w:sz w:val="20"/>
              </w:rPr>
              <w:t xml:space="preserve">Hóa chất dùng cho xét nghiệm Creatinine  </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Hóa chất xét nghiệm định lượng Creatinine trong huyết thanh, huyết tương và nước tiểu người. Phương pháp: Đo động học không khử protein theo phương pháp Jaffé.</w:t>
            </w:r>
          </w:p>
        </w:tc>
        <w:tc>
          <w:tcPr>
            <w:tcW w:w="27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11</w:t>
            </w:r>
          </w:p>
        </w:tc>
        <w:tc>
          <w:tcPr>
            <w:tcW w:w="928" w:type="pct"/>
            <w:gridSpan w:val="2"/>
            <w:vAlign w:val="center"/>
          </w:tcPr>
          <w:p w:rsidR="007C0A9C" w:rsidRPr="007C0A9C" w:rsidRDefault="007C0A9C" w:rsidP="005820EE">
            <w:pPr>
              <w:jc w:val="left"/>
              <w:rPr>
                <w:color w:val="C00000"/>
                <w:sz w:val="20"/>
              </w:rPr>
            </w:pPr>
            <w:r w:rsidRPr="007C0A9C">
              <w:rPr>
                <w:color w:val="C00000"/>
                <w:sz w:val="20"/>
              </w:rPr>
              <w:t xml:space="preserve">Hóa chất định lượng xét nghiệm Direct-Bilirubin </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Hóa chất xét nghiệm định lượng Bilirubin trực tiếp trong huyết thanh và huyết tương người.</w:t>
            </w:r>
            <w:r w:rsidRPr="007C0A9C">
              <w:rPr>
                <w:color w:val="C00000"/>
                <w:sz w:val="20"/>
              </w:rPr>
              <w:br/>
              <w:t>Phương pháp: Đo quang theo Walter &amp; Gerard.</w:t>
            </w:r>
          </w:p>
        </w:tc>
        <w:tc>
          <w:tcPr>
            <w:tcW w:w="27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12</w:t>
            </w:r>
          </w:p>
        </w:tc>
        <w:tc>
          <w:tcPr>
            <w:tcW w:w="928" w:type="pct"/>
            <w:gridSpan w:val="2"/>
            <w:vAlign w:val="center"/>
          </w:tcPr>
          <w:p w:rsidR="007C0A9C" w:rsidRPr="007C0A9C" w:rsidRDefault="007C0A9C" w:rsidP="005820EE">
            <w:pPr>
              <w:jc w:val="left"/>
              <w:rPr>
                <w:color w:val="C00000"/>
                <w:sz w:val="20"/>
              </w:rPr>
            </w:pPr>
            <w:r w:rsidRPr="007C0A9C">
              <w:rPr>
                <w:color w:val="C00000"/>
                <w:sz w:val="20"/>
              </w:rPr>
              <w:t xml:space="preserve">Hóa chất dùng cho xét nghiệm GGT (Gama glutamyl transpeptidase) </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Hóa chất xét nghiệm định lượng GGT trong huyết thanh và huyết tương người.</w:t>
            </w:r>
            <w:r w:rsidRPr="007C0A9C">
              <w:rPr>
                <w:color w:val="C00000"/>
                <w:sz w:val="20"/>
              </w:rPr>
              <w:br/>
              <w:t>Phương pháp: Đo hoạt độ enzym GGT theo Szasz / Persijn.</w:t>
            </w:r>
          </w:p>
        </w:tc>
        <w:tc>
          <w:tcPr>
            <w:tcW w:w="27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13</w:t>
            </w:r>
          </w:p>
        </w:tc>
        <w:tc>
          <w:tcPr>
            <w:tcW w:w="928" w:type="pct"/>
            <w:gridSpan w:val="2"/>
            <w:vAlign w:val="center"/>
          </w:tcPr>
          <w:p w:rsidR="007C0A9C" w:rsidRPr="007C0A9C" w:rsidRDefault="007C0A9C" w:rsidP="005820EE">
            <w:pPr>
              <w:jc w:val="left"/>
              <w:rPr>
                <w:color w:val="C00000"/>
                <w:sz w:val="20"/>
              </w:rPr>
            </w:pPr>
            <w:r w:rsidRPr="007C0A9C">
              <w:rPr>
                <w:color w:val="C00000"/>
                <w:sz w:val="20"/>
              </w:rPr>
              <w:t xml:space="preserve">Hóa chất dùng cho xét nghiệm Glucose </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Hóa chất xét nghiệm định lượng Glucose trong huyết thanh, huyết tương và nước tiểu người. Phương pháp: "GOD-POD": Đo quang enzymatic.</w:t>
            </w:r>
          </w:p>
        </w:tc>
        <w:tc>
          <w:tcPr>
            <w:tcW w:w="27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14</w:t>
            </w:r>
          </w:p>
        </w:tc>
        <w:tc>
          <w:tcPr>
            <w:tcW w:w="928" w:type="pct"/>
            <w:gridSpan w:val="2"/>
            <w:vAlign w:val="center"/>
          </w:tcPr>
          <w:p w:rsidR="007C0A9C" w:rsidRPr="007C0A9C" w:rsidRDefault="007C0A9C" w:rsidP="005820EE">
            <w:pPr>
              <w:jc w:val="left"/>
              <w:rPr>
                <w:color w:val="C00000"/>
                <w:sz w:val="20"/>
              </w:rPr>
            </w:pPr>
            <w:r w:rsidRPr="007C0A9C">
              <w:rPr>
                <w:color w:val="C00000"/>
                <w:sz w:val="20"/>
              </w:rPr>
              <w:t xml:space="preserve">Hóa chất định lượng xét nghiệm Total Bilirubin </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Hóa chất xét nghiệm định lượng Bilirubin toàn phần trong huyết thanh và huyết tương người. Phương pháp: Đo quang theo Walter &amp; Gerard sử dụng dimethylsulfoxide (DMSO)</w:t>
            </w:r>
          </w:p>
        </w:tc>
        <w:tc>
          <w:tcPr>
            <w:tcW w:w="27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15</w:t>
            </w:r>
          </w:p>
        </w:tc>
        <w:tc>
          <w:tcPr>
            <w:tcW w:w="928" w:type="pct"/>
            <w:gridSpan w:val="2"/>
            <w:vAlign w:val="center"/>
          </w:tcPr>
          <w:p w:rsidR="007C0A9C" w:rsidRPr="007C0A9C" w:rsidRDefault="007C0A9C" w:rsidP="005820EE">
            <w:pPr>
              <w:jc w:val="left"/>
              <w:rPr>
                <w:color w:val="C00000"/>
                <w:sz w:val="20"/>
              </w:rPr>
            </w:pPr>
            <w:r w:rsidRPr="007C0A9C">
              <w:rPr>
                <w:color w:val="C00000"/>
                <w:sz w:val="20"/>
              </w:rPr>
              <w:t>Hóa chất dùng cho xét nghiệm Triglyceride</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Hóa chất xét nghiệm định lượng Triglycerides trong huyết thanh và huyết tương người.</w:t>
            </w:r>
            <w:r w:rsidRPr="007C0A9C">
              <w:rPr>
                <w:color w:val="C00000"/>
                <w:sz w:val="20"/>
              </w:rPr>
              <w:br/>
              <w:t>Phương pháp: So màu enzymatic sử dụng GPO, PAP, thuốc thử đơn</w:t>
            </w:r>
          </w:p>
        </w:tc>
        <w:tc>
          <w:tcPr>
            <w:tcW w:w="27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16</w:t>
            </w:r>
          </w:p>
        </w:tc>
        <w:tc>
          <w:tcPr>
            <w:tcW w:w="928" w:type="pct"/>
            <w:gridSpan w:val="2"/>
            <w:vAlign w:val="center"/>
          </w:tcPr>
          <w:p w:rsidR="007C0A9C" w:rsidRPr="007C0A9C" w:rsidRDefault="007C0A9C" w:rsidP="005820EE">
            <w:pPr>
              <w:jc w:val="left"/>
              <w:rPr>
                <w:color w:val="C00000"/>
                <w:sz w:val="20"/>
              </w:rPr>
            </w:pPr>
            <w:r w:rsidRPr="007C0A9C">
              <w:rPr>
                <w:color w:val="C00000"/>
                <w:sz w:val="20"/>
              </w:rPr>
              <w:t xml:space="preserve">Hóa chất dùng cho xét nghiệm Total Protein  </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Hóa chất xét nghiệm định lượng Total Protein huyết thanh và huyết tương người.</w:t>
            </w:r>
            <w:r w:rsidRPr="007C0A9C">
              <w:rPr>
                <w:color w:val="C00000"/>
                <w:sz w:val="20"/>
              </w:rPr>
              <w:br/>
              <w:t>Phương pháp: Đo quang sử dụng phương pháp Biuret.</w:t>
            </w:r>
          </w:p>
        </w:tc>
        <w:tc>
          <w:tcPr>
            <w:tcW w:w="27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17</w:t>
            </w:r>
          </w:p>
        </w:tc>
        <w:tc>
          <w:tcPr>
            <w:tcW w:w="928" w:type="pct"/>
            <w:gridSpan w:val="2"/>
            <w:vAlign w:val="center"/>
          </w:tcPr>
          <w:p w:rsidR="007C0A9C" w:rsidRPr="007C0A9C" w:rsidRDefault="007C0A9C" w:rsidP="005820EE">
            <w:pPr>
              <w:jc w:val="left"/>
              <w:rPr>
                <w:color w:val="C00000"/>
                <w:sz w:val="20"/>
              </w:rPr>
            </w:pPr>
            <w:r w:rsidRPr="007C0A9C">
              <w:rPr>
                <w:color w:val="C00000"/>
                <w:sz w:val="20"/>
              </w:rPr>
              <w:t>Hóa chất dùng cho xét nghiệm HDL trực tiếp</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Hóa chất xét nghiệm định lượng HDL Cholesterol trong huyết thanh và huyết tương người. Phương pháp: Đo quang enzymatic trực tiếp với PVS, PEGME.</w:t>
            </w:r>
          </w:p>
        </w:tc>
        <w:tc>
          <w:tcPr>
            <w:tcW w:w="277" w:type="pct"/>
            <w:vAlign w:val="center"/>
          </w:tcPr>
          <w:p w:rsidR="007C0A9C" w:rsidRPr="007C0A9C" w:rsidRDefault="007C0A9C" w:rsidP="005820EE">
            <w:pPr>
              <w:jc w:val="left"/>
              <w:rPr>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18</w:t>
            </w:r>
          </w:p>
        </w:tc>
        <w:tc>
          <w:tcPr>
            <w:tcW w:w="928" w:type="pct"/>
            <w:gridSpan w:val="2"/>
            <w:vAlign w:val="center"/>
          </w:tcPr>
          <w:p w:rsidR="007C0A9C" w:rsidRPr="007C0A9C" w:rsidRDefault="007C0A9C" w:rsidP="005820EE">
            <w:pPr>
              <w:jc w:val="left"/>
              <w:rPr>
                <w:color w:val="C00000"/>
                <w:sz w:val="20"/>
              </w:rPr>
            </w:pPr>
            <w:r w:rsidRPr="007C0A9C">
              <w:rPr>
                <w:color w:val="C00000"/>
                <w:sz w:val="20"/>
              </w:rPr>
              <w:t>Hóa chất dùng cho xét nghiệm Amylase</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Hóa chất xét nghiệm định lượng α-Amylase trong huyết thanh, huyết tương và nước tiểu người. Phương pháp: Đo hoạt độ enzym sử dụng CNP-G.</w:t>
            </w:r>
          </w:p>
        </w:tc>
        <w:tc>
          <w:tcPr>
            <w:tcW w:w="277" w:type="pct"/>
            <w:vAlign w:val="center"/>
          </w:tcPr>
          <w:p w:rsidR="007C0A9C" w:rsidRPr="007C0A9C" w:rsidRDefault="007C0A9C" w:rsidP="005820EE">
            <w:pPr>
              <w:jc w:val="left"/>
              <w:rPr>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19</w:t>
            </w:r>
          </w:p>
        </w:tc>
        <w:tc>
          <w:tcPr>
            <w:tcW w:w="928" w:type="pct"/>
            <w:gridSpan w:val="2"/>
            <w:vAlign w:val="center"/>
          </w:tcPr>
          <w:p w:rsidR="007C0A9C" w:rsidRPr="007C0A9C" w:rsidRDefault="007C0A9C" w:rsidP="005820EE">
            <w:pPr>
              <w:jc w:val="left"/>
              <w:rPr>
                <w:color w:val="C00000"/>
                <w:sz w:val="20"/>
              </w:rPr>
            </w:pPr>
            <w:r w:rsidRPr="007C0A9C">
              <w:rPr>
                <w:color w:val="C00000"/>
                <w:sz w:val="20"/>
              </w:rPr>
              <w:t>Hóa chất định lượng xét nghiệm Lactat (Acidlactic)</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Xét nghiệm đánh giá chức năng tuần hoàn máu và tình trạng oxygen trong máu</w:t>
            </w:r>
          </w:p>
        </w:tc>
        <w:tc>
          <w:tcPr>
            <w:tcW w:w="277" w:type="pct"/>
            <w:vAlign w:val="center"/>
          </w:tcPr>
          <w:p w:rsidR="007C0A9C" w:rsidRPr="007C0A9C" w:rsidRDefault="007C0A9C" w:rsidP="005820EE">
            <w:pPr>
              <w:jc w:val="left"/>
              <w:rPr>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20</w:t>
            </w:r>
          </w:p>
        </w:tc>
        <w:tc>
          <w:tcPr>
            <w:tcW w:w="928" w:type="pct"/>
            <w:gridSpan w:val="2"/>
            <w:vAlign w:val="center"/>
          </w:tcPr>
          <w:p w:rsidR="007C0A9C" w:rsidRPr="007C0A9C" w:rsidRDefault="007C0A9C" w:rsidP="005820EE">
            <w:pPr>
              <w:jc w:val="left"/>
              <w:rPr>
                <w:color w:val="C00000"/>
                <w:sz w:val="20"/>
              </w:rPr>
            </w:pPr>
            <w:r w:rsidRPr="007C0A9C">
              <w:rPr>
                <w:color w:val="C00000"/>
                <w:sz w:val="20"/>
              </w:rPr>
              <w:t>Chất hiệu chuẩn cho xét nghiệm Lactat (Acidlactic)</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Chất hiệu chuẩn cho xét nghiệm thường quy với mức 1</w:t>
            </w:r>
          </w:p>
        </w:tc>
        <w:tc>
          <w:tcPr>
            <w:tcW w:w="277" w:type="pct"/>
            <w:vAlign w:val="center"/>
          </w:tcPr>
          <w:p w:rsidR="007C0A9C" w:rsidRPr="007C0A9C" w:rsidRDefault="007C0A9C" w:rsidP="005820EE">
            <w:pPr>
              <w:jc w:val="left"/>
              <w:rPr>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21</w:t>
            </w:r>
          </w:p>
        </w:tc>
        <w:tc>
          <w:tcPr>
            <w:tcW w:w="928" w:type="pct"/>
            <w:gridSpan w:val="2"/>
            <w:vAlign w:val="center"/>
          </w:tcPr>
          <w:p w:rsidR="007C0A9C" w:rsidRPr="007C0A9C" w:rsidRDefault="007C0A9C" w:rsidP="005820EE">
            <w:pPr>
              <w:jc w:val="left"/>
              <w:rPr>
                <w:color w:val="C00000"/>
                <w:sz w:val="20"/>
              </w:rPr>
            </w:pPr>
            <w:r w:rsidRPr="007C0A9C">
              <w:rPr>
                <w:color w:val="C00000"/>
                <w:sz w:val="20"/>
              </w:rPr>
              <w:t>Chất hiệu kiểm chứng cho xét nghiệm Lactat (Acidlactic) mức 1</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 xml:space="preserve">Chất kiểm tra định lượng mức bình thường cho các xét nghiệm thường quy </w:t>
            </w:r>
          </w:p>
        </w:tc>
        <w:tc>
          <w:tcPr>
            <w:tcW w:w="277" w:type="pct"/>
            <w:vAlign w:val="center"/>
          </w:tcPr>
          <w:p w:rsidR="007C0A9C" w:rsidRPr="007C0A9C" w:rsidRDefault="007C0A9C" w:rsidP="005820EE">
            <w:pPr>
              <w:jc w:val="left"/>
              <w:rPr>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22</w:t>
            </w:r>
          </w:p>
        </w:tc>
        <w:tc>
          <w:tcPr>
            <w:tcW w:w="928" w:type="pct"/>
            <w:gridSpan w:val="2"/>
            <w:vAlign w:val="center"/>
          </w:tcPr>
          <w:p w:rsidR="007C0A9C" w:rsidRPr="007C0A9C" w:rsidRDefault="007C0A9C" w:rsidP="005820EE">
            <w:pPr>
              <w:jc w:val="left"/>
              <w:rPr>
                <w:color w:val="C00000"/>
                <w:sz w:val="20"/>
              </w:rPr>
            </w:pPr>
            <w:r w:rsidRPr="007C0A9C">
              <w:rPr>
                <w:color w:val="C00000"/>
                <w:sz w:val="20"/>
              </w:rPr>
              <w:t>Chất hiệu kiểm chứng cho xét nghiệm Lactat (Acidlactic) mức 2</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 xml:space="preserve">Chất kiểm tra định lượng mức cao cho các xét nghiệm thường quy </w:t>
            </w:r>
          </w:p>
        </w:tc>
        <w:tc>
          <w:tcPr>
            <w:tcW w:w="277" w:type="pct"/>
            <w:vAlign w:val="center"/>
          </w:tcPr>
          <w:p w:rsidR="007C0A9C" w:rsidRPr="007C0A9C" w:rsidRDefault="007C0A9C" w:rsidP="005820EE">
            <w:pPr>
              <w:jc w:val="left"/>
              <w:rPr>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23</w:t>
            </w:r>
          </w:p>
        </w:tc>
        <w:tc>
          <w:tcPr>
            <w:tcW w:w="928" w:type="pct"/>
            <w:gridSpan w:val="2"/>
            <w:vAlign w:val="center"/>
          </w:tcPr>
          <w:p w:rsidR="007C0A9C" w:rsidRPr="007C0A9C" w:rsidRDefault="007C0A9C" w:rsidP="005820EE">
            <w:pPr>
              <w:jc w:val="left"/>
              <w:rPr>
                <w:color w:val="C00000"/>
                <w:sz w:val="20"/>
              </w:rPr>
            </w:pPr>
            <w:r w:rsidRPr="007C0A9C">
              <w:rPr>
                <w:color w:val="C00000"/>
                <w:sz w:val="20"/>
              </w:rPr>
              <w:t>Xét nghiệm yếu tố dạng thấp RF</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Hóa chất xét nghiệm định lượng yếu tố dạng thấp (RF) trong huyết thanh người bằng xét nghiệm miễn dịch đo độ đục.</w:t>
            </w:r>
            <w:r w:rsidRPr="007C0A9C">
              <w:rPr>
                <w:color w:val="C00000"/>
                <w:sz w:val="20"/>
              </w:rPr>
              <w:br/>
              <w:t>Phương pháp: Đo phản ứng kháng nguyên-kháng thể bằng phương pháp điểm cuối.</w:t>
            </w:r>
          </w:p>
        </w:tc>
        <w:tc>
          <w:tcPr>
            <w:tcW w:w="277" w:type="pct"/>
            <w:vAlign w:val="center"/>
          </w:tcPr>
          <w:p w:rsidR="007C0A9C" w:rsidRPr="007C0A9C" w:rsidRDefault="007C0A9C" w:rsidP="005820EE">
            <w:pPr>
              <w:jc w:val="left"/>
              <w:rPr>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24</w:t>
            </w:r>
          </w:p>
        </w:tc>
        <w:tc>
          <w:tcPr>
            <w:tcW w:w="928" w:type="pct"/>
            <w:gridSpan w:val="2"/>
            <w:vAlign w:val="center"/>
          </w:tcPr>
          <w:p w:rsidR="007C0A9C" w:rsidRPr="007C0A9C" w:rsidRDefault="007C0A9C" w:rsidP="005820EE">
            <w:pPr>
              <w:jc w:val="left"/>
              <w:rPr>
                <w:color w:val="C00000"/>
                <w:sz w:val="20"/>
              </w:rPr>
            </w:pPr>
            <w:r w:rsidRPr="007C0A9C">
              <w:rPr>
                <w:color w:val="C00000"/>
                <w:sz w:val="20"/>
              </w:rPr>
              <w:t>Xét nghiệm yếu tố dạng thấp ASO</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Hóa chất xét nghiệm định lượng Antistreptolysin (O) trong huyết thanh người bằng xét nghiệm miễn dịch đo độ đục.</w:t>
            </w:r>
            <w:r w:rsidRPr="007C0A9C">
              <w:rPr>
                <w:color w:val="C00000"/>
                <w:sz w:val="20"/>
              </w:rPr>
              <w:br/>
              <w:t>Phương pháp: Đo phản ứng kháng nguyên-kháng thể bằng phương pháp điểm cuối.</w:t>
            </w:r>
          </w:p>
        </w:tc>
        <w:tc>
          <w:tcPr>
            <w:tcW w:w="277" w:type="pct"/>
            <w:vAlign w:val="center"/>
          </w:tcPr>
          <w:p w:rsidR="007C0A9C" w:rsidRPr="007C0A9C" w:rsidRDefault="007C0A9C" w:rsidP="005820EE">
            <w:pPr>
              <w:jc w:val="left"/>
              <w:rPr>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lastRenderedPageBreak/>
              <w:t>25</w:t>
            </w:r>
          </w:p>
        </w:tc>
        <w:tc>
          <w:tcPr>
            <w:tcW w:w="928" w:type="pct"/>
            <w:gridSpan w:val="2"/>
            <w:vAlign w:val="center"/>
          </w:tcPr>
          <w:p w:rsidR="007C0A9C" w:rsidRPr="007C0A9C" w:rsidRDefault="007C0A9C" w:rsidP="005820EE">
            <w:pPr>
              <w:jc w:val="left"/>
              <w:rPr>
                <w:color w:val="C00000"/>
                <w:sz w:val="20"/>
              </w:rPr>
            </w:pPr>
            <w:r w:rsidRPr="007C0A9C">
              <w:rPr>
                <w:color w:val="C00000"/>
                <w:sz w:val="20"/>
              </w:rPr>
              <w:t>Hóa chất dùng cho xét nghiệm CRP</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Hóa chất xét nghiệm định lượng C-Reactive Protein (CRP) trong huyết thanh người bằng xét nghiệm miễn dịch đo độ đục.</w:t>
            </w:r>
            <w:r w:rsidRPr="007C0A9C">
              <w:rPr>
                <w:color w:val="C00000"/>
                <w:sz w:val="20"/>
              </w:rPr>
              <w:br/>
              <w:t>Phương pháp: Đo phản ứng kháng nguyên-kháng thể bằng phương pháp điểm cuối.</w:t>
            </w:r>
          </w:p>
        </w:tc>
        <w:tc>
          <w:tcPr>
            <w:tcW w:w="277" w:type="pct"/>
            <w:vAlign w:val="center"/>
          </w:tcPr>
          <w:p w:rsidR="007C0A9C" w:rsidRPr="007C0A9C" w:rsidRDefault="007C0A9C" w:rsidP="005820EE">
            <w:pPr>
              <w:jc w:val="left"/>
              <w:rPr>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26</w:t>
            </w:r>
          </w:p>
        </w:tc>
        <w:tc>
          <w:tcPr>
            <w:tcW w:w="928" w:type="pct"/>
            <w:gridSpan w:val="2"/>
            <w:vAlign w:val="center"/>
          </w:tcPr>
          <w:p w:rsidR="007C0A9C" w:rsidRPr="007C0A9C" w:rsidRDefault="007C0A9C" w:rsidP="005820EE">
            <w:pPr>
              <w:jc w:val="left"/>
              <w:rPr>
                <w:color w:val="C00000"/>
                <w:sz w:val="20"/>
              </w:rPr>
            </w:pPr>
            <w:r w:rsidRPr="007C0A9C">
              <w:rPr>
                <w:color w:val="C00000"/>
                <w:sz w:val="20"/>
              </w:rPr>
              <w:t>Hóa chất dùng cho xét nghiệm Albumin (Microalbuminuria)</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Hóa chất xét nghiệm định lượng microalbumin trong nước tiểu.</w:t>
            </w:r>
            <w:r w:rsidRPr="007C0A9C">
              <w:rPr>
                <w:color w:val="C00000"/>
                <w:sz w:val="20"/>
              </w:rPr>
              <w:br/>
              <w:t>Phương pháp: Đo phản ứng kháng nguyên-kháng thể bằng phương pháp điểm cuối.</w:t>
            </w:r>
          </w:p>
        </w:tc>
        <w:tc>
          <w:tcPr>
            <w:tcW w:w="277" w:type="pct"/>
            <w:vAlign w:val="center"/>
          </w:tcPr>
          <w:p w:rsidR="007C0A9C" w:rsidRPr="007C0A9C" w:rsidRDefault="007C0A9C" w:rsidP="005820EE">
            <w:pPr>
              <w:jc w:val="left"/>
              <w:rPr>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27</w:t>
            </w:r>
          </w:p>
        </w:tc>
        <w:tc>
          <w:tcPr>
            <w:tcW w:w="928" w:type="pct"/>
            <w:gridSpan w:val="2"/>
            <w:vAlign w:val="center"/>
          </w:tcPr>
          <w:p w:rsidR="007C0A9C" w:rsidRPr="007C0A9C" w:rsidRDefault="007C0A9C" w:rsidP="005820EE">
            <w:pPr>
              <w:jc w:val="left"/>
              <w:rPr>
                <w:color w:val="C00000"/>
                <w:sz w:val="20"/>
              </w:rPr>
            </w:pPr>
            <w:r w:rsidRPr="007C0A9C">
              <w:rPr>
                <w:color w:val="C00000"/>
                <w:sz w:val="20"/>
              </w:rPr>
              <w:t>Hóa chất định lượng sắt trong huyết thanh (Ferritin)</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Hóa chất xét nghiệm định lượng Ferritin trong huyết thanh và huyết tương người bằng phương pháp đo độ đục miễn dịch.</w:t>
            </w:r>
            <w:r w:rsidRPr="007C0A9C">
              <w:rPr>
                <w:color w:val="C00000"/>
                <w:sz w:val="20"/>
              </w:rPr>
              <w:br/>
              <w:t>Phương pháp: Đo quang dựa trên phản ứng ngưng kết latex.</w:t>
            </w:r>
          </w:p>
        </w:tc>
        <w:tc>
          <w:tcPr>
            <w:tcW w:w="277" w:type="pct"/>
            <w:vAlign w:val="center"/>
          </w:tcPr>
          <w:p w:rsidR="007C0A9C" w:rsidRPr="007C0A9C" w:rsidRDefault="007C0A9C" w:rsidP="005820EE">
            <w:pPr>
              <w:jc w:val="left"/>
              <w:rPr>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28</w:t>
            </w:r>
          </w:p>
        </w:tc>
        <w:tc>
          <w:tcPr>
            <w:tcW w:w="928" w:type="pct"/>
            <w:gridSpan w:val="2"/>
            <w:vAlign w:val="center"/>
          </w:tcPr>
          <w:p w:rsidR="007C0A9C" w:rsidRPr="007C0A9C" w:rsidRDefault="007C0A9C" w:rsidP="005820EE">
            <w:pPr>
              <w:jc w:val="left"/>
              <w:rPr>
                <w:color w:val="C00000"/>
                <w:sz w:val="20"/>
              </w:rPr>
            </w:pPr>
            <w:r w:rsidRPr="007C0A9C">
              <w:rPr>
                <w:color w:val="C00000"/>
                <w:sz w:val="20"/>
              </w:rPr>
              <w:t>Hóa chất dùng cho xét nghiệm Ethanol</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Định lượng ethanol trong huyết thanh và huyết tương trên hệ thống quang trắc.</w:t>
            </w:r>
            <w:r w:rsidRPr="007C0A9C">
              <w:rPr>
                <w:color w:val="C00000"/>
                <w:sz w:val="20"/>
              </w:rPr>
              <w:br/>
              <w:t>Phương pháp: Phương pháp đo phản ứng enzyme phát hiện bằng UV với alcohol dehydrogenase (ADH).</w:t>
            </w:r>
          </w:p>
        </w:tc>
        <w:tc>
          <w:tcPr>
            <w:tcW w:w="277" w:type="pct"/>
            <w:vAlign w:val="center"/>
          </w:tcPr>
          <w:p w:rsidR="007C0A9C" w:rsidRPr="007C0A9C" w:rsidRDefault="007C0A9C" w:rsidP="005820EE">
            <w:pPr>
              <w:jc w:val="left"/>
              <w:rPr>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29</w:t>
            </w:r>
          </w:p>
        </w:tc>
        <w:tc>
          <w:tcPr>
            <w:tcW w:w="928" w:type="pct"/>
            <w:gridSpan w:val="2"/>
            <w:vAlign w:val="center"/>
          </w:tcPr>
          <w:p w:rsidR="007C0A9C" w:rsidRPr="007C0A9C" w:rsidRDefault="007C0A9C" w:rsidP="005820EE">
            <w:pPr>
              <w:jc w:val="left"/>
              <w:rPr>
                <w:color w:val="C00000"/>
                <w:sz w:val="20"/>
              </w:rPr>
            </w:pPr>
            <w:r w:rsidRPr="007C0A9C">
              <w:rPr>
                <w:color w:val="C00000"/>
                <w:sz w:val="20"/>
              </w:rPr>
              <w:t>Cup đựng mẫu</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Cup đựng mẫu</w:t>
            </w:r>
          </w:p>
        </w:tc>
        <w:tc>
          <w:tcPr>
            <w:tcW w:w="277" w:type="pct"/>
            <w:vAlign w:val="center"/>
          </w:tcPr>
          <w:p w:rsidR="007C0A9C" w:rsidRPr="007C0A9C" w:rsidRDefault="007C0A9C" w:rsidP="005820EE">
            <w:pPr>
              <w:jc w:val="left"/>
              <w:rPr>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30</w:t>
            </w:r>
          </w:p>
        </w:tc>
        <w:tc>
          <w:tcPr>
            <w:tcW w:w="928" w:type="pct"/>
            <w:gridSpan w:val="2"/>
            <w:vAlign w:val="center"/>
          </w:tcPr>
          <w:p w:rsidR="007C0A9C" w:rsidRPr="007C0A9C" w:rsidRDefault="007C0A9C" w:rsidP="005820EE">
            <w:pPr>
              <w:jc w:val="left"/>
              <w:rPr>
                <w:color w:val="C00000"/>
                <w:sz w:val="20"/>
              </w:rPr>
            </w:pPr>
            <w:r w:rsidRPr="007C0A9C">
              <w:rPr>
                <w:color w:val="C00000"/>
                <w:sz w:val="20"/>
              </w:rPr>
              <w:t>Giếng phản ứng</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Cuvette máy sinh hóa</w:t>
            </w:r>
          </w:p>
        </w:tc>
        <w:tc>
          <w:tcPr>
            <w:tcW w:w="277" w:type="pct"/>
            <w:vAlign w:val="center"/>
          </w:tcPr>
          <w:p w:rsidR="007C0A9C" w:rsidRPr="007C0A9C" w:rsidRDefault="007C0A9C" w:rsidP="005820EE">
            <w:pPr>
              <w:jc w:val="left"/>
              <w:rPr>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31</w:t>
            </w:r>
          </w:p>
        </w:tc>
        <w:tc>
          <w:tcPr>
            <w:tcW w:w="928" w:type="pct"/>
            <w:gridSpan w:val="2"/>
            <w:vAlign w:val="center"/>
          </w:tcPr>
          <w:p w:rsidR="007C0A9C" w:rsidRPr="007C0A9C" w:rsidRDefault="007C0A9C" w:rsidP="005820EE">
            <w:pPr>
              <w:jc w:val="left"/>
              <w:rPr>
                <w:color w:val="C00000"/>
                <w:sz w:val="20"/>
              </w:rPr>
            </w:pPr>
            <w:r w:rsidRPr="007C0A9C">
              <w:rPr>
                <w:color w:val="C00000"/>
                <w:sz w:val="20"/>
              </w:rPr>
              <w:t>Dung dịch rửa thường quy máy xét nghiệm sinh hóa tự động</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Dung dịch rửa thường quy máy xét nghiệm sinh hóa tự động</w:t>
            </w:r>
          </w:p>
        </w:tc>
        <w:tc>
          <w:tcPr>
            <w:tcW w:w="277" w:type="pct"/>
            <w:vAlign w:val="center"/>
          </w:tcPr>
          <w:p w:rsidR="007C0A9C" w:rsidRPr="007C0A9C" w:rsidRDefault="007C0A9C" w:rsidP="005820EE">
            <w:pPr>
              <w:jc w:val="left"/>
              <w:rPr>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32</w:t>
            </w:r>
          </w:p>
        </w:tc>
        <w:tc>
          <w:tcPr>
            <w:tcW w:w="928" w:type="pct"/>
            <w:gridSpan w:val="2"/>
            <w:vAlign w:val="center"/>
          </w:tcPr>
          <w:p w:rsidR="007C0A9C" w:rsidRPr="007C0A9C" w:rsidRDefault="007C0A9C" w:rsidP="005820EE">
            <w:pPr>
              <w:jc w:val="left"/>
              <w:rPr>
                <w:color w:val="C00000"/>
                <w:sz w:val="20"/>
              </w:rPr>
            </w:pPr>
            <w:r w:rsidRPr="007C0A9C">
              <w:rPr>
                <w:color w:val="C00000"/>
                <w:sz w:val="20"/>
              </w:rPr>
              <w:t>Chất hiệu chuẩn chung</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Hóa chất hiệu chuẩn đông khô dựa trên huyết thanh người.</w:t>
            </w:r>
          </w:p>
        </w:tc>
        <w:tc>
          <w:tcPr>
            <w:tcW w:w="277" w:type="pct"/>
            <w:vAlign w:val="center"/>
          </w:tcPr>
          <w:p w:rsidR="007C0A9C" w:rsidRPr="007C0A9C" w:rsidRDefault="007C0A9C" w:rsidP="005820EE">
            <w:pPr>
              <w:jc w:val="left"/>
              <w:rPr>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33</w:t>
            </w:r>
          </w:p>
        </w:tc>
        <w:tc>
          <w:tcPr>
            <w:tcW w:w="928" w:type="pct"/>
            <w:gridSpan w:val="2"/>
            <w:vAlign w:val="center"/>
          </w:tcPr>
          <w:p w:rsidR="007C0A9C" w:rsidRPr="007C0A9C" w:rsidRDefault="007C0A9C" w:rsidP="005820EE">
            <w:pPr>
              <w:jc w:val="left"/>
              <w:rPr>
                <w:color w:val="C00000"/>
                <w:sz w:val="20"/>
              </w:rPr>
            </w:pPr>
            <w:r w:rsidRPr="007C0A9C">
              <w:rPr>
                <w:color w:val="C00000"/>
                <w:sz w:val="20"/>
              </w:rPr>
              <w:t xml:space="preserve">Chất hiệu chuẩn Protein </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Chất hiệu chuẩn cho xét nghiệm định lượng cholesterol HDL và LDL bằng thuốc thử HDL và LDL Direct.</w:t>
            </w:r>
          </w:p>
        </w:tc>
        <w:tc>
          <w:tcPr>
            <w:tcW w:w="277" w:type="pct"/>
            <w:vAlign w:val="center"/>
          </w:tcPr>
          <w:p w:rsidR="007C0A9C" w:rsidRPr="007C0A9C" w:rsidRDefault="007C0A9C" w:rsidP="005820EE">
            <w:pPr>
              <w:jc w:val="left"/>
              <w:rPr>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34</w:t>
            </w:r>
          </w:p>
        </w:tc>
        <w:tc>
          <w:tcPr>
            <w:tcW w:w="928" w:type="pct"/>
            <w:gridSpan w:val="2"/>
            <w:vAlign w:val="center"/>
          </w:tcPr>
          <w:p w:rsidR="007C0A9C" w:rsidRPr="007C0A9C" w:rsidRDefault="007C0A9C" w:rsidP="005820EE">
            <w:pPr>
              <w:jc w:val="left"/>
              <w:rPr>
                <w:color w:val="C00000"/>
                <w:sz w:val="20"/>
              </w:rPr>
            </w:pPr>
            <w:r w:rsidRPr="007C0A9C">
              <w:rPr>
                <w:color w:val="C00000"/>
                <w:sz w:val="20"/>
              </w:rPr>
              <w:t>Chất hiệu chuẩn ASO</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Chất hiệu chuẩn cho xét nghiệm định lượng Anti-Streptolysin O (ASO) trong huyết thanh người.</w:t>
            </w:r>
          </w:p>
        </w:tc>
        <w:tc>
          <w:tcPr>
            <w:tcW w:w="277" w:type="pct"/>
            <w:vAlign w:val="center"/>
          </w:tcPr>
          <w:p w:rsidR="007C0A9C" w:rsidRPr="007C0A9C" w:rsidRDefault="007C0A9C" w:rsidP="005820EE">
            <w:pPr>
              <w:jc w:val="left"/>
              <w:rPr>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35</w:t>
            </w:r>
          </w:p>
        </w:tc>
        <w:tc>
          <w:tcPr>
            <w:tcW w:w="928" w:type="pct"/>
            <w:gridSpan w:val="2"/>
            <w:vAlign w:val="center"/>
          </w:tcPr>
          <w:p w:rsidR="007C0A9C" w:rsidRPr="007C0A9C" w:rsidRDefault="007C0A9C" w:rsidP="005820EE">
            <w:pPr>
              <w:jc w:val="left"/>
              <w:rPr>
                <w:color w:val="C00000"/>
                <w:sz w:val="20"/>
              </w:rPr>
            </w:pPr>
            <w:r w:rsidRPr="007C0A9C">
              <w:rPr>
                <w:color w:val="C00000"/>
                <w:sz w:val="20"/>
              </w:rPr>
              <w:t xml:space="preserve">Chất hiệu chuẩn Ferritin </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Chất hiệu chuẩn cho xét nghiệm xác định miễn dịch độ đục của Ferritin trong huyết thanh và huyết tương người.</w:t>
            </w:r>
          </w:p>
        </w:tc>
        <w:tc>
          <w:tcPr>
            <w:tcW w:w="277" w:type="pct"/>
            <w:vAlign w:val="center"/>
          </w:tcPr>
          <w:p w:rsidR="007C0A9C" w:rsidRPr="007C0A9C" w:rsidRDefault="007C0A9C" w:rsidP="005820EE">
            <w:pPr>
              <w:jc w:val="left"/>
              <w:rPr>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36</w:t>
            </w:r>
          </w:p>
        </w:tc>
        <w:tc>
          <w:tcPr>
            <w:tcW w:w="928" w:type="pct"/>
            <w:gridSpan w:val="2"/>
            <w:vAlign w:val="center"/>
          </w:tcPr>
          <w:p w:rsidR="007C0A9C" w:rsidRPr="007C0A9C" w:rsidRDefault="007C0A9C" w:rsidP="005820EE">
            <w:pPr>
              <w:jc w:val="left"/>
              <w:rPr>
                <w:color w:val="C00000"/>
                <w:sz w:val="20"/>
              </w:rPr>
            </w:pPr>
            <w:r w:rsidRPr="007C0A9C">
              <w:rPr>
                <w:color w:val="C00000"/>
                <w:sz w:val="20"/>
              </w:rPr>
              <w:t>Chất hiệu chuẩn Albumin (Microalbuminuria)</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Chất hiệu chuẩn cho xét nghiệm xác định hóa miễn dịch định lượng Microalbumin trong nước tiểu.</w:t>
            </w:r>
          </w:p>
        </w:tc>
        <w:tc>
          <w:tcPr>
            <w:tcW w:w="277" w:type="pct"/>
            <w:vAlign w:val="center"/>
          </w:tcPr>
          <w:p w:rsidR="007C0A9C" w:rsidRPr="007C0A9C" w:rsidRDefault="007C0A9C" w:rsidP="005820EE">
            <w:pPr>
              <w:jc w:val="left"/>
              <w:rPr>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37</w:t>
            </w:r>
          </w:p>
        </w:tc>
        <w:tc>
          <w:tcPr>
            <w:tcW w:w="928" w:type="pct"/>
            <w:gridSpan w:val="2"/>
            <w:vAlign w:val="center"/>
          </w:tcPr>
          <w:p w:rsidR="007C0A9C" w:rsidRPr="007C0A9C" w:rsidRDefault="007C0A9C" w:rsidP="005820EE">
            <w:pPr>
              <w:jc w:val="left"/>
              <w:rPr>
                <w:color w:val="C00000"/>
                <w:sz w:val="20"/>
              </w:rPr>
            </w:pPr>
            <w:r w:rsidRPr="007C0A9C">
              <w:rPr>
                <w:color w:val="C00000"/>
                <w:sz w:val="20"/>
              </w:rPr>
              <w:t xml:space="preserve">Chất hiệu chuẩn Ammonia/Ethanol/CO2 </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 xml:space="preserve">Chất hiệu chuẩn Ammonia/Ethanol/CO2 </w:t>
            </w:r>
          </w:p>
        </w:tc>
        <w:tc>
          <w:tcPr>
            <w:tcW w:w="277" w:type="pct"/>
            <w:vAlign w:val="center"/>
          </w:tcPr>
          <w:p w:rsidR="007C0A9C" w:rsidRPr="007C0A9C" w:rsidRDefault="007C0A9C" w:rsidP="005820EE">
            <w:pPr>
              <w:jc w:val="left"/>
              <w:rPr>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38</w:t>
            </w:r>
          </w:p>
        </w:tc>
        <w:tc>
          <w:tcPr>
            <w:tcW w:w="928" w:type="pct"/>
            <w:gridSpan w:val="2"/>
            <w:vAlign w:val="center"/>
          </w:tcPr>
          <w:p w:rsidR="007C0A9C" w:rsidRPr="007C0A9C" w:rsidRDefault="007C0A9C" w:rsidP="005820EE">
            <w:pPr>
              <w:jc w:val="left"/>
              <w:rPr>
                <w:color w:val="C00000"/>
                <w:sz w:val="20"/>
              </w:rPr>
            </w:pPr>
            <w:r w:rsidRPr="007C0A9C">
              <w:rPr>
                <w:color w:val="C00000"/>
                <w:sz w:val="20"/>
              </w:rPr>
              <w:t>Chất kiểm chứng mức 1</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Huyết thanh chứng nội đùng để  theo dõi độ đúng và độ chính xác của các xét nghiệm sinh hóa mức bình thường.</w:t>
            </w:r>
          </w:p>
        </w:tc>
        <w:tc>
          <w:tcPr>
            <w:tcW w:w="277" w:type="pct"/>
            <w:vAlign w:val="center"/>
          </w:tcPr>
          <w:p w:rsidR="007C0A9C" w:rsidRPr="007C0A9C" w:rsidRDefault="007C0A9C" w:rsidP="005820EE">
            <w:pPr>
              <w:jc w:val="left"/>
              <w:rPr>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39</w:t>
            </w:r>
          </w:p>
        </w:tc>
        <w:tc>
          <w:tcPr>
            <w:tcW w:w="928" w:type="pct"/>
            <w:gridSpan w:val="2"/>
            <w:vAlign w:val="center"/>
          </w:tcPr>
          <w:p w:rsidR="007C0A9C" w:rsidRPr="007C0A9C" w:rsidRDefault="007C0A9C" w:rsidP="005820EE">
            <w:pPr>
              <w:jc w:val="left"/>
              <w:rPr>
                <w:color w:val="C00000"/>
                <w:sz w:val="20"/>
              </w:rPr>
            </w:pPr>
            <w:r w:rsidRPr="007C0A9C">
              <w:rPr>
                <w:color w:val="C00000"/>
                <w:sz w:val="20"/>
              </w:rPr>
              <w:t>Chất kiểm chứng mức 2</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Huyết thanh chứng nội đùng để  theo dõi độ đúng và độ chính xác của các xét nghiệm sinh hóa mức bệnh lý.</w:t>
            </w:r>
          </w:p>
        </w:tc>
        <w:tc>
          <w:tcPr>
            <w:tcW w:w="277" w:type="pct"/>
            <w:vAlign w:val="center"/>
          </w:tcPr>
          <w:p w:rsidR="007C0A9C" w:rsidRPr="007C0A9C" w:rsidRDefault="007C0A9C" w:rsidP="005820EE">
            <w:pPr>
              <w:jc w:val="left"/>
              <w:rPr>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40</w:t>
            </w:r>
          </w:p>
        </w:tc>
        <w:tc>
          <w:tcPr>
            <w:tcW w:w="928" w:type="pct"/>
            <w:gridSpan w:val="2"/>
            <w:vAlign w:val="center"/>
          </w:tcPr>
          <w:p w:rsidR="007C0A9C" w:rsidRPr="007C0A9C" w:rsidRDefault="007C0A9C" w:rsidP="005820EE">
            <w:pPr>
              <w:jc w:val="left"/>
              <w:rPr>
                <w:color w:val="C00000"/>
                <w:sz w:val="20"/>
              </w:rPr>
            </w:pPr>
            <w:r w:rsidRPr="007C0A9C">
              <w:rPr>
                <w:color w:val="C00000"/>
                <w:sz w:val="20"/>
              </w:rPr>
              <w:t>Chất kiểm chứng xét nghiệm nước tiểu</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Vật liệu kiểm soát chất lượng xét nghiệm xác định định lượng hóa miễn dịch Microalbumin trong nước tiểu.</w:t>
            </w:r>
          </w:p>
        </w:tc>
        <w:tc>
          <w:tcPr>
            <w:tcW w:w="277" w:type="pct"/>
            <w:vAlign w:val="center"/>
          </w:tcPr>
          <w:p w:rsidR="007C0A9C" w:rsidRPr="007C0A9C" w:rsidRDefault="007C0A9C" w:rsidP="005820EE">
            <w:pPr>
              <w:jc w:val="left"/>
              <w:rPr>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41</w:t>
            </w:r>
          </w:p>
        </w:tc>
        <w:tc>
          <w:tcPr>
            <w:tcW w:w="928" w:type="pct"/>
            <w:gridSpan w:val="2"/>
            <w:vAlign w:val="center"/>
          </w:tcPr>
          <w:p w:rsidR="007C0A9C" w:rsidRPr="007C0A9C" w:rsidRDefault="007C0A9C" w:rsidP="005820EE">
            <w:pPr>
              <w:jc w:val="left"/>
              <w:rPr>
                <w:color w:val="C00000"/>
                <w:sz w:val="20"/>
              </w:rPr>
            </w:pPr>
            <w:r w:rsidRPr="007C0A9C">
              <w:rPr>
                <w:color w:val="C00000"/>
                <w:sz w:val="20"/>
              </w:rPr>
              <w:t>Chất kiểm chứng Protein mức 1</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Vật liệu kiểm soát chất lượng xét nghiệm xác định protein trong huyết thanh trong huyết thanh mức 1.</w:t>
            </w:r>
          </w:p>
        </w:tc>
        <w:tc>
          <w:tcPr>
            <w:tcW w:w="277" w:type="pct"/>
            <w:vAlign w:val="center"/>
          </w:tcPr>
          <w:p w:rsidR="007C0A9C" w:rsidRPr="007C0A9C" w:rsidRDefault="007C0A9C" w:rsidP="005820EE">
            <w:pPr>
              <w:jc w:val="left"/>
              <w:rPr>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42</w:t>
            </w:r>
          </w:p>
        </w:tc>
        <w:tc>
          <w:tcPr>
            <w:tcW w:w="928" w:type="pct"/>
            <w:gridSpan w:val="2"/>
            <w:vAlign w:val="center"/>
          </w:tcPr>
          <w:p w:rsidR="007C0A9C" w:rsidRPr="007C0A9C" w:rsidRDefault="007C0A9C" w:rsidP="005820EE">
            <w:pPr>
              <w:jc w:val="left"/>
              <w:rPr>
                <w:color w:val="C00000"/>
                <w:sz w:val="20"/>
              </w:rPr>
            </w:pPr>
            <w:r w:rsidRPr="007C0A9C">
              <w:rPr>
                <w:color w:val="C00000"/>
                <w:sz w:val="20"/>
              </w:rPr>
              <w:t>Chất kiểm chứng Protein mức 2</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Vật liệu kiểm soát chất lượng xét nghiệm xác định protein trong huyết thanh trong huyết thanh mức 2.</w:t>
            </w:r>
          </w:p>
        </w:tc>
        <w:tc>
          <w:tcPr>
            <w:tcW w:w="277" w:type="pct"/>
            <w:vAlign w:val="center"/>
          </w:tcPr>
          <w:p w:rsidR="007C0A9C" w:rsidRPr="007C0A9C" w:rsidRDefault="007C0A9C" w:rsidP="005820EE">
            <w:pPr>
              <w:jc w:val="left"/>
              <w:rPr>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lastRenderedPageBreak/>
              <w:t>43</w:t>
            </w:r>
          </w:p>
        </w:tc>
        <w:tc>
          <w:tcPr>
            <w:tcW w:w="928" w:type="pct"/>
            <w:gridSpan w:val="2"/>
            <w:vAlign w:val="center"/>
          </w:tcPr>
          <w:p w:rsidR="007C0A9C" w:rsidRPr="007C0A9C" w:rsidRDefault="007C0A9C" w:rsidP="005820EE">
            <w:pPr>
              <w:jc w:val="left"/>
              <w:rPr>
                <w:color w:val="C00000"/>
                <w:sz w:val="20"/>
              </w:rPr>
            </w:pPr>
            <w:r w:rsidRPr="007C0A9C">
              <w:rPr>
                <w:color w:val="C00000"/>
                <w:sz w:val="20"/>
              </w:rPr>
              <w:t>Chất kiểm chứng Ammonia/Ethanol/CO2 (mức 1)</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Chất kiểm chứng Ammonia/Ethanol/CO2 (mức 1)</w:t>
            </w:r>
          </w:p>
        </w:tc>
        <w:tc>
          <w:tcPr>
            <w:tcW w:w="277" w:type="pct"/>
            <w:vAlign w:val="center"/>
          </w:tcPr>
          <w:p w:rsidR="007C0A9C" w:rsidRPr="007C0A9C" w:rsidRDefault="007C0A9C" w:rsidP="005820EE">
            <w:pPr>
              <w:jc w:val="left"/>
              <w:rPr>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44</w:t>
            </w:r>
          </w:p>
        </w:tc>
        <w:tc>
          <w:tcPr>
            <w:tcW w:w="928" w:type="pct"/>
            <w:gridSpan w:val="2"/>
            <w:vAlign w:val="center"/>
          </w:tcPr>
          <w:p w:rsidR="007C0A9C" w:rsidRPr="007C0A9C" w:rsidRDefault="007C0A9C" w:rsidP="005820EE">
            <w:pPr>
              <w:jc w:val="left"/>
              <w:rPr>
                <w:color w:val="C00000"/>
                <w:sz w:val="20"/>
              </w:rPr>
            </w:pPr>
            <w:r w:rsidRPr="007C0A9C">
              <w:rPr>
                <w:color w:val="C00000"/>
                <w:sz w:val="20"/>
              </w:rPr>
              <w:t>Chất kiểm chứng Ammonia/Ethanol/CO2 (mức 2)</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Chất kiểm chứng Ammonia/Ethanol/CO2 (mức 2)</w:t>
            </w:r>
          </w:p>
        </w:tc>
        <w:tc>
          <w:tcPr>
            <w:tcW w:w="277" w:type="pct"/>
            <w:vAlign w:val="center"/>
          </w:tcPr>
          <w:p w:rsidR="007C0A9C" w:rsidRPr="007C0A9C" w:rsidRDefault="007C0A9C" w:rsidP="005820EE">
            <w:pPr>
              <w:jc w:val="left"/>
              <w:rPr>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45</w:t>
            </w:r>
          </w:p>
        </w:tc>
        <w:tc>
          <w:tcPr>
            <w:tcW w:w="928" w:type="pct"/>
            <w:gridSpan w:val="2"/>
            <w:vAlign w:val="center"/>
          </w:tcPr>
          <w:p w:rsidR="007C0A9C" w:rsidRPr="007C0A9C" w:rsidRDefault="007C0A9C" w:rsidP="005820EE">
            <w:pPr>
              <w:jc w:val="left"/>
              <w:rPr>
                <w:color w:val="C00000"/>
                <w:sz w:val="20"/>
              </w:rPr>
            </w:pPr>
            <w:r w:rsidRPr="007C0A9C">
              <w:rPr>
                <w:color w:val="C00000"/>
                <w:sz w:val="20"/>
              </w:rPr>
              <w:t xml:space="preserve">Chất hiệu chuẩn CRP/CRP-hs </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Hóa chất chuẩn chuẩn yếu tố C-Reactive Protein (CRP) trong huyết thanh người.</w:t>
            </w:r>
          </w:p>
        </w:tc>
        <w:tc>
          <w:tcPr>
            <w:tcW w:w="277" w:type="pct"/>
            <w:vAlign w:val="center"/>
          </w:tcPr>
          <w:p w:rsidR="007C0A9C" w:rsidRPr="007C0A9C" w:rsidRDefault="007C0A9C" w:rsidP="005820EE">
            <w:pPr>
              <w:jc w:val="left"/>
              <w:rPr>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46</w:t>
            </w:r>
          </w:p>
        </w:tc>
        <w:tc>
          <w:tcPr>
            <w:tcW w:w="928" w:type="pct"/>
            <w:gridSpan w:val="2"/>
            <w:vAlign w:val="center"/>
          </w:tcPr>
          <w:p w:rsidR="007C0A9C" w:rsidRPr="007C0A9C" w:rsidRDefault="007C0A9C" w:rsidP="005820EE">
            <w:pPr>
              <w:jc w:val="left"/>
              <w:rPr>
                <w:color w:val="C00000"/>
                <w:sz w:val="20"/>
              </w:rPr>
            </w:pPr>
            <w:r w:rsidRPr="007C0A9C">
              <w:rPr>
                <w:color w:val="C00000"/>
                <w:sz w:val="20"/>
              </w:rPr>
              <w:t>Chất kiểm chứng RF mức 1</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Vật liệu kiểm soát chất lượng xét nghiệm xác định protein trong huyết thanh trong huyết thanh mức 1.</w:t>
            </w:r>
          </w:p>
        </w:tc>
        <w:tc>
          <w:tcPr>
            <w:tcW w:w="277" w:type="pct"/>
            <w:vAlign w:val="center"/>
          </w:tcPr>
          <w:p w:rsidR="007C0A9C" w:rsidRPr="007C0A9C" w:rsidRDefault="007C0A9C" w:rsidP="005820EE">
            <w:pPr>
              <w:jc w:val="left"/>
              <w:rPr>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47</w:t>
            </w:r>
          </w:p>
        </w:tc>
        <w:tc>
          <w:tcPr>
            <w:tcW w:w="928" w:type="pct"/>
            <w:gridSpan w:val="2"/>
            <w:vAlign w:val="center"/>
          </w:tcPr>
          <w:p w:rsidR="007C0A9C" w:rsidRPr="007C0A9C" w:rsidRDefault="007C0A9C" w:rsidP="005820EE">
            <w:pPr>
              <w:jc w:val="left"/>
              <w:rPr>
                <w:color w:val="C00000"/>
                <w:sz w:val="20"/>
              </w:rPr>
            </w:pPr>
            <w:r w:rsidRPr="007C0A9C">
              <w:rPr>
                <w:color w:val="C00000"/>
                <w:sz w:val="20"/>
              </w:rPr>
              <w:t>Chất kiểm chứng RF mức 2</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Vật liệu kiểm soát chất lượng xét nghiệm xác định protein trong huyết thanh trong huyết thanh mức 2.</w:t>
            </w:r>
          </w:p>
        </w:tc>
        <w:tc>
          <w:tcPr>
            <w:tcW w:w="277" w:type="pct"/>
            <w:vAlign w:val="center"/>
          </w:tcPr>
          <w:p w:rsidR="007C0A9C" w:rsidRPr="007C0A9C" w:rsidRDefault="007C0A9C" w:rsidP="005820EE">
            <w:pPr>
              <w:jc w:val="left"/>
              <w:rPr>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87" w:type="pct"/>
            <w:vAlign w:val="center"/>
          </w:tcPr>
          <w:p w:rsidR="007C0A9C" w:rsidRPr="007C0A9C" w:rsidRDefault="007C0A9C" w:rsidP="005820EE">
            <w:pPr>
              <w:jc w:val="center"/>
              <w:rPr>
                <w:color w:val="000000"/>
                <w:sz w:val="20"/>
              </w:rPr>
            </w:pPr>
            <w:r w:rsidRPr="007C0A9C">
              <w:rPr>
                <w:color w:val="000000"/>
                <w:sz w:val="20"/>
              </w:rPr>
              <w:t>48</w:t>
            </w:r>
          </w:p>
        </w:tc>
        <w:tc>
          <w:tcPr>
            <w:tcW w:w="928" w:type="pct"/>
            <w:gridSpan w:val="2"/>
            <w:vAlign w:val="center"/>
          </w:tcPr>
          <w:p w:rsidR="007C0A9C" w:rsidRPr="007C0A9C" w:rsidRDefault="007C0A9C" w:rsidP="005820EE">
            <w:pPr>
              <w:jc w:val="left"/>
              <w:rPr>
                <w:color w:val="C00000"/>
                <w:sz w:val="20"/>
              </w:rPr>
            </w:pPr>
            <w:r w:rsidRPr="007C0A9C">
              <w:rPr>
                <w:color w:val="C00000"/>
                <w:sz w:val="20"/>
              </w:rPr>
              <w:t>Chất hiệu chuẩn RF</w:t>
            </w:r>
          </w:p>
        </w:tc>
        <w:tc>
          <w:tcPr>
            <w:tcW w:w="2134" w:type="pct"/>
            <w:gridSpan w:val="2"/>
            <w:vAlign w:val="center"/>
          </w:tcPr>
          <w:p w:rsidR="007C0A9C" w:rsidRPr="007C0A9C" w:rsidRDefault="007C0A9C" w:rsidP="001C5620">
            <w:pPr>
              <w:jc w:val="left"/>
              <w:rPr>
                <w:color w:val="C00000"/>
                <w:sz w:val="20"/>
              </w:rPr>
            </w:pPr>
            <w:r w:rsidRPr="007C0A9C">
              <w:rPr>
                <w:color w:val="C00000"/>
                <w:sz w:val="20"/>
              </w:rPr>
              <w:t>Chất hiệu chuẩn cho xét nghiệm xác định hóa miễn dịch định lượng Yếu tố dạng thấp (RF) trong huyết thanh người.</w:t>
            </w:r>
          </w:p>
        </w:tc>
        <w:tc>
          <w:tcPr>
            <w:tcW w:w="277" w:type="pct"/>
            <w:vAlign w:val="center"/>
          </w:tcPr>
          <w:p w:rsidR="007C0A9C" w:rsidRPr="007C0A9C" w:rsidRDefault="007C0A9C" w:rsidP="005820EE">
            <w:pPr>
              <w:jc w:val="left"/>
              <w:rPr>
                <w:szCs w:val="24"/>
              </w:rPr>
            </w:pPr>
          </w:p>
        </w:tc>
        <w:tc>
          <w:tcPr>
            <w:tcW w:w="467"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365" w:type="pct"/>
            <w:vAlign w:val="center"/>
          </w:tcPr>
          <w:p w:rsidR="007C0A9C" w:rsidRPr="007C0A9C" w:rsidRDefault="007C0A9C" w:rsidP="005820EE">
            <w:pPr>
              <w:widowControl w:val="0"/>
              <w:tabs>
                <w:tab w:val="left" w:pos="851"/>
              </w:tabs>
              <w:spacing w:before="40" w:after="40" w:line="380" w:lineRule="exact"/>
              <w:jc w:val="left"/>
              <w:rPr>
                <w:b/>
                <w:szCs w:val="24"/>
              </w:rPr>
            </w:pPr>
          </w:p>
        </w:tc>
        <w:tc>
          <w:tcPr>
            <w:tcW w:w="586" w:type="pct"/>
            <w:gridSpan w:val="2"/>
            <w:vAlign w:val="center"/>
          </w:tcPr>
          <w:p w:rsidR="007C0A9C" w:rsidRPr="007C0A9C" w:rsidRDefault="007C0A9C" w:rsidP="005820EE">
            <w:pPr>
              <w:widowControl w:val="0"/>
              <w:tabs>
                <w:tab w:val="left" w:pos="851"/>
              </w:tabs>
              <w:spacing w:before="40" w:after="40" w:line="380" w:lineRule="exact"/>
              <w:jc w:val="left"/>
              <w:rPr>
                <w:b/>
                <w:szCs w:val="24"/>
              </w:rPr>
            </w:pPr>
          </w:p>
        </w:tc>
      </w:tr>
      <w:tr w:rsidR="007C0A9C" w:rsidRPr="007C0A9C" w:rsidTr="00582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pct"/>
        </w:trPr>
        <w:tc>
          <w:tcPr>
            <w:tcW w:w="1115" w:type="pct"/>
            <w:gridSpan w:val="3"/>
          </w:tcPr>
          <w:p w:rsidR="007C0A9C" w:rsidRPr="007C0A9C" w:rsidRDefault="007C0A9C" w:rsidP="005820EE">
            <w:pPr>
              <w:widowControl w:val="0"/>
              <w:tabs>
                <w:tab w:val="left" w:pos="851"/>
              </w:tabs>
              <w:spacing w:before="40" w:after="40" w:line="380" w:lineRule="exact"/>
              <w:jc w:val="center"/>
              <w:rPr>
                <w:b/>
                <w:szCs w:val="24"/>
              </w:rPr>
            </w:pPr>
            <w:r w:rsidRPr="007C0A9C">
              <w:rPr>
                <w:b/>
                <w:szCs w:val="24"/>
              </w:rPr>
              <w:t>KẾT LUẬN</w:t>
            </w:r>
            <w:r w:rsidRPr="007C0A9C">
              <w:rPr>
                <w:b/>
                <w:szCs w:val="24"/>
                <w:vertAlign w:val="superscript"/>
                <w:lang w:val="de-DE"/>
              </w:rPr>
              <w:t>(3)</w:t>
            </w:r>
          </w:p>
        </w:tc>
        <w:tc>
          <w:tcPr>
            <w:tcW w:w="2134" w:type="pct"/>
            <w:gridSpan w:val="2"/>
          </w:tcPr>
          <w:p w:rsidR="007C0A9C" w:rsidRPr="007C0A9C" w:rsidRDefault="007C0A9C" w:rsidP="005820EE">
            <w:pPr>
              <w:widowControl w:val="0"/>
              <w:tabs>
                <w:tab w:val="left" w:pos="851"/>
              </w:tabs>
              <w:spacing w:before="40" w:after="40" w:line="380" w:lineRule="exact"/>
              <w:jc w:val="center"/>
              <w:rPr>
                <w:b/>
                <w:szCs w:val="24"/>
              </w:rPr>
            </w:pPr>
          </w:p>
        </w:tc>
        <w:tc>
          <w:tcPr>
            <w:tcW w:w="1109" w:type="pct"/>
            <w:gridSpan w:val="3"/>
          </w:tcPr>
          <w:p w:rsidR="007C0A9C" w:rsidRPr="007C0A9C" w:rsidRDefault="007C0A9C" w:rsidP="005820EE">
            <w:pPr>
              <w:widowControl w:val="0"/>
              <w:tabs>
                <w:tab w:val="left" w:pos="851"/>
              </w:tabs>
              <w:spacing w:before="40" w:after="40" w:line="380" w:lineRule="exact"/>
              <w:jc w:val="center"/>
              <w:rPr>
                <w:b/>
                <w:szCs w:val="24"/>
              </w:rPr>
            </w:pPr>
          </w:p>
        </w:tc>
        <w:tc>
          <w:tcPr>
            <w:tcW w:w="586" w:type="pct"/>
            <w:gridSpan w:val="2"/>
          </w:tcPr>
          <w:p w:rsidR="007C0A9C" w:rsidRPr="007C0A9C" w:rsidRDefault="007C0A9C" w:rsidP="005820EE">
            <w:pPr>
              <w:widowControl w:val="0"/>
              <w:tabs>
                <w:tab w:val="left" w:pos="851"/>
              </w:tabs>
              <w:spacing w:before="40" w:after="40" w:line="380" w:lineRule="exact"/>
              <w:rPr>
                <w:b/>
                <w:szCs w:val="24"/>
              </w:rPr>
            </w:pPr>
          </w:p>
        </w:tc>
      </w:tr>
    </w:tbl>
    <w:p w:rsidR="007C0A9C" w:rsidRPr="007C0A9C" w:rsidRDefault="007C0A9C" w:rsidP="007C0A9C">
      <w:pPr>
        <w:spacing w:line="380" w:lineRule="exact"/>
        <w:ind w:left="10161"/>
        <w:jc w:val="center"/>
        <w:rPr>
          <w:b/>
          <w:iCs/>
          <w:vertAlign w:val="superscript"/>
          <w:lang w:val="es-ES"/>
        </w:rPr>
      </w:pPr>
      <w:r w:rsidRPr="007C0A9C">
        <w:rPr>
          <w:b/>
          <w:iCs/>
          <w:lang w:val="es-ES"/>
        </w:rPr>
        <w:t xml:space="preserve"> Người đánh giá </w:t>
      </w:r>
    </w:p>
    <w:p w:rsidR="007C0A9C" w:rsidRPr="007C0A9C" w:rsidRDefault="007C0A9C" w:rsidP="007C0A9C">
      <w:pPr>
        <w:spacing w:line="380" w:lineRule="exact"/>
        <w:ind w:left="10158"/>
        <w:jc w:val="center"/>
        <w:rPr>
          <w:i/>
          <w:iCs/>
          <w:lang w:val="sv-SE"/>
        </w:rPr>
      </w:pPr>
      <w:r w:rsidRPr="007C0A9C">
        <w:rPr>
          <w:i/>
          <w:iCs/>
          <w:lang w:val="es-ES"/>
        </w:rPr>
        <w:t>(Ký và ghi rõ họ tên)</w:t>
      </w:r>
    </w:p>
    <w:p w:rsidR="007C0A9C" w:rsidRPr="007C0A9C" w:rsidRDefault="007C0A9C" w:rsidP="007C0A9C">
      <w:pPr>
        <w:spacing w:before="80" w:line="300" w:lineRule="exact"/>
        <w:ind w:firstLine="454"/>
        <w:rPr>
          <w:szCs w:val="24"/>
          <w:lang w:val="sv-SE"/>
        </w:rPr>
      </w:pPr>
    </w:p>
    <w:p w:rsidR="007C0A9C" w:rsidRPr="007C0A9C" w:rsidRDefault="007C0A9C" w:rsidP="007C0A9C">
      <w:pPr>
        <w:spacing w:line="300" w:lineRule="exact"/>
        <w:ind w:firstLine="454"/>
        <w:rPr>
          <w:sz w:val="22"/>
          <w:szCs w:val="22"/>
          <w:lang w:val="sv-SE"/>
        </w:rPr>
      </w:pPr>
    </w:p>
    <w:p w:rsidR="007C0A9C" w:rsidRPr="007C0A9C" w:rsidRDefault="007C0A9C" w:rsidP="007C0A9C">
      <w:pPr>
        <w:spacing w:line="300" w:lineRule="exact"/>
        <w:ind w:firstLine="454"/>
        <w:rPr>
          <w:sz w:val="22"/>
          <w:szCs w:val="22"/>
          <w:lang w:val="sv-SE"/>
        </w:rPr>
      </w:pPr>
    </w:p>
    <w:p w:rsidR="007C0A9C" w:rsidRPr="007C0A9C" w:rsidRDefault="007C0A9C" w:rsidP="007C0A9C">
      <w:pPr>
        <w:spacing w:line="300" w:lineRule="exact"/>
        <w:ind w:firstLine="454"/>
        <w:rPr>
          <w:sz w:val="22"/>
          <w:szCs w:val="22"/>
          <w:lang w:val="sv-SE"/>
        </w:rPr>
      </w:pPr>
    </w:p>
    <w:p w:rsidR="007C0A9C" w:rsidRPr="007C0A9C" w:rsidRDefault="007C0A9C" w:rsidP="007C0A9C">
      <w:pPr>
        <w:spacing w:line="300" w:lineRule="exact"/>
        <w:ind w:firstLine="454"/>
        <w:rPr>
          <w:b/>
          <w:sz w:val="22"/>
          <w:szCs w:val="22"/>
          <w:lang w:val="sv-SE"/>
        </w:rPr>
      </w:pPr>
      <w:r w:rsidRPr="007C0A9C">
        <w:rPr>
          <w:b/>
          <w:sz w:val="22"/>
          <w:szCs w:val="22"/>
          <w:lang w:val="sv-SE"/>
        </w:rPr>
        <w:t>Ghi chú</w:t>
      </w:r>
      <w:r w:rsidRPr="007C0A9C">
        <w:rPr>
          <w:b/>
          <w:bCs/>
          <w:sz w:val="22"/>
          <w:szCs w:val="22"/>
          <w:lang w:val="sv-SE"/>
        </w:rPr>
        <w:t>:</w:t>
      </w:r>
      <w:r w:rsidRPr="007C0A9C">
        <w:rPr>
          <w:b/>
          <w:sz w:val="22"/>
          <w:szCs w:val="22"/>
          <w:lang w:val="sv-SE"/>
        </w:rPr>
        <w:t xml:space="preserve"> </w:t>
      </w:r>
    </w:p>
    <w:p w:rsidR="007C0A9C" w:rsidRPr="007C0A9C" w:rsidRDefault="007C0A9C" w:rsidP="007C0A9C">
      <w:pPr>
        <w:spacing w:line="300" w:lineRule="exact"/>
        <w:ind w:firstLine="454"/>
        <w:rPr>
          <w:bCs/>
          <w:sz w:val="22"/>
          <w:szCs w:val="22"/>
          <w:lang w:val="sv-SE"/>
        </w:rPr>
      </w:pPr>
      <w:r w:rsidRPr="007C0A9C">
        <w:rPr>
          <w:bCs/>
          <w:sz w:val="22"/>
          <w:szCs w:val="22"/>
          <w:lang w:val="sv-SE"/>
        </w:rPr>
        <w:t>(1) Theo quy định trong E-HSMT.</w:t>
      </w:r>
    </w:p>
    <w:p w:rsidR="007C0A9C" w:rsidRPr="007C0A9C" w:rsidRDefault="007C0A9C" w:rsidP="007C0A9C">
      <w:pPr>
        <w:spacing w:line="300" w:lineRule="exact"/>
        <w:ind w:firstLine="454"/>
        <w:rPr>
          <w:sz w:val="22"/>
          <w:szCs w:val="22"/>
          <w:lang w:val="sv-SE"/>
        </w:rPr>
      </w:pPr>
      <w:r w:rsidRPr="007C0A9C">
        <w:rPr>
          <w:bCs/>
          <w:sz w:val="22"/>
          <w:szCs w:val="22"/>
          <w:lang w:val="sv-SE"/>
        </w:rPr>
        <w:t>(2) Đối với từng nội dung đánh giá, nếu được đánh giá là "đạt" hoặc "chấp nhận được" hoặc "không đạt" thì đánh dấu “</w:t>
      </w:r>
      <w:r w:rsidRPr="007C0A9C">
        <w:rPr>
          <w:sz w:val="22"/>
          <w:szCs w:val="22"/>
          <w:lang w:val="sv-SE"/>
        </w:rPr>
        <w:t>X</w:t>
      </w:r>
      <w:r w:rsidRPr="007C0A9C">
        <w:rPr>
          <w:bCs/>
          <w:sz w:val="22"/>
          <w:szCs w:val="22"/>
          <w:lang w:val="sv-SE"/>
        </w:rPr>
        <w:t xml:space="preserve">” vào ô tương </w:t>
      </w:r>
      <w:r w:rsidRPr="007C0A9C">
        <w:rPr>
          <w:bCs/>
          <w:spacing w:val="-4"/>
          <w:sz w:val="22"/>
          <w:szCs w:val="22"/>
          <w:lang w:val="sv-SE"/>
        </w:rPr>
        <w:t xml:space="preserve">ứng và nêu rõ lý do tại cột </w:t>
      </w:r>
      <w:r w:rsidRPr="007C0A9C">
        <w:rPr>
          <w:spacing w:val="-4"/>
          <w:sz w:val="22"/>
          <w:szCs w:val="22"/>
          <w:lang w:val="sv-SE"/>
        </w:rPr>
        <w:t>Nhận xét của chuyên gia. Tiêu chí “Chấp nhận được” chỉ áp dụng trong trường hợp tiêu chuẩn đánh giá thuộc E-HSMT</w:t>
      </w:r>
      <w:r w:rsidRPr="007C0A9C">
        <w:rPr>
          <w:sz w:val="22"/>
          <w:szCs w:val="22"/>
          <w:lang w:val="sv-SE"/>
        </w:rPr>
        <w:t xml:space="preserve"> có quy định về nội dung “Chấp nhận được”. </w:t>
      </w:r>
    </w:p>
    <w:p w:rsidR="007C0A9C" w:rsidRPr="007C0A9C" w:rsidRDefault="007C0A9C" w:rsidP="007C0A9C">
      <w:pPr>
        <w:spacing w:line="300" w:lineRule="exact"/>
        <w:ind w:firstLine="454"/>
        <w:rPr>
          <w:bCs/>
          <w:sz w:val="22"/>
          <w:szCs w:val="22"/>
          <w:lang w:val="sv-SE"/>
        </w:rPr>
      </w:pPr>
      <w:r w:rsidRPr="007C0A9C">
        <w:rPr>
          <w:sz w:val="22"/>
          <w:szCs w:val="22"/>
          <w:lang w:val="sv-SE"/>
        </w:rPr>
        <w:t>E-HSDT có nội dung sai khác, đặt điều kiện hay bỏ sót nội dung cơ bản dẫn đến E-HSDT bị loại thì không phải tiếp tục đánh giá các tiêu chí khác. Trường hợp nhà thầu không đáp ứng một tiêu chí đánh giá cụ thể thì không phải đánh giá tiếp đối với các tiêu chí còn lại.</w:t>
      </w:r>
    </w:p>
    <w:p w:rsidR="007C0A9C" w:rsidRPr="007C0A9C" w:rsidRDefault="007C0A9C" w:rsidP="007C0A9C">
      <w:pPr>
        <w:spacing w:line="300" w:lineRule="exact"/>
        <w:ind w:firstLine="454"/>
        <w:rPr>
          <w:bCs/>
          <w:sz w:val="22"/>
          <w:szCs w:val="22"/>
          <w:lang w:val="sv-SE"/>
        </w:rPr>
      </w:pPr>
      <w:r w:rsidRPr="007C0A9C">
        <w:rPr>
          <w:bCs/>
          <w:sz w:val="22"/>
          <w:szCs w:val="22"/>
          <w:lang w:val="sv-SE"/>
        </w:rPr>
        <w:t xml:space="preserve">(3) E-HSDT được kết luận là ĐẠT hoặc KHÔNG ĐẠT theo quy định trong E-HSMT. </w:t>
      </w:r>
    </w:p>
    <w:p w:rsidR="007C0A9C" w:rsidRPr="007C0A9C" w:rsidRDefault="007C0A9C" w:rsidP="007C0A9C">
      <w:pPr>
        <w:tabs>
          <w:tab w:val="left" w:pos="2688"/>
        </w:tabs>
        <w:rPr>
          <w:sz w:val="22"/>
          <w:szCs w:val="22"/>
          <w:lang w:val="es-ES"/>
        </w:rPr>
        <w:sectPr w:rsidR="007C0A9C" w:rsidRPr="007C0A9C" w:rsidSect="005820EE">
          <w:footnotePr>
            <w:numRestart w:val="eachPage"/>
          </w:footnotePr>
          <w:endnotePr>
            <w:numFmt w:val="decimal"/>
          </w:endnotePr>
          <w:pgSz w:w="16838" w:h="11906" w:orient="landscape"/>
          <w:pgMar w:top="1080" w:right="638" w:bottom="900" w:left="1418" w:header="720" w:footer="255" w:gutter="0"/>
          <w:cols w:space="720"/>
          <w:docGrid w:linePitch="381"/>
        </w:sectPr>
      </w:pPr>
    </w:p>
    <w:p w:rsidR="006233C2" w:rsidRPr="005820EE" w:rsidRDefault="00EC6E98" w:rsidP="005820EE">
      <w:pPr>
        <w:tabs>
          <w:tab w:val="left" w:pos="2172"/>
        </w:tabs>
        <w:rPr>
          <w:b/>
          <w:sz w:val="26"/>
          <w:szCs w:val="26"/>
        </w:rPr>
      </w:pPr>
      <w:r w:rsidRPr="005820EE">
        <w:rPr>
          <w:b/>
          <w:sz w:val="26"/>
          <w:szCs w:val="26"/>
        </w:rPr>
        <w:lastRenderedPageBreak/>
        <w:t xml:space="preserve">Mục 5. Phương án kỹ thuật thay thế trong E-HSDT (nếu có): </w:t>
      </w:r>
      <w:r w:rsidRPr="005820EE">
        <w:rPr>
          <w:b/>
          <w:color w:val="C00000"/>
          <w:sz w:val="26"/>
          <w:szCs w:val="26"/>
        </w:rPr>
        <w:t>Không</w:t>
      </w:r>
    </w:p>
    <w:p w:rsidR="006233C2" w:rsidRPr="005820EE" w:rsidRDefault="00EC6E98" w:rsidP="005820EE">
      <w:pPr>
        <w:widowControl w:val="0"/>
        <w:ind w:firstLine="709"/>
        <w:rPr>
          <w:i/>
          <w:sz w:val="26"/>
          <w:szCs w:val="26"/>
        </w:rPr>
      </w:pPr>
      <w:r w:rsidRPr="005820EE">
        <w:rPr>
          <w:sz w:val="26"/>
          <w:szCs w:val="26"/>
        </w:rPr>
        <w:t xml:space="preserve">Trường hợp cho phép nhà thầu đề xuất phương án kỹ thuật thay thế theo quy định tại Mục 12 E-CDNT, E-HSDT sẽ được đánh giá như sau: ___ </w:t>
      </w:r>
      <w:r w:rsidRPr="005820EE">
        <w:rPr>
          <w:i/>
          <w:sz w:val="26"/>
          <w:szCs w:val="26"/>
        </w:rPr>
        <w:t>[ghi các tiêu chí, tiêu chuẩn đánh giá đối với phương án kỹ thuật thay thế].</w:t>
      </w:r>
    </w:p>
    <w:p w:rsidR="00207D10" w:rsidRPr="005820EE" w:rsidRDefault="00207D10" w:rsidP="005820EE">
      <w:pPr>
        <w:widowControl w:val="0"/>
        <w:ind w:firstLine="709"/>
        <w:rPr>
          <w:i/>
          <w:sz w:val="26"/>
          <w:szCs w:val="26"/>
        </w:rPr>
      </w:pPr>
    </w:p>
    <w:p w:rsidR="006233C2" w:rsidRPr="005820EE" w:rsidRDefault="00EC6E98" w:rsidP="005820EE">
      <w:pPr>
        <w:widowControl w:val="0"/>
        <w:ind w:firstLine="709"/>
        <w:outlineLvl w:val="2"/>
        <w:rPr>
          <w:b/>
          <w:sz w:val="26"/>
          <w:szCs w:val="26"/>
        </w:rPr>
      </w:pPr>
      <w:r w:rsidRPr="005820EE">
        <w:rPr>
          <w:b/>
          <w:sz w:val="26"/>
          <w:szCs w:val="26"/>
        </w:rPr>
        <w:t xml:space="preserve">Mục 6. Trường hợp gói thầu chia thành nhiều phần độc lập (nếu có): </w:t>
      </w:r>
      <w:r w:rsidRPr="005820EE">
        <w:rPr>
          <w:b/>
          <w:color w:val="C00000"/>
          <w:sz w:val="26"/>
          <w:szCs w:val="26"/>
        </w:rPr>
        <w:t>Không</w:t>
      </w:r>
    </w:p>
    <w:p w:rsidR="006233C2" w:rsidRPr="005820EE" w:rsidRDefault="00EC6E98" w:rsidP="005820EE">
      <w:pPr>
        <w:widowControl w:val="0"/>
        <w:ind w:firstLine="709"/>
        <w:rPr>
          <w:rFonts w:eastAsia="Calibri"/>
          <w:sz w:val="26"/>
          <w:szCs w:val="26"/>
        </w:rPr>
      </w:pPr>
      <w:r w:rsidRPr="005820EE">
        <w:rPr>
          <w:sz w:val="26"/>
          <w:szCs w:val="26"/>
        </w:rPr>
        <w:t>Trường hợp gói thầu được chia thành nhiều phần độc lập thì t</w:t>
      </w:r>
      <w:r w:rsidRPr="005820EE">
        <w:rPr>
          <w:rFonts w:eastAsia="Calibri"/>
          <w:sz w:val="26"/>
          <w:szCs w:val="26"/>
        </w:rPr>
        <w:t xml:space="preserve">rong E-HSMT phải nêu rõ tiêu chuẩn và phương pháp đánh giá đối với từng phần hoặc nhiều phần để các nhà thầu tính toán phương án chào thầu theo khả năng của mình. Việc đánh giá E-HSDT và xét duyệt trúng thầu sẽ được thực hiện trên cơ sở bảo đảm </w:t>
      </w:r>
      <w:r w:rsidRPr="005820EE">
        <w:rPr>
          <w:rFonts w:eastAsia="Calibri"/>
          <w:bCs/>
          <w:iCs/>
          <w:sz w:val="26"/>
          <w:szCs w:val="26"/>
        </w:rPr>
        <w:t>tổng giá đề nghị trúng thầu của gói thầu là thấp nhất (đối với gói thầu áp dụng phương pháp giá thấp nhất)</w:t>
      </w:r>
      <w:r w:rsidRPr="005820EE">
        <w:rPr>
          <w:rFonts w:eastAsia="Calibri"/>
          <w:sz w:val="26"/>
          <w:szCs w:val="26"/>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rsidR="006D4626" w:rsidRPr="00374723" w:rsidRDefault="00EC6E98" w:rsidP="008D28D2">
      <w:pPr>
        <w:spacing w:after="160" w:line="259" w:lineRule="auto"/>
        <w:jc w:val="left"/>
        <w:rPr>
          <w:b/>
          <w:bCs/>
          <w:color w:val="C00000"/>
          <w:sz w:val="20"/>
        </w:rPr>
      </w:pPr>
      <w:bookmarkStart w:id="52" w:name="RANGE!A1:I8"/>
      <w:bookmarkEnd w:id="52"/>
      <w:r>
        <w:rPr>
          <w:b/>
          <w:sz w:val="28"/>
          <w:szCs w:val="28"/>
          <w:lang w:val="nl-NL"/>
        </w:rPr>
        <w:br w:type="page"/>
      </w:r>
      <w:bookmarkStart w:id="53" w:name="_GoBack"/>
      <w:bookmarkEnd w:id="53"/>
    </w:p>
    <w:p w:rsidR="006233C2" w:rsidRPr="00374723" w:rsidRDefault="006233C2" w:rsidP="006D4626">
      <w:pPr>
        <w:jc w:val="right"/>
        <w:rPr>
          <w:color w:val="C00000"/>
        </w:rPr>
      </w:pPr>
    </w:p>
    <w:sectPr w:rsidR="006233C2" w:rsidRPr="00374723">
      <w:footerReference w:type="default" r:id="rId9"/>
      <w:footnotePr>
        <w:numRestart w:val="eachPage"/>
      </w:footnotePr>
      <w:endnotePr>
        <w:numFmt w:val="decimal"/>
      </w:endnotePr>
      <w:pgSz w:w="11906" w:h="16838"/>
      <w:pgMar w:top="1134" w:right="1134" w:bottom="1134" w:left="1701" w:header="720" w:footer="25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20C" w:rsidRDefault="004F020C">
      <w:r>
        <w:separator/>
      </w:r>
    </w:p>
  </w:endnote>
  <w:endnote w:type="continuationSeparator" w:id="0">
    <w:p w:rsidR="004F020C" w:rsidRDefault="004F0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Segoe UI">
    <w:panose1 w:val="020B0502040204020203"/>
    <w:charset w:val="00"/>
    <w:family w:val="swiss"/>
    <w:pitch w:val="variable"/>
    <w:sig w:usb0="E4002EFF" w:usb1="C000E47F" w:usb2="00000009" w:usb3="00000000" w:csb0="000001FF" w:csb1="00000000"/>
  </w:font>
  <w:font w:name="Aptos Display">
    <w:altName w:val="Arial"/>
    <w:charset w:val="00"/>
    <w:family w:val="swiss"/>
    <w:pitch w:val="variable"/>
    <w:sig w:usb0="00000001" w:usb1="00000003" w:usb2="00000000" w:usb3="00000000" w:csb0="0000019F" w:csb1="00000000"/>
  </w:font>
  <w:font w:name="DengXian">
    <w:altName w:val="等线"/>
    <w:charset w:val="86"/>
    <w:family w:val="auto"/>
    <w:pitch w:val="variable"/>
    <w:sig w:usb0="A00002BF" w:usb1="38CF7CFA" w:usb2="00000016" w:usb3="00000000" w:csb0="0004000F" w:csb1="00000000"/>
  </w:font>
  <w:font w:name="等线 Light">
    <w:altName w:val="Segoe Print"/>
    <w:charset w:val="00"/>
    <w:family w:val="auto"/>
    <w:pitch w:val="default"/>
  </w:font>
  <w:font w:name="等线">
    <w:altName w:val="Arial Unicode MS"/>
    <w:charset w:val="86"/>
    <w:family w:val="auto"/>
    <w:pitch w:val="default"/>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E14" w:rsidRDefault="00005E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E14" w:rsidRDefault="00005E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20C" w:rsidRDefault="004F020C">
      <w:r>
        <w:separator/>
      </w:r>
    </w:p>
  </w:footnote>
  <w:footnote w:type="continuationSeparator" w:id="0">
    <w:p w:rsidR="004F020C" w:rsidRDefault="004F020C">
      <w:r>
        <w:continuationSeparator/>
      </w:r>
    </w:p>
  </w:footnote>
  <w:footnote w:id="1">
    <w:p w:rsidR="00005E14" w:rsidRDefault="00005E14">
      <w:pPr>
        <w:pStyle w:val="FootnoteText"/>
        <w:tabs>
          <w:tab w:val="clear" w:pos="360"/>
        </w:tabs>
        <w:spacing w:before="60" w:after="60"/>
        <w:ind w:left="0" w:right="49" w:firstLine="0"/>
        <w:rPr>
          <w:lang w:val="nl-NL"/>
        </w:rPr>
      </w:pPr>
      <w:r>
        <w:rPr>
          <w:rStyle w:val="FootnoteReference"/>
        </w:rPr>
        <w:footnoteRef/>
      </w:r>
      <w:r>
        <w:rPr>
          <w:lang w:val="nl-NL"/>
        </w:rPr>
        <w:t xml:space="preserve"> Trường hợp áp dụng phương pháp này thì xoá bỏ khoản 3.1 Mục 3 Chương này. </w:t>
      </w:r>
    </w:p>
  </w:footnote>
  <w:footnote w:id="2">
    <w:p w:rsidR="00005E14" w:rsidRDefault="00005E14">
      <w:pPr>
        <w:pStyle w:val="FootnoteText"/>
        <w:tabs>
          <w:tab w:val="clear" w:pos="360"/>
        </w:tabs>
        <w:spacing w:before="60" w:after="60"/>
        <w:ind w:left="0" w:right="49" w:firstLine="0"/>
        <w:rPr>
          <w:lang w:val="nl-NL"/>
        </w:rPr>
      </w:pPr>
      <w:r>
        <w:rPr>
          <w:rStyle w:val="FootnoteReference"/>
        </w:rPr>
        <w:footnoteRef/>
      </w:r>
      <w:r>
        <w:rPr>
          <w:lang w:val="nl-NL"/>
        </w:rPr>
        <w:t xml:space="preserve"> </w:t>
      </w:r>
      <w:r>
        <w:rPr>
          <w:lang w:val="vi-VN"/>
        </w:rPr>
        <w:t xml:space="preserve">Trường hợp áp dụng </w:t>
      </w:r>
      <w:r>
        <w:rPr>
          <w:lang w:val="nl-NL"/>
        </w:rPr>
        <w:t>phương pháp này thì xóa bỏ khoản 4.2 Mục 4 Chương này.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06641"/>
    <w:multiLevelType w:val="multilevel"/>
    <w:tmpl w:val="0C706641"/>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3C792084"/>
    <w:multiLevelType w:val="multilevel"/>
    <w:tmpl w:val="3C79208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3ED10A5F"/>
    <w:multiLevelType w:val="multilevel"/>
    <w:tmpl w:val="3ED10A5F"/>
    <w:lvl w:ilvl="0">
      <w:start w:val="1"/>
      <w:numFmt w:val="decimal"/>
      <w:isLgl/>
      <w:lvlText w:val="%1."/>
      <w:lvlJc w:val="left"/>
      <w:pPr>
        <w:tabs>
          <w:tab w:val="left" w:pos="576"/>
        </w:tabs>
        <w:ind w:left="432" w:hanging="432"/>
      </w:pPr>
      <w:rPr>
        <w:rFonts w:hint="default"/>
        <w:b/>
        <w:i w:val="0"/>
        <w:sz w:val="24"/>
      </w:rPr>
    </w:lvl>
    <w:lvl w:ilvl="1">
      <w:start w:val="1"/>
      <w:numFmt w:val="decimal"/>
      <w:lvlText w:val="%1.%2"/>
      <w:lvlJc w:val="left"/>
      <w:pPr>
        <w:tabs>
          <w:tab w:val="left" w:pos="504"/>
        </w:tabs>
        <w:ind w:left="504" w:hanging="504"/>
      </w:pPr>
      <w:rPr>
        <w:rFonts w:ascii="Times New Roman" w:hAnsi="Times New Roman" w:hint="default"/>
        <w:b w:val="0"/>
        <w:i w:val="0"/>
        <w:sz w:val="24"/>
      </w:rPr>
    </w:lvl>
    <w:lvl w:ilvl="2">
      <w:start w:val="1"/>
      <w:numFmt w:val="lowerLetter"/>
      <w:lvlText w:val="(%3)"/>
      <w:lvlJc w:val="left"/>
      <w:pPr>
        <w:tabs>
          <w:tab w:val="left" w:pos="864"/>
        </w:tabs>
        <w:ind w:left="432" w:firstLine="144"/>
      </w:pPr>
      <w:rPr>
        <w:rFonts w:ascii="Times New Roman" w:hAnsi="Times New Roman" w:hint="default"/>
        <w:b w:val="0"/>
        <w:i w:val="0"/>
        <w:sz w:val="24"/>
      </w:rPr>
    </w:lvl>
    <w:lvl w:ilvl="3">
      <w:start w:val="1"/>
      <w:numFmt w:val="lowerRoman"/>
      <w:lvlText w:val="(%4)"/>
      <w:lvlJc w:val="left"/>
      <w:pPr>
        <w:tabs>
          <w:tab w:val="left" w:pos="1512"/>
        </w:tabs>
        <w:ind w:left="1512" w:hanging="648"/>
      </w:pPr>
      <w:rPr>
        <w:rFonts w:ascii="Times New Roman" w:hAnsi="Times New Roman"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4B5"/>
    <w:rsid w:val="00000E85"/>
    <w:rsid w:val="00001A39"/>
    <w:rsid w:val="00001B40"/>
    <w:rsid w:val="00002192"/>
    <w:rsid w:val="0000239B"/>
    <w:rsid w:val="00003B56"/>
    <w:rsid w:val="00003D2D"/>
    <w:rsid w:val="0000450F"/>
    <w:rsid w:val="00004F54"/>
    <w:rsid w:val="00005364"/>
    <w:rsid w:val="000058AB"/>
    <w:rsid w:val="00005E14"/>
    <w:rsid w:val="000065ED"/>
    <w:rsid w:val="00007FF4"/>
    <w:rsid w:val="0001066D"/>
    <w:rsid w:val="00010BE9"/>
    <w:rsid w:val="00011106"/>
    <w:rsid w:val="00012CCC"/>
    <w:rsid w:val="00013583"/>
    <w:rsid w:val="000141C8"/>
    <w:rsid w:val="00014B5E"/>
    <w:rsid w:val="00014F30"/>
    <w:rsid w:val="00015255"/>
    <w:rsid w:val="0001556E"/>
    <w:rsid w:val="000172CC"/>
    <w:rsid w:val="00017D5C"/>
    <w:rsid w:val="00017EFA"/>
    <w:rsid w:val="00020897"/>
    <w:rsid w:val="00020BE2"/>
    <w:rsid w:val="0002274C"/>
    <w:rsid w:val="0002293A"/>
    <w:rsid w:val="0002385A"/>
    <w:rsid w:val="00023F25"/>
    <w:rsid w:val="0002542D"/>
    <w:rsid w:val="00025845"/>
    <w:rsid w:val="0002753A"/>
    <w:rsid w:val="00027775"/>
    <w:rsid w:val="00030B30"/>
    <w:rsid w:val="00030BFE"/>
    <w:rsid w:val="000310A6"/>
    <w:rsid w:val="000318FC"/>
    <w:rsid w:val="00031BBF"/>
    <w:rsid w:val="0003230A"/>
    <w:rsid w:val="00032816"/>
    <w:rsid w:val="00032C2D"/>
    <w:rsid w:val="0003561F"/>
    <w:rsid w:val="000357CE"/>
    <w:rsid w:val="00035F3B"/>
    <w:rsid w:val="00036070"/>
    <w:rsid w:val="0003635E"/>
    <w:rsid w:val="00036B62"/>
    <w:rsid w:val="000374F4"/>
    <w:rsid w:val="000379D3"/>
    <w:rsid w:val="0004149E"/>
    <w:rsid w:val="00041A7D"/>
    <w:rsid w:val="00043A42"/>
    <w:rsid w:val="000445B9"/>
    <w:rsid w:val="00044C49"/>
    <w:rsid w:val="0004698B"/>
    <w:rsid w:val="00046C60"/>
    <w:rsid w:val="0004724D"/>
    <w:rsid w:val="00047AA5"/>
    <w:rsid w:val="00050BAF"/>
    <w:rsid w:val="00051BA7"/>
    <w:rsid w:val="00052851"/>
    <w:rsid w:val="0005321A"/>
    <w:rsid w:val="000535C7"/>
    <w:rsid w:val="00053808"/>
    <w:rsid w:val="00053EF0"/>
    <w:rsid w:val="000541D6"/>
    <w:rsid w:val="00054EA8"/>
    <w:rsid w:val="0005514B"/>
    <w:rsid w:val="000566C2"/>
    <w:rsid w:val="00057175"/>
    <w:rsid w:val="0005772F"/>
    <w:rsid w:val="000577E3"/>
    <w:rsid w:val="000607EB"/>
    <w:rsid w:val="00060899"/>
    <w:rsid w:val="00060D8C"/>
    <w:rsid w:val="0006101F"/>
    <w:rsid w:val="00061CC7"/>
    <w:rsid w:val="00061EC9"/>
    <w:rsid w:val="00062BA5"/>
    <w:rsid w:val="0006303A"/>
    <w:rsid w:val="0006361B"/>
    <w:rsid w:val="00064DBB"/>
    <w:rsid w:val="0006511D"/>
    <w:rsid w:val="00065D65"/>
    <w:rsid w:val="000675F3"/>
    <w:rsid w:val="00073A64"/>
    <w:rsid w:val="00073D88"/>
    <w:rsid w:val="00074070"/>
    <w:rsid w:val="000748B4"/>
    <w:rsid w:val="000748D0"/>
    <w:rsid w:val="00074B70"/>
    <w:rsid w:val="00075892"/>
    <w:rsid w:val="000758B5"/>
    <w:rsid w:val="00076211"/>
    <w:rsid w:val="000765F8"/>
    <w:rsid w:val="000768B6"/>
    <w:rsid w:val="00076DEB"/>
    <w:rsid w:val="00077AA3"/>
    <w:rsid w:val="000800EF"/>
    <w:rsid w:val="000805A8"/>
    <w:rsid w:val="000806D4"/>
    <w:rsid w:val="00080B42"/>
    <w:rsid w:val="00080E7D"/>
    <w:rsid w:val="00081C95"/>
    <w:rsid w:val="00082729"/>
    <w:rsid w:val="00083919"/>
    <w:rsid w:val="00084562"/>
    <w:rsid w:val="00084B51"/>
    <w:rsid w:val="00085251"/>
    <w:rsid w:val="0008550D"/>
    <w:rsid w:val="000858E0"/>
    <w:rsid w:val="00086033"/>
    <w:rsid w:val="00086AA9"/>
    <w:rsid w:val="00087195"/>
    <w:rsid w:val="0008799B"/>
    <w:rsid w:val="00090597"/>
    <w:rsid w:val="000920FD"/>
    <w:rsid w:val="00092632"/>
    <w:rsid w:val="00093254"/>
    <w:rsid w:val="00093359"/>
    <w:rsid w:val="00093367"/>
    <w:rsid w:val="0009404F"/>
    <w:rsid w:val="000960F7"/>
    <w:rsid w:val="00096272"/>
    <w:rsid w:val="00096BE2"/>
    <w:rsid w:val="00097156"/>
    <w:rsid w:val="00097A23"/>
    <w:rsid w:val="000A014C"/>
    <w:rsid w:val="000A04FD"/>
    <w:rsid w:val="000A05AE"/>
    <w:rsid w:val="000A0B22"/>
    <w:rsid w:val="000A1756"/>
    <w:rsid w:val="000A17A2"/>
    <w:rsid w:val="000A1F2B"/>
    <w:rsid w:val="000A22CB"/>
    <w:rsid w:val="000A3427"/>
    <w:rsid w:val="000A35A8"/>
    <w:rsid w:val="000A37D9"/>
    <w:rsid w:val="000A3C23"/>
    <w:rsid w:val="000A3F54"/>
    <w:rsid w:val="000A4D8D"/>
    <w:rsid w:val="000A5C38"/>
    <w:rsid w:val="000A5FE1"/>
    <w:rsid w:val="000A640A"/>
    <w:rsid w:val="000A6821"/>
    <w:rsid w:val="000A6A27"/>
    <w:rsid w:val="000A72C5"/>
    <w:rsid w:val="000B0BDB"/>
    <w:rsid w:val="000B0D6E"/>
    <w:rsid w:val="000B1095"/>
    <w:rsid w:val="000B1104"/>
    <w:rsid w:val="000B192D"/>
    <w:rsid w:val="000B25DC"/>
    <w:rsid w:val="000B436E"/>
    <w:rsid w:val="000B4EEC"/>
    <w:rsid w:val="000B53DB"/>
    <w:rsid w:val="000B5DDC"/>
    <w:rsid w:val="000B7B0F"/>
    <w:rsid w:val="000B7E31"/>
    <w:rsid w:val="000C0CAC"/>
    <w:rsid w:val="000C16D2"/>
    <w:rsid w:val="000C175B"/>
    <w:rsid w:val="000C1F31"/>
    <w:rsid w:val="000C2248"/>
    <w:rsid w:val="000C24F6"/>
    <w:rsid w:val="000C3122"/>
    <w:rsid w:val="000C3588"/>
    <w:rsid w:val="000C3DF3"/>
    <w:rsid w:val="000C4547"/>
    <w:rsid w:val="000C513A"/>
    <w:rsid w:val="000C6C01"/>
    <w:rsid w:val="000C6D03"/>
    <w:rsid w:val="000C708B"/>
    <w:rsid w:val="000C79BC"/>
    <w:rsid w:val="000C7EAB"/>
    <w:rsid w:val="000D0D51"/>
    <w:rsid w:val="000D288C"/>
    <w:rsid w:val="000D2F39"/>
    <w:rsid w:val="000D313E"/>
    <w:rsid w:val="000D32D0"/>
    <w:rsid w:val="000D4495"/>
    <w:rsid w:val="000D48B9"/>
    <w:rsid w:val="000D6C11"/>
    <w:rsid w:val="000D6C2B"/>
    <w:rsid w:val="000D6F27"/>
    <w:rsid w:val="000D711C"/>
    <w:rsid w:val="000D74EA"/>
    <w:rsid w:val="000D76A0"/>
    <w:rsid w:val="000D7881"/>
    <w:rsid w:val="000E107D"/>
    <w:rsid w:val="000E1593"/>
    <w:rsid w:val="000E15F2"/>
    <w:rsid w:val="000E1A47"/>
    <w:rsid w:val="000E236D"/>
    <w:rsid w:val="000E306D"/>
    <w:rsid w:val="000E379A"/>
    <w:rsid w:val="000E4787"/>
    <w:rsid w:val="000E554A"/>
    <w:rsid w:val="000E5658"/>
    <w:rsid w:val="000E7343"/>
    <w:rsid w:val="000E74E2"/>
    <w:rsid w:val="000F1F10"/>
    <w:rsid w:val="000F2AEE"/>
    <w:rsid w:val="000F3266"/>
    <w:rsid w:val="000F32A7"/>
    <w:rsid w:val="000F38C2"/>
    <w:rsid w:val="000F444F"/>
    <w:rsid w:val="000F4D10"/>
    <w:rsid w:val="000F529D"/>
    <w:rsid w:val="000F6F01"/>
    <w:rsid w:val="000F7348"/>
    <w:rsid w:val="000F735B"/>
    <w:rsid w:val="000F7BC7"/>
    <w:rsid w:val="0010079F"/>
    <w:rsid w:val="0010109D"/>
    <w:rsid w:val="00102730"/>
    <w:rsid w:val="00103451"/>
    <w:rsid w:val="001034AC"/>
    <w:rsid w:val="00103676"/>
    <w:rsid w:val="00103D26"/>
    <w:rsid w:val="00104668"/>
    <w:rsid w:val="00106A2E"/>
    <w:rsid w:val="00111039"/>
    <w:rsid w:val="00111726"/>
    <w:rsid w:val="00112AFA"/>
    <w:rsid w:val="0011331B"/>
    <w:rsid w:val="001138CB"/>
    <w:rsid w:val="001138E8"/>
    <w:rsid w:val="00114ACF"/>
    <w:rsid w:val="00114B5D"/>
    <w:rsid w:val="00116979"/>
    <w:rsid w:val="00117669"/>
    <w:rsid w:val="00117E07"/>
    <w:rsid w:val="001202F5"/>
    <w:rsid w:val="001206C2"/>
    <w:rsid w:val="00120C2E"/>
    <w:rsid w:val="0012345B"/>
    <w:rsid w:val="00124039"/>
    <w:rsid w:val="00124B63"/>
    <w:rsid w:val="00124EA7"/>
    <w:rsid w:val="00125011"/>
    <w:rsid w:val="0012509B"/>
    <w:rsid w:val="001250FE"/>
    <w:rsid w:val="0012556D"/>
    <w:rsid w:val="0012580E"/>
    <w:rsid w:val="00125D34"/>
    <w:rsid w:val="00125E5D"/>
    <w:rsid w:val="00125FF8"/>
    <w:rsid w:val="001265B0"/>
    <w:rsid w:val="00126935"/>
    <w:rsid w:val="001273B5"/>
    <w:rsid w:val="00127C6B"/>
    <w:rsid w:val="00127C71"/>
    <w:rsid w:val="001300D7"/>
    <w:rsid w:val="0013031C"/>
    <w:rsid w:val="00131869"/>
    <w:rsid w:val="00131D72"/>
    <w:rsid w:val="00131EAF"/>
    <w:rsid w:val="00132B80"/>
    <w:rsid w:val="00132DCD"/>
    <w:rsid w:val="00132E20"/>
    <w:rsid w:val="001334AC"/>
    <w:rsid w:val="00133C7C"/>
    <w:rsid w:val="001351FC"/>
    <w:rsid w:val="00136841"/>
    <w:rsid w:val="00136889"/>
    <w:rsid w:val="00136F69"/>
    <w:rsid w:val="00137835"/>
    <w:rsid w:val="00140A46"/>
    <w:rsid w:val="001416DC"/>
    <w:rsid w:val="00142BB3"/>
    <w:rsid w:val="00142C56"/>
    <w:rsid w:val="00142E35"/>
    <w:rsid w:val="00142E60"/>
    <w:rsid w:val="001437BF"/>
    <w:rsid w:val="00143C95"/>
    <w:rsid w:val="00144343"/>
    <w:rsid w:val="00144CA0"/>
    <w:rsid w:val="00145A9C"/>
    <w:rsid w:val="00146042"/>
    <w:rsid w:val="00146217"/>
    <w:rsid w:val="00146472"/>
    <w:rsid w:val="00147C82"/>
    <w:rsid w:val="00147EA3"/>
    <w:rsid w:val="001502B2"/>
    <w:rsid w:val="0015034B"/>
    <w:rsid w:val="00150B86"/>
    <w:rsid w:val="001510D4"/>
    <w:rsid w:val="0015118E"/>
    <w:rsid w:val="00151A1A"/>
    <w:rsid w:val="00151FA5"/>
    <w:rsid w:val="00152077"/>
    <w:rsid w:val="001525E8"/>
    <w:rsid w:val="001528D1"/>
    <w:rsid w:val="0015313D"/>
    <w:rsid w:val="00153EAE"/>
    <w:rsid w:val="001550D5"/>
    <w:rsid w:val="001557DD"/>
    <w:rsid w:val="00156D70"/>
    <w:rsid w:val="0015700F"/>
    <w:rsid w:val="00157028"/>
    <w:rsid w:val="00157091"/>
    <w:rsid w:val="001602C3"/>
    <w:rsid w:val="00161846"/>
    <w:rsid w:val="00161A4E"/>
    <w:rsid w:val="00161A54"/>
    <w:rsid w:val="00161CFA"/>
    <w:rsid w:val="00161F59"/>
    <w:rsid w:val="00163A5E"/>
    <w:rsid w:val="00163A73"/>
    <w:rsid w:val="00164B77"/>
    <w:rsid w:val="00165BAA"/>
    <w:rsid w:val="00165E90"/>
    <w:rsid w:val="0016623B"/>
    <w:rsid w:val="001666D3"/>
    <w:rsid w:val="00166BF4"/>
    <w:rsid w:val="00167C6C"/>
    <w:rsid w:val="00170B3B"/>
    <w:rsid w:val="00171025"/>
    <w:rsid w:val="001714AE"/>
    <w:rsid w:val="00172306"/>
    <w:rsid w:val="001723F4"/>
    <w:rsid w:val="00173AA8"/>
    <w:rsid w:val="00174775"/>
    <w:rsid w:val="0017481B"/>
    <w:rsid w:val="00175DB7"/>
    <w:rsid w:val="00175E06"/>
    <w:rsid w:val="0017704D"/>
    <w:rsid w:val="0017717C"/>
    <w:rsid w:val="00177489"/>
    <w:rsid w:val="00180A62"/>
    <w:rsid w:val="001814B9"/>
    <w:rsid w:val="001814D3"/>
    <w:rsid w:val="0018180D"/>
    <w:rsid w:val="001818AE"/>
    <w:rsid w:val="00181960"/>
    <w:rsid w:val="00181F4F"/>
    <w:rsid w:val="001824AA"/>
    <w:rsid w:val="00183555"/>
    <w:rsid w:val="001836FE"/>
    <w:rsid w:val="001848E9"/>
    <w:rsid w:val="00185174"/>
    <w:rsid w:val="0018564F"/>
    <w:rsid w:val="0018668A"/>
    <w:rsid w:val="001872DE"/>
    <w:rsid w:val="00187E38"/>
    <w:rsid w:val="00191017"/>
    <w:rsid w:val="001914E4"/>
    <w:rsid w:val="00191DEB"/>
    <w:rsid w:val="00192833"/>
    <w:rsid w:val="00193009"/>
    <w:rsid w:val="0019390B"/>
    <w:rsid w:val="00193C35"/>
    <w:rsid w:val="0019471B"/>
    <w:rsid w:val="00194E85"/>
    <w:rsid w:val="00195465"/>
    <w:rsid w:val="00196111"/>
    <w:rsid w:val="00196FEF"/>
    <w:rsid w:val="001A0003"/>
    <w:rsid w:val="001A077B"/>
    <w:rsid w:val="001A07FC"/>
    <w:rsid w:val="001A0C3C"/>
    <w:rsid w:val="001A1CCF"/>
    <w:rsid w:val="001A1DF3"/>
    <w:rsid w:val="001A261B"/>
    <w:rsid w:val="001A2F44"/>
    <w:rsid w:val="001A3448"/>
    <w:rsid w:val="001A3A85"/>
    <w:rsid w:val="001A4082"/>
    <w:rsid w:val="001A41AD"/>
    <w:rsid w:val="001A424B"/>
    <w:rsid w:val="001A4927"/>
    <w:rsid w:val="001A50DB"/>
    <w:rsid w:val="001A696E"/>
    <w:rsid w:val="001A701A"/>
    <w:rsid w:val="001A718F"/>
    <w:rsid w:val="001A7DBD"/>
    <w:rsid w:val="001B0481"/>
    <w:rsid w:val="001B0BA2"/>
    <w:rsid w:val="001B33B7"/>
    <w:rsid w:val="001B410D"/>
    <w:rsid w:val="001B41E6"/>
    <w:rsid w:val="001B4578"/>
    <w:rsid w:val="001B4AB7"/>
    <w:rsid w:val="001B6249"/>
    <w:rsid w:val="001B63F5"/>
    <w:rsid w:val="001B74D3"/>
    <w:rsid w:val="001C0228"/>
    <w:rsid w:val="001C061E"/>
    <w:rsid w:val="001C13AE"/>
    <w:rsid w:val="001C20EB"/>
    <w:rsid w:val="001C2915"/>
    <w:rsid w:val="001C2CA9"/>
    <w:rsid w:val="001C326A"/>
    <w:rsid w:val="001C32A5"/>
    <w:rsid w:val="001C3B5C"/>
    <w:rsid w:val="001C3EC6"/>
    <w:rsid w:val="001C3F74"/>
    <w:rsid w:val="001C5620"/>
    <w:rsid w:val="001C6239"/>
    <w:rsid w:val="001C6B34"/>
    <w:rsid w:val="001C6B7E"/>
    <w:rsid w:val="001C7011"/>
    <w:rsid w:val="001C7CDA"/>
    <w:rsid w:val="001D0530"/>
    <w:rsid w:val="001D060B"/>
    <w:rsid w:val="001D0763"/>
    <w:rsid w:val="001D0EF3"/>
    <w:rsid w:val="001D13C4"/>
    <w:rsid w:val="001D2E78"/>
    <w:rsid w:val="001D373B"/>
    <w:rsid w:val="001D4F84"/>
    <w:rsid w:val="001D588B"/>
    <w:rsid w:val="001D6382"/>
    <w:rsid w:val="001D7F61"/>
    <w:rsid w:val="001E08BA"/>
    <w:rsid w:val="001E137F"/>
    <w:rsid w:val="001E1F45"/>
    <w:rsid w:val="001E25FC"/>
    <w:rsid w:val="001E28A6"/>
    <w:rsid w:val="001E3A32"/>
    <w:rsid w:val="001E481C"/>
    <w:rsid w:val="001E4A56"/>
    <w:rsid w:val="001E4D46"/>
    <w:rsid w:val="001E6781"/>
    <w:rsid w:val="001E6ABD"/>
    <w:rsid w:val="001E7C87"/>
    <w:rsid w:val="001E7F7F"/>
    <w:rsid w:val="001F0036"/>
    <w:rsid w:val="001F0E53"/>
    <w:rsid w:val="001F15C1"/>
    <w:rsid w:val="001F1D4C"/>
    <w:rsid w:val="001F20A8"/>
    <w:rsid w:val="001F3489"/>
    <w:rsid w:val="001F40FA"/>
    <w:rsid w:val="001F4306"/>
    <w:rsid w:val="001F4393"/>
    <w:rsid w:val="001F5C86"/>
    <w:rsid w:val="001F5CB8"/>
    <w:rsid w:val="001F6185"/>
    <w:rsid w:val="001F629B"/>
    <w:rsid w:val="001F69EB"/>
    <w:rsid w:val="001F6D66"/>
    <w:rsid w:val="001F702B"/>
    <w:rsid w:val="001F7E95"/>
    <w:rsid w:val="001F7F82"/>
    <w:rsid w:val="0020005A"/>
    <w:rsid w:val="002003BE"/>
    <w:rsid w:val="002006A4"/>
    <w:rsid w:val="00201197"/>
    <w:rsid w:val="002035DD"/>
    <w:rsid w:val="0020416B"/>
    <w:rsid w:val="002042F9"/>
    <w:rsid w:val="002045D5"/>
    <w:rsid w:val="0020532E"/>
    <w:rsid w:val="0020594A"/>
    <w:rsid w:val="002061ED"/>
    <w:rsid w:val="00206376"/>
    <w:rsid w:val="00207645"/>
    <w:rsid w:val="00207646"/>
    <w:rsid w:val="00207D10"/>
    <w:rsid w:val="002102AD"/>
    <w:rsid w:val="0021049D"/>
    <w:rsid w:val="00210783"/>
    <w:rsid w:val="002113C6"/>
    <w:rsid w:val="00211E4D"/>
    <w:rsid w:val="0021333A"/>
    <w:rsid w:val="00215519"/>
    <w:rsid w:val="002158C1"/>
    <w:rsid w:val="002158D5"/>
    <w:rsid w:val="00216205"/>
    <w:rsid w:val="00216331"/>
    <w:rsid w:val="00217CCD"/>
    <w:rsid w:val="0022006C"/>
    <w:rsid w:val="00220B3A"/>
    <w:rsid w:val="002218F9"/>
    <w:rsid w:val="00222440"/>
    <w:rsid w:val="00222EDD"/>
    <w:rsid w:val="00223A1B"/>
    <w:rsid w:val="002257F2"/>
    <w:rsid w:val="002259AD"/>
    <w:rsid w:val="002262BA"/>
    <w:rsid w:val="00226B19"/>
    <w:rsid w:val="00226E78"/>
    <w:rsid w:val="00227AAA"/>
    <w:rsid w:val="00230DFB"/>
    <w:rsid w:val="0023152D"/>
    <w:rsid w:val="00231955"/>
    <w:rsid w:val="00231CB3"/>
    <w:rsid w:val="00232325"/>
    <w:rsid w:val="002334F6"/>
    <w:rsid w:val="002342C4"/>
    <w:rsid w:val="0023447A"/>
    <w:rsid w:val="0023560D"/>
    <w:rsid w:val="00235A51"/>
    <w:rsid w:val="002375BD"/>
    <w:rsid w:val="00237AAA"/>
    <w:rsid w:val="002412C4"/>
    <w:rsid w:val="002418A6"/>
    <w:rsid w:val="00243266"/>
    <w:rsid w:val="00243A7C"/>
    <w:rsid w:val="00244240"/>
    <w:rsid w:val="002442B4"/>
    <w:rsid w:val="002442D4"/>
    <w:rsid w:val="0024450D"/>
    <w:rsid w:val="00244E58"/>
    <w:rsid w:val="00246590"/>
    <w:rsid w:val="00250745"/>
    <w:rsid w:val="00250F35"/>
    <w:rsid w:val="00251015"/>
    <w:rsid w:val="00251321"/>
    <w:rsid w:val="00251680"/>
    <w:rsid w:val="00251B04"/>
    <w:rsid w:val="00253DFD"/>
    <w:rsid w:val="002540EE"/>
    <w:rsid w:val="002543E5"/>
    <w:rsid w:val="002547C0"/>
    <w:rsid w:val="0025522E"/>
    <w:rsid w:val="00255A02"/>
    <w:rsid w:val="0025676C"/>
    <w:rsid w:val="00256E83"/>
    <w:rsid w:val="00260007"/>
    <w:rsid w:val="00260D33"/>
    <w:rsid w:val="002610A1"/>
    <w:rsid w:val="0026324B"/>
    <w:rsid w:val="002633B2"/>
    <w:rsid w:val="00265CBA"/>
    <w:rsid w:val="00265E04"/>
    <w:rsid w:val="00266398"/>
    <w:rsid w:val="00266D90"/>
    <w:rsid w:val="00266EB9"/>
    <w:rsid w:val="00267229"/>
    <w:rsid w:val="0026728E"/>
    <w:rsid w:val="00267569"/>
    <w:rsid w:val="002679C6"/>
    <w:rsid w:val="00267B0B"/>
    <w:rsid w:val="00267E24"/>
    <w:rsid w:val="0027058D"/>
    <w:rsid w:val="00271447"/>
    <w:rsid w:val="00271585"/>
    <w:rsid w:val="00271C42"/>
    <w:rsid w:val="00272E25"/>
    <w:rsid w:val="0027404D"/>
    <w:rsid w:val="00274EE6"/>
    <w:rsid w:val="00275F8D"/>
    <w:rsid w:val="00276204"/>
    <w:rsid w:val="002764B9"/>
    <w:rsid w:val="00276F71"/>
    <w:rsid w:val="00277077"/>
    <w:rsid w:val="00277795"/>
    <w:rsid w:val="00277DDA"/>
    <w:rsid w:val="0028070B"/>
    <w:rsid w:val="00280D05"/>
    <w:rsid w:val="00281714"/>
    <w:rsid w:val="002817BF"/>
    <w:rsid w:val="00281896"/>
    <w:rsid w:val="00281D28"/>
    <w:rsid w:val="002822E9"/>
    <w:rsid w:val="00282C79"/>
    <w:rsid w:val="00282E54"/>
    <w:rsid w:val="002830D4"/>
    <w:rsid w:val="00283568"/>
    <w:rsid w:val="00283705"/>
    <w:rsid w:val="00283C63"/>
    <w:rsid w:val="00283D68"/>
    <w:rsid w:val="00284A9A"/>
    <w:rsid w:val="002850E4"/>
    <w:rsid w:val="0028651C"/>
    <w:rsid w:val="00286800"/>
    <w:rsid w:val="002868EF"/>
    <w:rsid w:val="00287834"/>
    <w:rsid w:val="00290F9B"/>
    <w:rsid w:val="00291294"/>
    <w:rsid w:val="002917B1"/>
    <w:rsid w:val="00291CA9"/>
    <w:rsid w:val="002926EA"/>
    <w:rsid w:val="002941C1"/>
    <w:rsid w:val="002943BC"/>
    <w:rsid w:val="002948AB"/>
    <w:rsid w:val="00294967"/>
    <w:rsid w:val="00294ADD"/>
    <w:rsid w:val="00295883"/>
    <w:rsid w:val="00295A4A"/>
    <w:rsid w:val="00296DD2"/>
    <w:rsid w:val="00296EBD"/>
    <w:rsid w:val="00297138"/>
    <w:rsid w:val="00297466"/>
    <w:rsid w:val="002A053E"/>
    <w:rsid w:val="002A1CB5"/>
    <w:rsid w:val="002A2A26"/>
    <w:rsid w:val="002A3612"/>
    <w:rsid w:val="002A3C10"/>
    <w:rsid w:val="002A3DBC"/>
    <w:rsid w:val="002A47A6"/>
    <w:rsid w:val="002A4FDD"/>
    <w:rsid w:val="002A56EA"/>
    <w:rsid w:val="002A5D24"/>
    <w:rsid w:val="002A619A"/>
    <w:rsid w:val="002A67A3"/>
    <w:rsid w:val="002A67CF"/>
    <w:rsid w:val="002A7904"/>
    <w:rsid w:val="002A7AC1"/>
    <w:rsid w:val="002A7B93"/>
    <w:rsid w:val="002B0582"/>
    <w:rsid w:val="002B06A8"/>
    <w:rsid w:val="002B0A02"/>
    <w:rsid w:val="002B0A18"/>
    <w:rsid w:val="002B196A"/>
    <w:rsid w:val="002B2664"/>
    <w:rsid w:val="002B2BB9"/>
    <w:rsid w:val="002B336C"/>
    <w:rsid w:val="002B408F"/>
    <w:rsid w:val="002B482A"/>
    <w:rsid w:val="002B51F5"/>
    <w:rsid w:val="002B5547"/>
    <w:rsid w:val="002B58E6"/>
    <w:rsid w:val="002B739F"/>
    <w:rsid w:val="002B7508"/>
    <w:rsid w:val="002C0989"/>
    <w:rsid w:val="002C132A"/>
    <w:rsid w:val="002C1A99"/>
    <w:rsid w:val="002C2579"/>
    <w:rsid w:val="002C297E"/>
    <w:rsid w:val="002C29F1"/>
    <w:rsid w:val="002C3A40"/>
    <w:rsid w:val="002C4117"/>
    <w:rsid w:val="002C559E"/>
    <w:rsid w:val="002C6972"/>
    <w:rsid w:val="002C6CB1"/>
    <w:rsid w:val="002D0C87"/>
    <w:rsid w:val="002D2CB5"/>
    <w:rsid w:val="002D3D39"/>
    <w:rsid w:val="002D4788"/>
    <w:rsid w:val="002D4A1A"/>
    <w:rsid w:val="002D512C"/>
    <w:rsid w:val="002D5208"/>
    <w:rsid w:val="002D61FE"/>
    <w:rsid w:val="002D77BB"/>
    <w:rsid w:val="002D7996"/>
    <w:rsid w:val="002E131B"/>
    <w:rsid w:val="002E22AA"/>
    <w:rsid w:val="002E29B9"/>
    <w:rsid w:val="002E2AFA"/>
    <w:rsid w:val="002E39A5"/>
    <w:rsid w:val="002E444B"/>
    <w:rsid w:val="002E475B"/>
    <w:rsid w:val="002E567A"/>
    <w:rsid w:val="002E5FD6"/>
    <w:rsid w:val="002E64F9"/>
    <w:rsid w:val="002E691A"/>
    <w:rsid w:val="002E6AAB"/>
    <w:rsid w:val="002E6C25"/>
    <w:rsid w:val="002E6FA3"/>
    <w:rsid w:val="002E778C"/>
    <w:rsid w:val="002E7D7C"/>
    <w:rsid w:val="002F0432"/>
    <w:rsid w:val="002F12F4"/>
    <w:rsid w:val="002F145C"/>
    <w:rsid w:val="002F153A"/>
    <w:rsid w:val="002F28E0"/>
    <w:rsid w:val="002F297D"/>
    <w:rsid w:val="002F2ACA"/>
    <w:rsid w:val="002F3EA4"/>
    <w:rsid w:val="002F4325"/>
    <w:rsid w:val="002F466F"/>
    <w:rsid w:val="002F4B78"/>
    <w:rsid w:val="002F4E5F"/>
    <w:rsid w:val="002F4F7E"/>
    <w:rsid w:val="002F5DC0"/>
    <w:rsid w:val="002F5F37"/>
    <w:rsid w:val="002F649B"/>
    <w:rsid w:val="002F6692"/>
    <w:rsid w:val="002F6768"/>
    <w:rsid w:val="002F71BF"/>
    <w:rsid w:val="002F7B90"/>
    <w:rsid w:val="002F7C7F"/>
    <w:rsid w:val="00301C45"/>
    <w:rsid w:val="00302820"/>
    <w:rsid w:val="00302FA3"/>
    <w:rsid w:val="00303055"/>
    <w:rsid w:val="00303503"/>
    <w:rsid w:val="00303544"/>
    <w:rsid w:val="0030360C"/>
    <w:rsid w:val="00303E46"/>
    <w:rsid w:val="00303FCA"/>
    <w:rsid w:val="003046A5"/>
    <w:rsid w:val="003047AB"/>
    <w:rsid w:val="0030485C"/>
    <w:rsid w:val="00305108"/>
    <w:rsid w:val="00306043"/>
    <w:rsid w:val="003068B1"/>
    <w:rsid w:val="003069A8"/>
    <w:rsid w:val="00306AB0"/>
    <w:rsid w:val="003070C3"/>
    <w:rsid w:val="00307C01"/>
    <w:rsid w:val="00310227"/>
    <w:rsid w:val="00310606"/>
    <w:rsid w:val="00311031"/>
    <w:rsid w:val="00311094"/>
    <w:rsid w:val="00311542"/>
    <w:rsid w:val="00311A28"/>
    <w:rsid w:val="003120B5"/>
    <w:rsid w:val="00312291"/>
    <w:rsid w:val="0031230F"/>
    <w:rsid w:val="00313824"/>
    <w:rsid w:val="003138D9"/>
    <w:rsid w:val="003146C1"/>
    <w:rsid w:val="003146C6"/>
    <w:rsid w:val="003148F6"/>
    <w:rsid w:val="00315511"/>
    <w:rsid w:val="003165CC"/>
    <w:rsid w:val="00316C2E"/>
    <w:rsid w:val="00317502"/>
    <w:rsid w:val="00317968"/>
    <w:rsid w:val="00317E06"/>
    <w:rsid w:val="00320DFB"/>
    <w:rsid w:val="0032230C"/>
    <w:rsid w:val="0032234B"/>
    <w:rsid w:val="00322601"/>
    <w:rsid w:val="00322AA2"/>
    <w:rsid w:val="00322EB9"/>
    <w:rsid w:val="0032357B"/>
    <w:rsid w:val="00323855"/>
    <w:rsid w:val="00323899"/>
    <w:rsid w:val="00323CC1"/>
    <w:rsid w:val="003247A3"/>
    <w:rsid w:val="00324ED1"/>
    <w:rsid w:val="00325144"/>
    <w:rsid w:val="0032558C"/>
    <w:rsid w:val="00325F2F"/>
    <w:rsid w:val="003268D7"/>
    <w:rsid w:val="00326F41"/>
    <w:rsid w:val="003272B7"/>
    <w:rsid w:val="0032794D"/>
    <w:rsid w:val="00330597"/>
    <w:rsid w:val="0033091E"/>
    <w:rsid w:val="00330B68"/>
    <w:rsid w:val="0033153D"/>
    <w:rsid w:val="003349D2"/>
    <w:rsid w:val="00334A51"/>
    <w:rsid w:val="003360D8"/>
    <w:rsid w:val="00336265"/>
    <w:rsid w:val="003365B2"/>
    <w:rsid w:val="00336A2F"/>
    <w:rsid w:val="00336E60"/>
    <w:rsid w:val="003378B0"/>
    <w:rsid w:val="00340AD4"/>
    <w:rsid w:val="00340CAF"/>
    <w:rsid w:val="003413B8"/>
    <w:rsid w:val="00341840"/>
    <w:rsid w:val="00341D66"/>
    <w:rsid w:val="00342552"/>
    <w:rsid w:val="00342C96"/>
    <w:rsid w:val="00342FB8"/>
    <w:rsid w:val="0034385E"/>
    <w:rsid w:val="00343DF8"/>
    <w:rsid w:val="0034479B"/>
    <w:rsid w:val="00344894"/>
    <w:rsid w:val="0034515A"/>
    <w:rsid w:val="00345692"/>
    <w:rsid w:val="00345921"/>
    <w:rsid w:val="0034631E"/>
    <w:rsid w:val="00346CAC"/>
    <w:rsid w:val="00346F78"/>
    <w:rsid w:val="003479CE"/>
    <w:rsid w:val="00347A8D"/>
    <w:rsid w:val="00347F10"/>
    <w:rsid w:val="003508F0"/>
    <w:rsid w:val="0035172C"/>
    <w:rsid w:val="00351A6A"/>
    <w:rsid w:val="003525A1"/>
    <w:rsid w:val="00352918"/>
    <w:rsid w:val="00352FCE"/>
    <w:rsid w:val="00353461"/>
    <w:rsid w:val="003536A2"/>
    <w:rsid w:val="00353F8D"/>
    <w:rsid w:val="00354483"/>
    <w:rsid w:val="00354BD8"/>
    <w:rsid w:val="00354DFB"/>
    <w:rsid w:val="00355249"/>
    <w:rsid w:val="00355402"/>
    <w:rsid w:val="00355A3D"/>
    <w:rsid w:val="00355C0F"/>
    <w:rsid w:val="00356633"/>
    <w:rsid w:val="00356804"/>
    <w:rsid w:val="00357D71"/>
    <w:rsid w:val="00357DD7"/>
    <w:rsid w:val="00362052"/>
    <w:rsid w:val="00362591"/>
    <w:rsid w:val="00364105"/>
    <w:rsid w:val="00364947"/>
    <w:rsid w:val="00365ADD"/>
    <w:rsid w:val="0036628B"/>
    <w:rsid w:val="00366424"/>
    <w:rsid w:val="003674B6"/>
    <w:rsid w:val="00367D47"/>
    <w:rsid w:val="0037060B"/>
    <w:rsid w:val="00371410"/>
    <w:rsid w:val="003718CA"/>
    <w:rsid w:val="00371D62"/>
    <w:rsid w:val="00372233"/>
    <w:rsid w:val="00372410"/>
    <w:rsid w:val="00372D7C"/>
    <w:rsid w:val="0037303F"/>
    <w:rsid w:val="00374723"/>
    <w:rsid w:val="003754CB"/>
    <w:rsid w:val="00375C12"/>
    <w:rsid w:val="00375C16"/>
    <w:rsid w:val="00375CA3"/>
    <w:rsid w:val="00375CF3"/>
    <w:rsid w:val="00375D8C"/>
    <w:rsid w:val="00375DC5"/>
    <w:rsid w:val="00375F0E"/>
    <w:rsid w:val="00380726"/>
    <w:rsid w:val="00382A98"/>
    <w:rsid w:val="0038318D"/>
    <w:rsid w:val="003833C9"/>
    <w:rsid w:val="00383477"/>
    <w:rsid w:val="00383BEA"/>
    <w:rsid w:val="003840B1"/>
    <w:rsid w:val="0038411A"/>
    <w:rsid w:val="003848BC"/>
    <w:rsid w:val="003851F9"/>
    <w:rsid w:val="00385D73"/>
    <w:rsid w:val="00386946"/>
    <w:rsid w:val="003873EE"/>
    <w:rsid w:val="00387D3A"/>
    <w:rsid w:val="00390223"/>
    <w:rsid w:val="00390A03"/>
    <w:rsid w:val="00391417"/>
    <w:rsid w:val="0039154D"/>
    <w:rsid w:val="00391CDC"/>
    <w:rsid w:val="003931DE"/>
    <w:rsid w:val="003936D3"/>
    <w:rsid w:val="0039392C"/>
    <w:rsid w:val="003951A7"/>
    <w:rsid w:val="00395251"/>
    <w:rsid w:val="003965B0"/>
    <w:rsid w:val="00396D10"/>
    <w:rsid w:val="00397A2B"/>
    <w:rsid w:val="00397C77"/>
    <w:rsid w:val="003A06AA"/>
    <w:rsid w:val="003A0BE6"/>
    <w:rsid w:val="003A10E3"/>
    <w:rsid w:val="003A133E"/>
    <w:rsid w:val="003A2741"/>
    <w:rsid w:val="003A3642"/>
    <w:rsid w:val="003A3BB1"/>
    <w:rsid w:val="003A3C8D"/>
    <w:rsid w:val="003A3FB6"/>
    <w:rsid w:val="003A48FC"/>
    <w:rsid w:val="003A4D3B"/>
    <w:rsid w:val="003A4E89"/>
    <w:rsid w:val="003A581B"/>
    <w:rsid w:val="003A622F"/>
    <w:rsid w:val="003A6B4B"/>
    <w:rsid w:val="003A71CF"/>
    <w:rsid w:val="003B062B"/>
    <w:rsid w:val="003B17DB"/>
    <w:rsid w:val="003B1B3E"/>
    <w:rsid w:val="003B314B"/>
    <w:rsid w:val="003B3959"/>
    <w:rsid w:val="003B3A13"/>
    <w:rsid w:val="003B4264"/>
    <w:rsid w:val="003B4308"/>
    <w:rsid w:val="003B56C0"/>
    <w:rsid w:val="003B5FFF"/>
    <w:rsid w:val="003B6417"/>
    <w:rsid w:val="003B70D4"/>
    <w:rsid w:val="003B7C42"/>
    <w:rsid w:val="003B7E1C"/>
    <w:rsid w:val="003B7EF9"/>
    <w:rsid w:val="003C092D"/>
    <w:rsid w:val="003C0AEC"/>
    <w:rsid w:val="003C18F2"/>
    <w:rsid w:val="003C1DBE"/>
    <w:rsid w:val="003C3000"/>
    <w:rsid w:val="003C3366"/>
    <w:rsid w:val="003C5627"/>
    <w:rsid w:val="003C5A18"/>
    <w:rsid w:val="003C6836"/>
    <w:rsid w:val="003C6865"/>
    <w:rsid w:val="003C7166"/>
    <w:rsid w:val="003C7252"/>
    <w:rsid w:val="003C7CBD"/>
    <w:rsid w:val="003D0090"/>
    <w:rsid w:val="003D0E8B"/>
    <w:rsid w:val="003D1CFE"/>
    <w:rsid w:val="003D1FDB"/>
    <w:rsid w:val="003D2385"/>
    <w:rsid w:val="003D24A3"/>
    <w:rsid w:val="003D2CD2"/>
    <w:rsid w:val="003D3C76"/>
    <w:rsid w:val="003D3EE1"/>
    <w:rsid w:val="003D5105"/>
    <w:rsid w:val="003D6497"/>
    <w:rsid w:val="003D67AA"/>
    <w:rsid w:val="003D6F7D"/>
    <w:rsid w:val="003D753F"/>
    <w:rsid w:val="003E139F"/>
    <w:rsid w:val="003E17A6"/>
    <w:rsid w:val="003E2052"/>
    <w:rsid w:val="003E3381"/>
    <w:rsid w:val="003E3F26"/>
    <w:rsid w:val="003E4315"/>
    <w:rsid w:val="003E4C05"/>
    <w:rsid w:val="003E53E3"/>
    <w:rsid w:val="003E5607"/>
    <w:rsid w:val="003E60ED"/>
    <w:rsid w:val="003E63AB"/>
    <w:rsid w:val="003E6A54"/>
    <w:rsid w:val="003E7618"/>
    <w:rsid w:val="003F01A7"/>
    <w:rsid w:val="003F31AE"/>
    <w:rsid w:val="003F4775"/>
    <w:rsid w:val="003F4BC8"/>
    <w:rsid w:val="003F562B"/>
    <w:rsid w:val="003F56D4"/>
    <w:rsid w:val="003F629F"/>
    <w:rsid w:val="003F66D1"/>
    <w:rsid w:val="003F67D7"/>
    <w:rsid w:val="003F79C7"/>
    <w:rsid w:val="003F7DDC"/>
    <w:rsid w:val="00400C8B"/>
    <w:rsid w:val="00400E1D"/>
    <w:rsid w:val="00401046"/>
    <w:rsid w:val="00402257"/>
    <w:rsid w:val="00403932"/>
    <w:rsid w:val="004043B2"/>
    <w:rsid w:val="0040451F"/>
    <w:rsid w:val="0040494B"/>
    <w:rsid w:val="00404B5B"/>
    <w:rsid w:val="00405B89"/>
    <w:rsid w:val="00405CE9"/>
    <w:rsid w:val="00406D3A"/>
    <w:rsid w:val="0041052B"/>
    <w:rsid w:val="004105B3"/>
    <w:rsid w:val="00410A34"/>
    <w:rsid w:val="00410F80"/>
    <w:rsid w:val="004111FE"/>
    <w:rsid w:val="00411FB6"/>
    <w:rsid w:val="00412441"/>
    <w:rsid w:val="00412582"/>
    <w:rsid w:val="00413112"/>
    <w:rsid w:val="00413C91"/>
    <w:rsid w:val="004146C5"/>
    <w:rsid w:val="00414E33"/>
    <w:rsid w:val="00415432"/>
    <w:rsid w:val="00415F81"/>
    <w:rsid w:val="0041604D"/>
    <w:rsid w:val="004162C6"/>
    <w:rsid w:val="0041667C"/>
    <w:rsid w:val="00420D94"/>
    <w:rsid w:val="00421446"/>
    <w:rsid w:val="00421A52"/>
    <w:rsid w:val="00421BB4"/>
    <w:rsid w:val="00421F0D"/>
    <w:rsid w:val="004226D1"/>
    <w:rsid w:val="004230AB"/>
    <w:rsid w:val="0042353A"/>
    <w:rsid w:val="0042380E"/>
    <w:rsid w:val="00423FAC"/>
    <w:rsid w:val="00424112"/>
    <w:rsid w:val="00424325"/>
    <w:rsid w:val="00424734"/>
    <w:rsid w:val="00424CC7"/>
    <w:rsid w:val="004251FE"/>
    <w:rsid w:val="004257B7"/>
    <w:rsid w:val="00425B6A"/>
    <w:rsid w:val="00425FF2"/>
    <w:rsid w:val="00426AC2"/>
    <w:rsid w:val="0043055E"/>
    <w:rsid w:val="00430695"/>
    <w:rsid w:val="00431815"/>
    <w:rsid w:val="00431EBF"/>
    <w:rsid w:val="004320C8"/>
    <w:rsid w:val="00432406"/>
    <w:rsid w:val="004331B8"/>
    <w:rsid w:val="004332FD"/>
    <w:rsid w:val="00433774"/>
    <w:rsid w:val="00433ECC"/>
    <w:rsid w:val="00433F92"/>
    <w:rsid w:val="0043429D"/>
    <w:rsid w:val="00434555"/>
    <w:rsid w:val="0043470C"/>
    <w:rsid w:val="00434953"/>
    <w:rsid w:val="00434DE2"/>
    <w:rsid w:val="00436953"/>
    <w:rsid w:val="00436D93"/>
    <w:rsid w:val="00437613"/>
    <w:rsid w:val="00437886"/>
    <w:rsid w:val="00440088"/>
    <w:rsid w:val="004402EA"/>
    <w:rsid w:val="00441F3B"/>
    <w:rsid w:val="004429B3"/>
    <w:rsid w:val="00443729"/>
    <w:rsid w:val="00444034"/>
    <w:rsid w:val="0044426F"/>
    <w:rsid w:val="004449D1"/>
    <w:rsid w:val="00444CD2"/>
    <w:rsid w:val="00445FCA"/>
    <w:rsid w:val="00446540"/>
    <w:rsid w:val="00446D77"/>
    <w:rsid w:val="00446DB0"/>
    <w:rsid w:val="0044737D"/>
    <w:rsid w:val="00447A41"/>
    <w:rsid w:val="00450404"/>
    <w:rsid w:val="00450702"/>
    <w:rsid w:val="004508ED"/>
    <w:rsid w:val="00450B2B"/>
    <w:rsid w:val="00452202"/>
    <w:rsid w:val="004528CD"/>
    <w:rsid w:val="00452A31"/>
    <w:rsid w:val="0045429E"/>
    <w:rsid w:val="004543DA"/>
    <w:rsid w:val="00454DE5"/>
    <w:rsid w:val="00457622"/>
    <w:rsid w:val="00457D87"/>
    <w:rsid w:val="004608BC"/>
    <w:rsid w:val="0046325C"/>
    <w:rsid w:val="00463345"/>
    <w:rsid w:val="004634A3"/>
    <w:rsid w:val="004635CC"/>
    <w:rsid w:val="00463B52"/>
    <w:rsid w:val="00464202"/>
    <w:rsid w:val="0046470F"/>
    <w:rsid w:val="00464976"/>
    <w:rsid w:val="00464B75"/>
    <w:rsid w:val="00464E14"/>
    <w:rsid w:val="004651D7"/>
    <w:rsid w:val="00465CCD"/>
    <w:rsid w:val="00465FDC"/>
    <w:rsid w:val="00466233"/>
    <w:rsid w:val="00466827"/>
    <w:rsid w:val="00466AF6"/>
    <w:rsid w:val="00466CE4"/>
    <w:rsid w:val="004676E3"/>
    <w:rsid w:val="00467B17"/>
    <w:rsid w:val="0047020A"/>
    <w:rsid w:val="00471680"/>
    <w:rsid w:val="004721F9"/>
    <w:rsid w:val="00472918"/>
    <w:rsid w:val="00473710"/>
    <w:rsid w:val="00473A28"/>
    <w:rsid w:val="00473A2E"/>
    <w:rsid w:val="0047553B"/>
    <w:rsid w:val="00475F3C"/>
    <w:rsid w:val="00477B0D"/>
    <w:rsid w:val="0048047A"/>
    <w:rsid w:val="004819E5"/>
    <w:rsid w:val="00481C92"/>
    <w:rsid w:val="0048201C"/>
    <w:rsid w:val="00482180"/>
    <w:rsid w:val="0048228D"/>
    <w:rsid w:val="004829F2"/>
    <w:rsid w:val="0048390D"/>
    <w:rsid w:val="00483BB8"/>
    <w:rsid w:val="00483D0B"/>
    <w:rsid w:val="00484756"/>
    <w:rsid w:val="00484D59"/>
    <w:rsid w:val="00484F81"/>
    <w:rsid w:val="004854CF"/>
    <w:rsid w:val="00485543"/>
    <w:rsid w:val="004857D2"/>
    <w:rsid w:val="00485DAD"/>
    <w:rsid w:val="0048621E"/>
    <w:rsid w:val="004907ED"/>
    <w:rsid w:val="004909C1"/>
    <w:rsid w:val="0049104E"/>
    <w:rsid w:val="00491EE5"/>
    <w:rsid w:val="00492402"/>
    <w:rsid w:val="00492965"/>
    <w:rsid w:val="00492F90"/>
    <w:rsid w:val="00492FF4"/>
    <w:rsid w:val="00493252"/>
    <w:rsid w:val="00493B14"/>
    <w:rsid w:val="0049504E"/>
    <w:rsid w:val="004957D1"/>
    <w:rsid w:val="00497CED"/>
    <w:rsid w:val="004A0A9F"/>
    <w:rsid w:val="004A172E"/>
    <w:rsid w:val="004A295E"/>
    <w:rsid w:val="004A3910"/>
    <w:rsid w:val="004A4775"/>
    <w:rsid w:val="004A591C"/>
    <w:rsid w:val="004A6939"/>
    <w:rsid w:val="004A69EA"/>
    <w:rsid w:val="004A7444"/>
    <w:rsid w:val="004A7939"/>
    <w:rsid w:val="004A7ED9"/>
    <w:rsid w:val="004B01B9"/>
    <w:rsid w:val="004B0AB0"/>
    <w:rsid w:val="004B18A7"/>
    <w:rsid w:val="004B1E77"/>
    <w:rsid w:val="004B209F"/>
    <w:rsid w:val="004B20FB"/>
    <w:rsid w:val="004B22A5"/>
    <w:rsid w:val="004B2A6A"/>
    <w:rsid w:val="004B352B"/>
    <w:rsid w:val="004B5118"/>
    <w:rsid w:val="004B5721"/>
    <w:rsid w:val="004B6EFE"/>
    <w:rsid w:val="004B7EE0"/>
    <w:rsid w:val="004B7F08"/>
    <w:rsid w:val="004C2C76"/>
    <w:rsid w:val="004C2E81"/>
    <w:rsid w:val="004C2F56"/>
    <w:rsid w:val="004C2FD3"/>
    <w:rsid w:val="004C351A"/>
    <w:rsid w:val="004C36CD"/>
    <w:rsid w:val="004C3FA5"/>
    <w:rsid w:val="004C58E8"/>
    <w:rsid w:val="004C610F"/>
    <w:rsid w:val="004C6650"/>
    <w:rsid w:val="004C7052"/>
    <w:rsid w:val="004C76BB"/>
    <w:rsid w:val="004C7BE1"/>
    <w:rsid w:val="004C7EEA"/>
    <w:rsid w:val="004D0841"/>
    <w:rsid w:val="004D1366"/>
    <w:rsid w:val="004D1C99"/>
    <w:rsid w:val="004D1EBF"/>
    <w:rsid w:val="004D4B87"/>
    <w:rsid w:val="004D53B1"/>
    <w:rsid w:val="004D5A0F"/>
    <w:rsid w:val="004D5CD0"/>
    <w:rsid w:val="004D61D2"/>
    <w:rsid w:val="004D65EA"/>
    <w:rsid w:val="004E0375"/>
    <w:rsid w:val="004E11D9"/>
    <w:rsid w:val="004E2616"/>
    <w:rsid w:val="004E2747"/>
    <w:rsid w:val="004E2ABA"/>
    <w:rsid w:val="004E302E"/>
    <w:rsid w:val="004E3656"/>
    <w:rsid w:val="004E3AD2"/>
    <w:rsid w:val="004E4376"/>
    <w:rsid w:val="004E5617"/>
    <w:rsid w:val="004E5A71"/>
    <w:rsid w:val="004E5B01"/>
    <w:rsid w:val="004E63E9"/>
    <w:rsid w:val="004E6DC5"/>
    <w:rsid w:val="004E7E87"/>
    <w:rsid w:val="004F020C"/>
    <w:rsid w:val="004F1F87"/>
    <w:rsid w:val="004F2264"/>
    <w:rsid w:val="004F487C"/>
    <w:rsid w:val="004F48FC"/>
    <w:rsid w:val="004F532C"/>
    <w:rsid w:val="004F6355"/>
    <w:rsid w:val="004F6E9B"/>
    <w:rsid w:val="004F7038"/>
    <w:rsid w:val="004F7C6B"/>
    <w:rsid w:val="004F7D17"/>
    <w:rsid w:val="0050083F"/>
    <w:rsid w:val="00501191"/>
    <w:rsid w:val="00501218"/>
    <w:rsid w:val="00501449"/>
    <w:rsid w:val="00501D22"/>
    <w:rsid w:val="00501F20"/>
    <w:rsid w:val="0050297A"/>
    <w:rsid w:val="00502D7A"/>
    <w:rsid w:val="005042DA"/>
    <w:rsid w:val="00504686"/>
    <w:rsid w:val="00504B68"/>
    <w:rsid w:val="00505B05"/>
    <w:rsid w:val="00506CC3"/>
    <w:rsid w:val="00506EB8"/>
    <w:rsid w:val="00507CC9"/>
    <w:rsid w:val="00507E5B"/>
    <w:rsid w:val="00510BF5"/>
    <w:rsid w:val="00510CE7"/>
    <w:rsid w:val="005124DF"/>
    <w:rsid w:val="005144A5"/>
    <w:rsid w:val="005149FB"/>
    <w:rsid w:val="00514CC4"/>
    <w:rsid w:val="005151AF"/>
    <w:rsid w:val="00515E0F"/>
    <w:rsid w:val="00517BE6"/>
    <w:rsid w:val="00520A8D"/>
    <w:rsid w:val="0052119C"/>
    <w:rsid w:val="00521274"/>
    <w:rsid w:val="00522285"/>
    <w:rsid w:val="005226B5"/>
    <w:rsid w:val="00523306"/>
    <w:rsid w:val="00524982"/>
    <w:rsid w:val="0052553B"/>
    <w:rsid w:val="00525D8B"/>
    <w:rsid w:val="0052637F"/>
    <w:rsid w:val="00526822"/>
    <w:rsid w:val="00527178"/>
    <w:rsid w:val="00527BB0"/>
    <w:rsid w:val="005302B3"/>
    <w:rsid w:val="005312E5"/>
    <w:rsid w:val="00531A91"/>
    <w:rsid w:val="00533344"/>
    <w:rsid w:val="005333DE"/>
    <w:rsid w:val="0053350E"/>
    <w:rsid w:val="005335FD"/>
    <w:rsid w:val="00533EBC"/>
    <w:rsid w:val="00533F25"/>
    <w:rsid w:val="005342F3"/>
    <w:rsid w:val="00534AC7"/>
    <w:rsid w:val="00535013"/>
    <w:rsid w:val="005352A7"/>
    <w:rsid w:val="00536222"/>
    <w:rsid w:val="0053683B"/>
    <w:rsid w:val="00536E3C"/>
    <w:rsid w:val="00537695"/>
    <w:rsid w:val="0054170B"/>
    <w:rsid w:val="0054191E"/>
    <w:rsid w:val="0054196A"/>
    <w:rsid w:val="00541D8C"/>
    <w:rsid w:val="00542306"/>
    <w:rsid w:val="00542438"/>
    <w:rsid w:val="005427A5"/>
    <w:rsid w:val="00542FCB"/>
    <w:rsid w:val="0054322D"/>
    <w:rsid w:val="005444CA"/>
    <w:rsid w:val="0054485C"/>
    <w:rsid w:val="00545090"/>
    <w:rsid w:val="00545653"/>
    <w:rsid w:val="00546C45"/>
    <w:rsid w:val="0054721F"/>
    <w:rsid w:val="00552E63"/>
    <w:rsid w:val="00553F21"/>
    <w:rsid w:val="00553F3A"/>
    <w:rsid w:val="0055542A"/>
    <w:rsid w:val="005557AD"/>
    <w:rsid w:val="00556303"/>
    <w:rsid w:val="0055673B"/>
    <w:rsid w:val="00556D02"/>
    <w:rsid w:val="005572C4"/>
    <w:rsid w:val="005577CB"/>
    <w:rsid w:val="0056030F"/>
    <w:rsid w:val="00560DF1"/>
    <w:rsid w:val="00561639"/>
    <w:rsid w:val="00561D18"/>
    <w:rsid w:val="0056266C"/>
    <w:rsid w:val="00562A1C"/>
    <w:rsid w:val="005639F7"/>
    <w:rsid w:val="00563D89"/>
    <w:rsid w:val="00564069"/>
    <w:rsid w:val="005643A5"/>
    <w:rsid w:val="005648D4"/>
    <w:rsid w:val="00564A69"/>
    <w:rsid w:val="005654DC"/>
    <w:rsid w:val="00565D6F"/>
    <w:rsid w:val="00565E5B"/>
    <w:rsid w:val="00566780"/>
    <w:rsid w:val="00566FD9"/>
    <w:rsid w:val="00567F9E"/>
    <w:rsid w:val="005700DA"/>
    <w:rsid w:val="00570C8D"/>
    <w:rsid w:val="0057192A"/>
    <w:rsid w:val="00571D36"/>
    <w:rsid w:val="00571D63"/>
    <w:rsid w:val="00571F9E"/>
    <w:rsid w:val="00573382"/>
    <w:rsid w:val="00574C2E"/>
    <w:rsid w:val="005751FF"/>
    <w:rsid w:val="0057520B"/>
    <w:rsid w:val="00575CA8"/>
    <w:rsid w:val="00576248"/>
    <w:rsid w:val="00577999"/>
    <w:rsid w:val="005800F6"/>
    <w:rsid w:val="005806AD"/>
    <w:rsid w:val="00580B20"/>
    <w:rsid w:val="0058132C"/>
    <w:rsid w:val="005820EE"/>
    <w:rsid w:val="0058231B"/>
    <w:rsid w:val="0058337D"/>
    <w:rsid w:val="00583C31"/>
    <w:rsid w:val="00583C91"/>
    <w:rsid w:val="005849B7"/>
    <w:rsid w:val="0058559E"/>
    <w:rsid w:val="00585859"/>
    <w:rsid w:val="00586599"/>
    <w:rsid w:val="005876CC"/>
    <w:rsid w:val="005910A5"/>
    <w:rsid w:val="00591820"/>
    <w:rsid w:val="00591AB0"/>
    <w:rsid w:val="00591EB2"/>
    <w:rsid w:val="00592621"/>
    <w:rsid w:val="0059275A"/>
    <w:rsid w:val="00592D3C"/>
    <w:rsid w:val="005932DB"/>
    <w:rsid w:val="005935CF"/>
    <w:rsid w:val="00593F5D"/>
    <w:rsid w:val="00594AEF"/>
    <w:rsid w:val="0059544A"/>
    <w:rsid w:val="00595808"/>
    <w:rsid w:val="00595FC1"/>
    <w:rsid w:val="005960D2"/>
    <w:rsid w:val="005968CE"/>
    <w:rsid w:val="005969C7"/>
    <w:rsid w:val="00596D19"/>
    <w:rsid w:val="00597F8B"/>
    <w:rsid w:val="005A0B73"/>
    <w:rsid w:val="005A0BC0"/>
    <w:rsid w:val="005A1F4A"/>
    <w:rsid w:val="005A28B4"/>
    <w:rsid w:val="005A29E6"/>
    <w:rsid w:val="005A31FF"/>
    <w:rsid w:val="005A3724"/>
    <w:rsid w:val="005A3A5B"/>
    <w:rsid w:val="005A4080"/>
    <w:rsid w:val="005A4B7B"/>
    <w:rsid w:val="005A4EF8"/>
    <w:rsid w:val="005A500F"/>
    <w:rsid w:val="005A649A"/>
    <w:rsid w:val="005A651E"/>
    <w:rsid w:val="005A71B8"/>
    <w:rsid w:val="005B1EA7"/>
    <w:rsid w:val="005B1F73"/>
    <w:rsid w:val="005B26B8"/>
    <w:rsid w:val="005B31BC"/>
    <w:rsid w:val="005B3E8B"/>
    <w:rsid w:val="005B44F7"/>
    <w:rsid w:val="005B5CA0"/>
    <w:rsid w:val="005B6E47"/>
    <w:rsid w:val="005B7862"/>
    <w:rsid w:val="005B79AE"/>
    <w:rsid w:val="005B7C94"/>
    <w:rsid w:val="005C051E"/>
    <w:rsid w:val="005C1A76"/>
    <w:rsid w:val="005C1ED2"/>
    <w:rsid w:val="005C26A7"/>
    <w:rsid w:val="005C27BF"/>
    <w:rsid w:val="005C284E"/>
    <w:rsid w:val="005C346F"/>
    <w:rsid w:val="005C3A33"/>
    <w:rsid w:val="005C3F2E"/>
    <w:rsid w:val="005C431C"/>
    <w:rsid w:val="005C4D44"/>
    <w:rsid w:val="005C6125"/>
    <w:rsid w:val="005C6834"/>
    <w:rsid w:val="005C68A0"/>
    <w:rsid w:val="005C746A"/>
    <w:rsid w:val="005C775F"/>
    <w:rsid w:val="005D0577"/>
    <w:rsid w:val="005D0A51"/>
    <w:rsid w:val="005D0C24"/>
    <w:rsid w:val="005D0E77"/>
    <w:rsid w:val="005D150E"/>
    <w:rsid w:val="005D1D00"/>
    <w:rsid w:val="005D3456"/>
    <w:rsid w:val="005D3809"/>
    <w:rsid w:val="005D4C19"/>
    <w:rsid w:val="005D4FDC"/>
    <w:rsid w:val="005D6183"/>
    <w:rsid w:val="005D763B"/>
    <w:rsid w:val="005D7B6A"/>
    <w:rsid w:val="005E056D"/>
    <w:rsid w:val="005E19A9"/>
    <w:rsid w:val="005E1A2D"/>
    <w:rsid w:val="005E32F4"/>
    <w:rsid w:val="005E3A48"/>
    <w:rsid w:val="005E4A22"/>
    <w:rsid w:val="005E54E5"/>
    <w:rsid w:val="005E57CB"/>
    <w:rsid w:val="005E5CCE"/>
    <w:rsid w:val="005E65FA"/>
    <w:rsid w:val="005E6EBB"/>
    <w:rsid w:val="005E73E8"/>
    <w:rsid w:val="005E7E8A"/>
    <w:rsid w:val="005E7E8E"/>
    <w:rsid w:val="005F01EA"/>
    <w:rsid w:val="005F0D82"/>
    <w:rsid w:val="005F23CD"/>
    <w:rsid w:val="005F2D49"/>
    <w:rsid w:val="005F41C2"/>
    <w:rsid w:val="005F4509"/>
    <w:rsid w:val="005F461A"/>
    <w:rsid w:val="005F5727"/>
    <w:rsid w:val="005F6434"/>
    <w:rsid w:val="005F64EE"/>
    <w:rsid w:val="005F6808"/>
    <w:rsid w:val="005F79A0"/>
    <w:rsid w:val="005F7FD3"/>
    <w:rsid w:val="00600180"/>
    <w:rsid w:val="00600299"/>
    <w:rsid w:val="00601F19"/>
    <w:rsid w:val="00602F5D"/>
    <w:rsid w:val="00602F6A"/>
    <w:rsid w:val="00603865"/>
    <w:rsid w:val="00604BC7"/>
    <w:rsid w:val="006060D0"/>
    <w:rsid w:val="00606850"/>
    <w:rsid w:val="00606C83"/>
    <w:rsid w:val="00606DF6"/>
    <w:rsid w:val="006109B2"/>
    <w:rsid w:val="00610E8D"/>
    <w:rsid w:val="00612358"/>
    <w:rsid w:val="00612468"/>
    <w:rsid w:val="006137B4"/>
    <w:rsid w:val="006139AD"/>
    <w:rsid w:val="00613FC4"/>
    <w:rsid w:val="00613FFF"/>
    <w:rsid w:val="00614450"/>
    <w:rsid w:val="0061601C"/>
    <w:rsid w:val="00616496"/>
    <w:rsid w:val="0061651B"/>
    <w:rsid w:val="00616E48"/>
    <w:rsid w:val="006175E4"/>
    <w:rsid w:val="00617A1B"/>
    <w:rsid w:val="00617D86"/>
    <w:rsid w:val="0062190B"/>
    <w:rsid w:val="00622CA2"/>
    <w:rsid w:val="00622CB5"/>
    <w:rsid w:val="00622ECB"/>
    <w:rsid w:val="00622F8B"/>
    <w:rsid w:val="006233BF"/>
    <w:rsid w:val="006233C2"/>
    <w:rsid w:val="00623635"/>
    <w:rsid w:val="00624812"/>
    <w:rsid w:val="00624B7F"/>
    <w:rsid w:val="0062573A"/>
    <w:rsid w:val="00626412"/>
    <w:rsid w:val="00627487"/>
    <w:rsid w:val="0062777C"/>
    <w:rsid w:val="00627B57"/>
    <w:rsid w:val="00627D7B"/>
    <w:rsid w:val="00630A57"/>
    <w:rsid w:val="00631266"/>
    <w:rsid w:val="00632C19"/>
    <w:rsid w:val="00632F28"/>
    <w:rsid w:val="00632FA4"/>
    <w:rsid w:val="00633F4E"/>
    <w:rsid w:val="00634331"/>
    <w:rsid w:val="00634645"/>
    <w:rsid w:val="00634EA3"/>
    <w:rsid w:val="00635330"/>
    <w:rsid w:val="00635C16"/>
    <w:rsid w:val="00636F96"/>
    <w:rsid w:val="006370CA"/>
    <w:rsid w:val="00637AD2"/>
    <w:rsid w:val="00637B52"/>
    <w:rsid w:val="00637D34"/>
    <w:rsid w:val="00640DB2"/>
    <w:rsid w:val="006410F4"/>
    <w:rsid w:val="00641530"/>
    <w:rsid w:val="00641E71"/>
    <w:rsid w:val="00644184"/>
    <w:rsid w:val="00644425"/>
    <w:rsid w:val="00644BB0"/>
    <w:rsid w:val="00644D43"/>
    <w:rsid w:val="006451E4"/>
    <w:rsid w:val="00646078"/>
    <w:rsid w:val="006460B6"/>
    <w:rsid w:val="006479C5"/>
    <w:rsid w:val="0065019E"/>
    <w:rsid w:val="00650D2E"/>
    <w:rsid w:val="006514A3"/>
    <w:rsid w:val="00651836"/>
    <w:rsid w:val="00651EF3"/>
    <w:rsid w:val="00652266"/>
    <w:rsid w:val="006522C0"/>
    <w:rsid w:val="00652F54"/>
    <w:rsid w:val="00653546"/>
    <w:rsid w:val="006545CF"/>
    <w:rsid w:val="00654A27"/>
    <w:rsid w:val="006561FB"/>
    <w:rsid w:val="006573DA"/>
    <w:rsid w:val="00657B10"/>
    <w:rsid w:val="006605D5"/>
    <w:rsid w:val="00660885"/>
    <w:rsid w:val="00660BAA"/>
    <w:rsid w:val="0066158F"/>
    <w:rsid w:val="00661E25"/>
    <w:rsid w:val="006631E1"/>
    <w:rsid w:val="00664773"/>
    <w:rsid w:val="00665699"/>
    <w:rsid w:val="006669EA"/>
    <w:rsid w:val="00666A74"/>
    <w:rsid w:val="00666FC8"/>
    <w:rsid w:val="00667CBA"/>
    <w:rsid w:val="0067047B"/>
    <w:rsid w:val="0067059C"/>
    <w:rsid w:val="00672B09"/>
    <w:rsid w:val="00673B75"/>
    <w:rsid w:val="00673F13"/>
    <w:rsid w:val="006749CF"/>
    <w:rsid w:val="00674CD3"/>
    <w:rsid w:val="00674D4B"/>
    <w:rsid w:val="00674EB0"/>
    <w:rsid w:val="006759EA"/>
    <w:rsid w:val="00675A18"/>
    <w:rsid w:val="006765BF"/>
    <w:rsid w:val="006777CA"/>
    <w:rsid w:val="006778DE"/>
    <w:rsid w:val="00677DD0"/>
    <w:rsid w:val="00677F51"/>
    <w:rsid w:val="00680C18"/>
    <w:rsid w:val="006810D0"/>
    <w:rsid w:val="00681157"/>
    <w:rsid w:val="006813C6"/>
    <w:rsid w:val="0068182C"/>
    <w:rsid w:val="00681CB6"/>
    <w:rsid w:val="00682EA8"/>
    <w:rsid w:val="0068401A"/>
    <w:rsid w:val="006844E4"/>
    <w:rsid w:val="00684E0E"/>
    <w:rsid w:val="00685538"/>
    <w:rsid w:val="00686116"/>
    <w:rsid w:val="00686E49"/>
    <w:rsid w:val="0068775C"/>
    <w:rsid w:val="0069045E"/>
    <w:rsid w:val="00690ACE"/>
    <w:rsid w:val="00690F0B"/>
    <w:rsid w:val="00690F73"/>
    <w:rsid w:val="006915D0"/>
    <w:rsid w:val="00691F3D"/>
    <w:rsid w:val="0069347F"/>
    <w:rsid w:val="0069350D"/>
    <w:rsid w:val="006943D1"/>
    <w:rsid w:val="00694B8E"/>
    <w:rsid w:val="0069534A"/>
    <w:rsid w:val="0069572F"/>
    <w:rsid w:val="00695B88"/>
    <w:rsid w:val="00695E1E"/>
    <w:rsid w:val="0069619A"/>
    <w:rsid w:val="0069620B"/>
    <w:rsid w:val="00697A5F"/>
    <w:rsid w:val="006A0058"/>
    <w:rsid w:val="006A10BC"/>
    <w:rsid w:val="006A1A62"/>
    <w:rsid w:val="006A1CD4"/>
    <w:rsid w:val="006A29BF"/>
    <w:rsid w:val="006A30D2"/>
    <w:rsid w:val="006A4587"/>
    <w:rsid w:val="006A5A6C"/>
    <w:rsid w:val="006A5BE6"/>
    <w:rsid w:val="006A61F4"/>
    <w:rsid w:val="006A762C"/>
    <w:rsid w:val="006A79BE"/>
    <w:rsid w:val="006B1114"/>
    <w:rsid w:val="006B197E"/>
    <w:rsid w:val="006B28A3"/>
    <w:rsid w:val="006B3280"/>
    <w:rsid w:val="006B3A7F"/>
    <w:rsid w:val="006B4433"/>
    <w:rsid w:val="006B6300"/>
    <w:rsid w:val="006B685C"/>
    <w:rsid w:val="006B6C7C"/>
    <w:rsid w:val="006B6F70"/>
    <w:rsid w:val="006B72C9"/>
    <w:rsid w:val="006C0A66"/>
    <w:rsid w:val="006C1505"/>
    <w:rsid w:val="006C2FBB"/>
    <w:rsid w:val="006C383B"/>
    <w:rsid w:val="006C3B1D"/>
    <w:rsid w:val="006C3E79"/>
    <w:rsid w:val="006C4974"/>
    <w:rsid w:val="006C4BE9"/>
    <w:rsid w:val="006C4DF4"/>
    <w:rsid w:val="006C52AE"/>
    <w:rsid w:val="006C593E"/>
    <w:rsid w:val="006C6403"/>
    <w:rsid w:val="006C664B"/>
    <w:rsid w:val="006C705B"/>
    <w:rsid w:val="006C72D6"/>
    <w:rsid w:val="006C7A21"/>
    <w:rsid w:val="006D008E"/>
    <w:rsid w:val="006D0149"/>
    <w:rsid w:val="006D023B"/>
    <w:rsid w:val="006D0AEB"/>
    <w:rsid w:val="006D117D"/>
    <w:rsid w:val="006D159C"/>
    <w:rsid w:val="006D202C"/>
    <w:rsid w:val="006D2279"/>
    <w:rsid w:val="006D2816"/>
    <w:rsid w:val="006D2AC0"/>
    <w:rsid w:val="006D2B8A"/>
    <w:rsid w:val="006D3B37"/>
    <w:rsid w:val="006D3E66"/>
    <w:rsid w:val="006D4626"/>
    <w:rsid w:val="006D4904"/>
    <w:rsid w:val="006D4CF8"/>
    <w:rsid w:val="006D4FC8"/>
    <w:rsid w:val="006D52BC"/>
    <w:rsid w:val="006D582B"/>
    <w:rsid w:val="006D5A15"/>
    <w:rsid w:val="006D6DC6"/>
    <w:rsid w:val="006D6F1D"/>
    <w:rsid w:val="006D7C69"/>
    <w:rsid w:val="006D7F62"/>
    <w:rsid w:val="006E046D"/>
    <w:rsid w:val="006E104F"/>
    <w:rsid w:val="006E21D3"/>
    <w:rsid w:val="006E26BC"/>
    <w:rsid w:val="006E2C43"/>
    <w:rsid w:val="006E3464"/>
    <w:rsid w:val="006E4D77"/>
    <w:rsid w:val="006E582F"/>
    <w:rsid w:val="006E596D"/>
    <w:rsid w:val="006E6250"/>
    <w:rsid w:val="006E681B"/>
    <w:rsid w:val="006F0006"/>
    <w:rsid w:val="006F0825"/>
    <w:rsid w:val="006F0B66"/>
    <w:rsid w:val="006F1137"/>
    <w:rsid w:val="006F2929"/>
    <w:rsid w:val="006F2EA2"/>
    <w:rsid w:val="006F5DE5"/>
    <w:rsid w:val="006F6F33"/>
    <w:rsid w:val="006F750A"/>
    <w:rsid w:val="007000FE"/>
    <w:rsid w:val="007019A5"/>
    <w:rsid w:val="00702068"/>
    <w:rsid w:val="0070252C"/>
    <w:rsid w:val="007027CD"/>
    <w:rsid w:val="00702C7D"/>
    <w:rsid w:val="0070326A"/>
    <w:rsid w:val="0070349A"/>
    <w:rsid w:val="00703A3B"/>
    <w:rsid w:val="007052D0"/>
    <w:rsid w:val="00706E25"/>
    <w:rsid w:val="00707851"/>
    <w:rsid w:val="007104B2"/>
    <w:rsid w:val="0071134E"/>
    <w:rsid w:val="0071193D"/>
    <w:rsid w:val="0071278D"/>
    <w:rsid w:val="00712AB5"/>
    <w:rsid w:val="00712C28"/>
    <w:rsid w:val="00713004"/>
    <w:rsid w:val="007166A2"/>
    <w:rsid w:val="00716FBB"/>
    <w:rsid w:val="007217C0"/>
    <w:rsid w:val="00722E3F"/>
    <w:rsid w:val="007234B5"/>
    <w:rsid w:val="00723BE1"/>
    <w:rsid w:val="007244A4"/>
    <w:rsid w:val="00724758"/>
    <w:rsid w:val="0072596B"/>
    <w:rsid w:val="007259DB"/>
    <w:rsid w:val="007266FF"/>
    <w:rsid w:val="00726BA3"/>
    <w:rsid w:val="00727348"/>
    <w:rsid w:val="00727654"/>
    <w:rsid w:val="00727A6D"/>
    <w:rsid w:val="007316C1"/>
    <w:rsid w:val="00731D07"/>
    <w:rsid w:val="0073220A"/>
    <w:rsid w:val="0073260A"/>
    <w:rsid w:val="007327DC"/>
    <w:rsid w:val="00732A52"/>
    <w:rsid w:val="00732B01"/>
    <w:rsid w:val="0073323F"/>
    <w:rsid w:val="0073354E"/>
    <w:rsid w:val="007338C7"/>
    <w:rsid w:val="00734D30"/>
    <w:rsid w:val="007353F6"/>
    <w:rsid w:val="00735EF4"/>
    <w:rsid w:val="00736117"/>
    <w:rsid w:val="00737C6B"/>
    <w:rsid w:val="00737EB1"/>
    <w:rsid w:val="00740397"/>
    <w:rsid w:val="00741554"/>
    <w:rsid w:val="00741649"/>
    <w:rsid w:val="00741906"/>
    <w:rsid w:val="007427A5"/>
    <w:rsid w:val="00742D9A"/>
    <w:rsid w:val="00745843"/>
    <w:rsid w:val="007464BF"/>
    <w:rsid w:val="007471FA"/>
    <w:rsid w:val="0074752E"/>
    <w:rsid w:val="00747683"/>
    <w:rsid w:val="0075091D"/>
    <w:rsid w:val="00750ACA"/>
    <w:rsid w:val="00751AB5"/>
    <w:rsid w:val="00752003"/>
    <w:rsid w:val="007526C7"/>
    <w:rsid w:val="0075288C"/>
    <w:rsid w:val="00752B43"/>
    <w:rsid w:val="00752B96"/>
    <w:rsid w:val="00753061"/>
    <w:rsid w:val="007535B1"/>
    <w:rsid w:val="00753644"/>
    <w:rsid w:val="007545DB"/>
    <w:rsid w:val="0075621E"/>
    <w:rsid w:val="00757732"/>
    <w:rsid w:val="007615B8"/>
    <w:rsid w:val="0076179F"/>
    <w:rsid w:val="00762AA4"/>
    <w:rsid w:val="00762FFD"/>
    <w:rsid w:val="00763E84"/>
    <w:rsid w:val="00765298"/>
    <w:rsid w:val="00765B6F"/>
    <w:rsid w:val="00766410"/>
    <w:rsid w:val="00766465"/>
    <w:rsid w:val="007678A7"/>
    <w:rsid w:val="00767F7A"/>
    <w:rsid w:val="00770812"/>
    <w:rsid w:val="00770A85"/>
    <w:rsid w:val="00770AF3"/>
    <w:rsid w:val="00771DA7"/>
    <w:rsid w:val="007723C9"/>
    <w:rsid w:val="00772411"/>
    <w:rsid w:val="00772455"/>
    <w:rsid w:val="00772AA6"/>
    <w:rsid w:val="007738CC"/>
    <w:rsid w:val="00774190"/>
    <w:rsid w:val="0077525D"/>
    <w:rsid w:val="007754D6"/>
    <w:rsid w:val="007754ED"/>
    <w:rsid w:val="00775B47"/>
    <w:rsid w:val="00775DE6"/>
    <w:rsid w:val="007764F5"/>
    <w:rsid w:val="00776954"/>
    <w:rsid w:val="00776FF8"/>
    <w:rsid w:val="00777C00"/>
    <w:rsid w:val="007800FC"/>
    <w:rsid w:val="007818B1"/>
    <w:rsid w:val="00782599"/>
    <w:rsid w:val="00782AAD"/>
    <w:rsid w:val="00782E26"/>
    <w:rsid w:val="00783307"/>
    <w:rsid w:val="007839FA"/>
    <w:rsid w:val="00783A90"/>
    <w:rsid w:val="00784114"/>
    <w:rsid w:val="00785160"/>
    <w:rsid w:val="0078528A"/>
    <w:rsid w:val="007858ED"/>
    <w:rsid w:val="00785AD4"/>
    <w:rsid w:val="00785B7A"/>
    <w:rsid w:val="00785DFD"/>
    <w:rsid w:val="0078653C"/>
    <w:rsid w:val="00786C8B"/>
    <w:rsid w:val="00787034"/>
    <w:rsid w:val="00787259"/>
    <w:rsid w:val="00787DDC"/>
    <w:rsid w:val="00790012"/>
    <w:rsid w:val="0079003D"/>
    <w:rsid w:val="00790155"/>
    <w:rsid w:val="007903B4"/>
    <w:rsid w:val="00791C39"/>
    <w:rsid w:val="007927D9"/>
    <w:rsid w:val="00792F63"/>
    <w:rsid w:val="0079331B"/>
    <w:rsid w:val="00793B99"/>
    <w:rsid w:val="00794780"/>
    <w:rsid w:val="007947A9"/>
    <w:rsid w:val="00794847"/>
    <w:rsid w:val="00796688"/>
    <w:rsid w:val="00796FD2"/>
    <w:rsid w:val="007970A5"/>
    <w:rsid w:val="007972C4"/>
    <w:rsid w:val="00797CDE"/>
    <w:rsid w:val="007A01B4"/>
    <w:rsid w:val="007A0A74"/>
    <w:rsid w:val="007A0F72"/>
    <w:rsid w:val="007A23AA"/>
    <w:rsid w:val="007A2554"/>
    <w:rsid w:val="007A34D6"/>
    <w:rsid w:val="007A40AA"/>
    <w:rsid w:val="007A4779"/>
    <w:rsid w:val="007A4ABD"/>
    <w:rsid w:val="007A5B36"/>
    <w:rsid w:val="007A5C13"/>
    <w:rsid w:val="007A651F"/>
    <w:rsid w:val="007A6986"/>
    <w:rsid w:val="007A6BD4"/>
    <w:rsid w:val="007A6E27"/>
    <w:rsid w:val="007A6E9C"/>
    <w:rsid w:val="007A744C"/>
    <w:rsid w:val="007A7BEC"/>
    <w:rsid w:val="007B0413"/>
    <w:rsid w:val="007B090D"/>
    <w:rsid w:val="007B1305"/>
    <w:rsid w:val="007B1E4E"/>
    <w:rsid w:val="007B25AD"/>
    <w:rsid w:val="007B5AB3"/>
    <w:rsid w:val="007B68DC"/>
    <w:rsid w:val="007B69DB"/>
    <w:rsid w:val="007B7BFD"/>
    <w:rsid w:val="007C048E"/>
    <w:rsid w:val="007C082D"/>
    <w:rsid w:val="007C0A9C"/>
    <w:rsid w:val="007C1A27"/>
    <w:rsid w:val="007C1F78"/>
    <w:rsid w:val="007C266E"/>
    <w:rsid w:val="007C2BB7"/>
    <w:rsid w:val="007C2F8A"/>
    <w:rsid w:val="007C35E0"/>
    <w:rsid w:val="007C3C16"/>
    <w:rsid w:val="007C431F"/>
    <w:rsid w:val="007C437D"/>
    <w:rsid w:val="007C4E05"/>
    <w:rsid w:val="007C50AD"/>
    <w:rsid w:val="007C553A"/>
    <w:rsid w:val="007C60F6"/>
    <w:rsid w:val="007C64AB"/>
    <w:rsid w:val="007C66D2"/>
    <w:rsid w:val="007C6D1A"/>
    <w:rsid w:val="007C733F"/>
    <w:rsid w:val="007C782D"/>
    <w:rsid w:val="007D01D3"/>
    <w:rsid w:val="007D059D"/>
    <w:rsid w:val="007D19EE"/>
    <w:rsid w:val="007D222C"/>
    <w:rsid w:val="007D3EDC"/>
    <w:rsid w:val="007D4509"/>
    <w:rsid w:val="007D4761"/>
    <w:rsid w:val="007D4BDC"/>
    <w:rsid w:val="007D4CF0"/>
    <w:rsid w:val="007D5A63"/>
    <w:rsid w:val="007D68C3"/>
    <w:rsid w:val="007D6C52"/>
    <w:rsid w:val="007D7557"/>
    <w:rsid w:val="007D7BD7"/>
    <w:rsid w:val="007D7F0F"/>
    <w:rsid w:val="007E05EC"/>
    <w:rsid w:val="007E0668"/>
    <w:rsid w:val="007E0729"/>
    <w:rsid w:val="007E09C8"/>
    <w:rsid w:val="007E0A85"/>
    <w:rsid w:val="007E1F88"/>
    <w:rsid w:val="007E2984"/>
    <w:rsid w:val="007E36DA"/>
    <w:rsid w:val="007E3868"/>
    <w:rsid w:val="007E3A28"/>
    <w:rsid w:val="007E431B"/>
    <w:rsid w:val="007E6412"/>
    <w:rsid w:val="007E6746"/>
    <w:rsid w:val="007E72F3"/>
    <w:rsid w:val="007E7431"/>
    <w:rsid w:val="007F0D95"/>
    <w:rsid w:val="007F16F8"/>
    <w:rsid w:val="007F18A2"/>
    <w:rsid w:val="007F2D59"/>
    <w:rsid w:val="007F38D9"/>
    <w:rsid w:val="007F3973"/>
    <w:rsid w:val="007F4291"/>
    <w:rsid w:val="007F4712"/>
    <w:rsid w:val="007F565D"/>
    <w:rsid w:val="007F6BA2"/>
    <w:rsid w:val="007F6D27"/>
    <w:rsid w:val="007F6FF9"/>
    <w:rsid w:val="00801640"/>
    <w:rsid w:val="00801A3D"/>
    <w:rsid w:val="00802927"/>
    <w:rsid w:val="00802D88"/>
    <w:rsid w:val="00802FEB"/>
    <w:rsid w:val="0080334E"/>
    <w:rsid w:val="008044B5"/>
    <w:rsid w:val="008045E9"/>
    <w:rsid w:val="00804751"/>
    <w:rsid w:val="00804CEC"/>
    <w:rsid w:val="00805032"/>
    <w:rsid w:val="008059EF"/>
    <w:rsid w:val="00805BE1"/>
    <w:rsid w:val="00805E47"/>
    <w:rsid w:val="0080619E"/>
    <w:rsid w:val="008065F6"/>
    <w:rsid w:val="00806E60"/>
    <w:rsid w:val="008107E5"/>
    <w:rsid w:val="00810DC8"/>
    <w:rsid w:val="00810F6D"/>
    <w:rsid w:val="008117F1"/>
    <w:rsid w:val="0081184E"/>
    <w:rsid w:val="00812140"/>
    <w:rsid w:val="008124BB"/>
    <w:rsid w:val="00813184"/>
    <w:rsid w:val="00813200"/>
    <w:rsid w:val="0081322C"/>
    <w:rsid w:val="00813234"/>
    <w:rsid w:val="00813FB7"/>
    <w:rsid w:val="008143E6"/>
    <w:rsid w:val="008148F6"/>
    <w:rsid w:val="00814E05"/>
    <w:rsid w:val="008150B5"/>
    <w:rsid w:val="00815297"/>
    <w:rsid w:val="00815578"/>
    <w:rsid w:val="00816FA0"/>
    <w:rsid w:val="0081712C"/>
    <w:rsid w:val="00817B2E"/>
    <w:rsid w:val="00817BCA"/>
    <w:rsid w:val="008208EE"/>
    <w:rsid w:val="008217CE"/>
    <w:rsid w:val="008218B2"/>
    <w:rsid w:val="00821B26"/>
    <w:rsid w:val="00821E5A"/>
    <w:rsid w:val="008222AC"/>
    <w:rsid w:val="008229ED"/>
    <w:rsid w:val="008231E6"/>
    <w:rsid w:val="00823333"/>
    <w:rsid w:val="00823426"/>
    <w:rsid w:val="00823498"/>
    <w:rsid w:val="008239FC"/>
    <w:rsid w:val="00823D35"/>
    <w:rsid w:val="0082499B"/>
    <w:rsid w:val="0082509C"/>
    <w:rsid w:val="00825AA0"/>
    <w:rsid w:val="00826AAD"/>
    <w:rsid w:val="00826DD2"/>
    <w:rsid w:val="008279FC"/>
    <w:rsid w:val="00830007"/>
    <w:rsid w:val="0083034D"/>
    <w:rsid w:val="0083034E"/>
    <w:rsid w:val="008309F0"/>
    <w:rsid w:val="00831E05"/>
    <w:rsid w:val="008327C5"/>
    <w:rsid w:val="00834BB9"/>
    <w:rsid w:val="00834D31"/>
    <w:rsid w:val="00835477"/>
    <w:rsid w:val="0083554A"/>
    <w:rsid w:val="00835C78"/>
    <w:rsid w:val="00835F21"/>
    <w:rsid w:val="00836C90"/>
    <w:rsid w:val="00837478"/>
    <w:rsid w:val="00837587"/>
    <w:rsid w:val="0083791C"/>
    <w:rsid w:val="008401A5"/>
    <w:rsid w:val="00841200"/>
    <w:rsid w:val="00841A84"/>
    <w:rsid w:val="00843D87"/>
    <w:rsid w:val="00845AFD"/>
    <w:rsid w:val="00846757"/>
    <w:rsid w:val="00846AC1"/>
    <w:rsid w:val="00847464"/>
    <w:rsid w:val="008502C3"/>
    <w:rsid w:val="0085055F"/>
    <w:rsid w:val="008506E3"/>
    <w:rsid w:val="00850843"/>
    <w:rsid w:val="008514ED"/>
    <w:rsid w:val="00851FD3"/>
    <w:rsid w:val="00852E2D"/>
    <w:rsid w:val="00853F4B"/>
    <w:rsid w:val="008541C2"/>
    <w:rsid w:val="00854BC7"/>
    <w:rsid w:val="00855759"/>
    <w:rsid w:val="00855B9B"/>
    <w:rsid w:val="00855F85"/>
    <w:rsid w:val="00856AAA"/>
    <w:rsid w:val="00856D31"/>
    <w:rsid w:val="00856E03"/>
    <w:rsid w:val="00856E0E"/>
    <w:rsid w:val="0085700B"/>
    <w:rsid w:val="0085712C"/>
    <w:rsid w:val="0085728F"/>
    <w:rsid w:val="0085764B"/>
    <w:rsid w:val="00857C12"/>
    <w:rsid w:val="0086000A"/>
    <w:rsid w:val="00861672"/>
    <w:rsid w:val="00861860"/>
    <w:rsid w:val="00862325"/>
    <w:rsid w:val="0086286D"/>
    <w:rsid w:val="00862D4B"/>
    <w:rsid w:val="00863E1E"/>
    <w:rsid w:val="00863FB0"/>
    <w:rsid w:val="00864E24"/>
    <w:rsid w:val="00865525"/>
    <w:rsid w:val="00865FDD"/>
    <w:rsid w:val="0086629B"/>
    <w:rsid w:val="00866399"/>
    <w:rsid w:val="0086679A"/>
    <w:rsid w:val="00867556"/>
    <w:rsid w:val="00867A0B"/>
    <w:rsid w:val="00867AFA"/>
    <w:rsid w:val="00867D18"/>
    <w:rsid w:val="00867FB2"/>
    <w:rsid w:val="00870855"/>
    <w:rsid w:val="00871C81"/>
    <w:rsid w:val="00871D13"/>
    <w:rsid w:val="00871D5A"/>
    <w:rsid w:val="008726FA"/>
    <w:rsid w:val="00872886"/>
    <w:rsid w:val="00872A3D"/>
    <w:rsid w:val="00872B34"/>
    <w:rsid w:val="00873731"/>
    <w:rsid w:val="0087445A"/>
    <w:rsid w:val="00875034"/>
    <w:rsid w:val="008751B9"/>
    <w:rsid w:val="00875336"/>
    <w:rsid w:val="00877937"/>
    <w:rsid w:val="00877B82"/>
    <w:rsid w:val="008805E5"/>
    <w:rsid w:val="008805ED"/>
    <w:rsid w:val="00880A51"/>
    <w:rsid w:val="00880E92"/>
    <w:rsid w:val="00881CA0"/>
    <w:rsid w:val="00882BD9"/>
    <w:rsid w:val="00882D34"/>
    <w:rsid w:val="008832CF"/>
    <w:rsid w:val="0088371A"/>
    <w:rsid w:val="00883A2B"/>
    <w:rsid w:val="00883D8C"/>
    <w:rsid w:val="00883E05"/>
    <w:rsid w:val="00884D38"/>
    <w:rsid w:val="0088506D"/>
    <w:rsid w:val="008854AE"/>
    <w:rsid w:val="00885DFE"/>
    <w:rsid w:val="0088675F"/>
    <w:rsid w:val="008868B4"/>
    <w:rsid w:val="00887375"/>
    <w:rsid w:val="0088781F"/>
    <w:rsid w:val="00887A87"/>
    <w:rsid w:val="00891F0D"/>
    <w:rsid w:val="0089205D"/>
    <w:rsid w:val="0089384A"/>
    <w:rsid w:val="00894E15"/>
    <w:rsid w:val="00895022"/>
    <w:rsid w:val="0089502F"/>
    <w:rsid w:val="00895B09"/>
    <w:rsid w:val="00895BC2"/>
    <w:rsid w:val="00896364"/>
    <w:rsid w:val="008963BF"/>
    <w:rsid w:val="00896565"/>
    <w:rsid w:val="008A02E0"/>
    <w:rsid w:val="008A1A19"/>
    <w:rsid w:val="008A1BFE"/>
    <w:rsid w:val="008A233A"/>
    <w:rsid w:val="008A2570"/>
    <w:rsid w:val="008A29BF"/>
    <w:rsid w:val="008A42F7"/>
    <w:rsid w:val="008A4B11"/>
    <w:rsid w:val="008A539E"/>
    <w:rsid w:val="008A614C"/>
    <w:rsid w:val="008A61FB"/>
    <w:rsid w:val="008A77B6"/>
    <w:rsid w:val="008A7BE7"/>
    <w:rsid w:val="008A7E1B"/>
    <w:rsid w:val="008B0CDC"/>
    <w:rsid w:val="008B0FC1"/>
    <w:rsid w:val="008B268B"/>
    <w:rsid w:val="008B3A4D"/>
    <w:rsid w:val="008B461F"/>
    <w:rsid w:val="008B4CFF"/>
    <w:rsid w:val="008B594C"/>
    <w:rsid w:val="008B656B"/>
    <w:rsid w:val="008B74BE"/>
    <w:rsid w:val="008B7D5E"/>
    <w:rsid w:val="008C0035"/>
    <w:rsid w:val="008C026A"/>
    <w:rsid w:val="008C16C9"/>
    <w:rsid w:val="008C179D"/>
    <w:rsid w:val="008C3101"/>
    <w:rsid w:val="008C42AF"/>
    <w:rsid w:val="008C4745"/>
    <w:rsid w:val="008C4814"/>
    <w:rsid w:val="008C4981"/>
    <w:rsid w:val="008C50D1"/>
    <w:rsid w:val="008C5ABE"/>
    <w:rsid w:val="008C5FD2"/>
    <w:rsid w:val="008C65A9"/>
    <w:rsid w:val="008C66FB"/>
    <w:rsid w:val="008C6954"/>
    <w:rsid w:val="008C71B0"/>
    <w:rsid w:val="008C7C0D"/>
    <w:rsid w:val="008D05C0"/>
    <w:rsid w:val="008D125E"/>
    <w:rsid w:val="008D1765"/>
    <w:rsid w:val="008D1FA4"/>
    <w:rsid w:val="008D27DC"/>
    <w:rsid w:val="008D28D2"/>
    <w:rsid w:val="008D3472"/>
    <w:rsid w:val="008D555B"/>
    <w:rsid w:val="008D5792"/>
    <w:rsid w:val="008D59F9"/>
    <w:rsid w:val="008D5B2A"/>
    <w:rsid w:val="008D5B83"/>
    <w:rsid w:val="008D670B"/>
    <w:rsid w:val="008D6A53"/>
    <w:rsid w:val="008D7861"/>
    <w:rsid w:val="008D7C28"/>
    <w:rsid w:val="008D7C8A"/>
    <w:rsid w:val="008D7E9C"/>
    <w:rsid w:val="008E142A"/>
    <w:rsid w:val="008E28B0"/>
    <w:rsid w:val="008E29D1"/>
    <w:rsid w:val="008E2F44"/>
    <w:rsid w:val="008E4185"/>
    <w:rsid w:val="008E4749"/>
    <w:rsid w:val="008E5740"/>
    <w:rsid w:val="008E5B75"/>
    <w:rsid w:val="008E5D48"/>
    <w:rsid w:val="008E72B5"/>
    <w:rsid w:val="008F1033"/>
    <w:rsid w:val="008F1635"/>
    <w:rsid w:val="008F1B34"/>
    <w:rsid w:val="008F1DED"/>
    <w:rsid w:val="008F400F"/>
    <w:rsid w:val="008F4428"/>
    <w:rsid w:val="008F4453"/>
    <w:rsid w:val="008F558E"/>
    <w:rsid w:val="008F5E95"/>
    <w:rsid w:val="008F6F15"/>
    <w:rsid w:val="009015D0"/>
    <w:rsid w:val="00902765"/>
    <w:rsid w:val="009031D6"/>
    <w:rsid w:val="00903719"/>
    <w:rsid w:val="009050BA"/>
    <w:rsid w:val="0090551D"/>
    <w:rsid w:val="00905522"/>
    <w:rsid w:val="00905C21"/>
    <w:rsid w:val="00906008"/>
    <w:rsid w:val="009066AA"/>
    <w:rsid w:val="00907074"/>
    <w:rsid w:val="00907A50"/>
    <w:rsid w:val="00907F6C"/>
    <w:rsid w:val="0091007A"/>
    <w:rsid w:val="00910EFC"/>
    <w:rsid w:val="00911B45"/>
    <w:rsid w:val="00912977"/>
    <w:rsid w:val="00912E17"/>
    <w:rsid w:val="009143AC"/>
    <w:rsid w:val="00914643"/>
    <w:rsid w:val="00914794"/>
    <w:rsid w:val="009165A5"/>
    <w:rsid w:val="009168C0"/>
    <w:rsid w:val="00916C89"/>
    <w:rsid w:val="00916EE1"/>
    <w:rsid w:val="009177E0"/>
    <w:rsid w:val="00917C97"/>
    <w:rsid w:val="0092003C"/>
    <w:rsid w:val="00920A67"/>
    <w:rsid w:val="00920B34"/>
    <w:rsid w:val="00920C3D"/>
    <w:rsid w:val="0092175B"/>
    <w:rsid w:val="00921D60"/>
    <w:rsid w:val="009221F5"/>
    <w:rsid w:val="00922929"/>
    <w:rsid w:val="00923277"/>
    <w:rsid w:val="009242A1"/>
    <w:rsid w:val="00924A93"/>
    <w:rsid w:val="00924E12"/>
    <w:rsid w:val="009268FD"/>
    <w:rsid w:val="009309C0"/>
    <w:rsid w:val="0093165B"/>
    <w:rsid w:val="0093209F"/>
    <w:rsid w:val="0093291C"/>
    <w:rsid w:val="00932B68"/>
    <w:rsid w:val="00933D32"/>
    <w:rsid w:val="009344DF"/>
    <w:rsid w:val="00934F58"/>
    <w:rsid w:val="00935F0E"/>
    <w:rsid w:val="00936558"/>
    <w:rsid w:val="00936779"/>
    <w:rsid w:val="00936D20"/>
    <w:rsid w:val="00937997"/>
    <w:rsid w:val="00937A12"/>
    <w:rsid w:val="00937B74"/>
    <w:rsid w:val="00937C01"/>
    <w:rsid w:val="00940654"/>
    <w:rsid w:val="00940B98"/>
    <w:rsid w:val="00940C72"/>
    <w:rsid w:val="009417F5"/>
    <w:rsid w:val="0094223C"/>
    <w:rsid w:val="009425F6"/>
    <w:rsid w:val="00942B47"/>
    <w:rsid w:val="00943518"/>
    <w:rsid w:val="00943977"/>
    <w:rsid w:val="00943D70"/>
    <w:rsid w:val="009450BC"/>
    <w:rsid w:val="00945758"/>
    <w:rsid w:val="0094662B"/>
    <w:rsid w:val="00946762"/>
    <w:rsid w:val="009468BB"/>
    <w:rsid w:val="00950E62"/>
    <w:rsid w:val="00951E06"/>
    <w:rsid w:val="0095208C"/>
    <w:rsid w:val="00952CC0"/>
    <w:rsid w:val="00953156"/>
    <w:rsid w:val="009535AD"/>
    <w:rsid w:val="0095479B"/>
    <w:rsid w:val="009550DB"/>
    <w:rsid w:val="009578F0"/>
    <w:rsid w:val="00957D39"/>
    <w:rsid w:val="00957E86"/>
    <w:rsid w:val="00960183"/>
    <w:rsid w:val="009602B0"/>
    <w:rsid w:val="00961578"/>
    <w:rsid w:val="009623AB"/>
    <w:rsid w:val="0096258F"/>
    <w:rsid w:val="00962EA5"/>
    <w:rsid w:val="0096326D"/>
    <w:rsid w:val="00964BC9"/>
    <w:rsid w:val="00965318"/>
    <w:rsid w:val="00965B22"/>
    <w:rsid w:val="00967545"/>
    <w:rsid w:val="00970E00"/>
    <w:rsid w:val="00972D84"/>
    <w:rsid w:val="00973CFA"/>
    <w:rsid w:val="00973EB8"/>
    <w:rsid w:val="00974F66"/>
    <w:rsid w:val="0097528A"/>
    <w:rsid w:val="009757CF"/>
    <w:rsid w:val="00975F71"/>
    <w:rsid w:val="009766F1"/>
    <w:rsid w:val="00977820"/>
    <w:rsid w:val="00977A3D"/>
    <w:rsid w:val="00977F6F"/>
    <w:rsid w:val="00980346"/>
    <w:rsid w:val="009803BA"/>
    <w:rsid w:val="009813C6"/>
    <w:rsid w:val="009819D9"/>
    <w:rsid w:val="0098206D"/>
    <w:rsid w:val="0098296D"/>
    <w:rsid w:val="009851E6"/>
    <w:rsid w:val="00986DAD"/>
    <w:rsid w:val="00987243"/>
    <w:rsid w:val="00992199"/>
    <w:rsid w:val="00992472"/>
    <w:rsid w:val="009929ED"/>
    <w:rsid w:val="00993061"/>
    <w:rsid w:val="00993079"/>
    <w:rsid w:val="0099367C"/>
    <w:rsid w:val="0099377A"/>
    <w:rsid w:val="00994C27"/>
    <w:rsid w:val="00994DF6"/>
    <w:rsid w:val="009969C4"/>
    <w:rsid w:val="00996A2E"/>
    <w:rsid w:val="00997021"/>
    <w:rsid w:val="009970BF"/>
    <w:rsid w:val="00997F00"/>
    <w:rsid w:val="009A0812"/>
    <w:rsid w:val="009A0A76"/>
    <w:rsid w:val="009A3D32"/>
    <w:rsid w:val="009A4B11"/>
    <w:rsid w:val="009A4DEF"/>
    <w:rsid w:val="009A70B7"/>
    <w:rsid w:val="009A77E3"/>
    <w:rsid w:val="009B0954"/>
    <w:rsid w:val="009B0B9B"/>
    <w:rsid w:val="009B135C"/>
    <w:rsid w:val="009B13E9"/>
    <w:rsid w:val="009B14ED"/>
    <w:rsid w:val="009B29FD"/>
    <w:rsid w:val="009B2CFE"/>
    <w:rsid w:val="009B3F11"/>
    <w:rsid w:val="009B634F"/>
    <w:rsid w:val="009B69A0"/>
    <w:rsid w:val="009B6BBE"/>
    <w:rsid w:val="009C058E"/>
    <w:rsid w:val="009C1226"/>
    <w:rsid w:val="009C1534"/>
    <w:rsid w:val="009C1E1E"/>
    <w:rsid w:val="009C2D7F"/>
    <w:rsid w:val="009C34DE"/>
    <w:rsid w:val="009C4052"/>
    <w:rsid w:val="009C4B97"/>
    <w:rsid w:val="009C573C"/>
    <w:rsid w:val="009C5924"/>
    <w:rsid w:val="009C656F"/>
    <w:rsid w:val="009C7381"/>
    <w:rsid w:val="009C7C19"/>
    <w:rsid w:val="009D0AC1"/>
    <w:rsid w:val="009D113D"/>
    <w:rsid w:val="009D3953"/>
    <w:rsid w:val="009D4199"/>
    <w:rsid w:val="009D4995"/>
    <w:rsid w:val="009D4D0B"/>
    <w:rsid w:val="009D4FB8"/>
    <w:rsid w:val="009D6E7A"/>
    <w:rsid w:val="009D6ED1"/>
    <w:rsid w:val="009D6ED9"/>
    <w:rsid w:val="009D7760"/>
    <w:rsid w:val="009D796C"/>
    <w:rsid w:val="009E0372"/>
    <w:rsid w:val="009E105F"/>
    <w:rsid w:val="009E169C"/>
    <w:rsid w:val="009E3FC5"/>
    <w:rsid w:val="009E4368"/>
    <w:rsid w:val="009E5297"/>
    <w:rsid w:val="009E53FC"/>
    <w:rsid w:val="009E5664"/>
    <w:rsid w:val="009E6C33"/>
    <w:rsid w:val="009E6F12"/>
    <w:rsid w:val="009E74E2"/>
    <w:rsid w:val="009E755A"/>
    <w:rsid w:val="009F03CD"/>
    <w:rsid w:val="009F0E5E"/>
    <w:rsid w:val="009F1F38"/>
    <w:rsid w:val="009F437A"/>
    <w:rsid w:val="009F472C"/>
    <w:rsid w:val="009F4A4C"/>
    <w:rsid w:val="009F59B4"/>
    <w:rsid w:val="009F5BD9"/>
    <w:rsid w:val="009F63EE"/>
    <w:rsid w:val="009F64DD"/>
    <w:rsid w:val="009F68BD"/>
    <w:rsid w:val="009F7C6B"/>
    <w:rsid w:val="00A002F2"/>
    <w:rsid w:val="00A01C8C"/>
    <w:rsid w:val="00A0222C"/>
    <w:rsid w:val="00A031BD"/>
    <w:rsid w:val="00A031D7"/>
    <w:rsid w:val="00A03C00"/>
    <w:rsid w:val="00A05A80"/>
    <w:rsid w:val="00A07992"/>
    <w:rsid w:val="00A07CFA"/>
    <w:rsid w:val="00A1110E"/>
    <w:rsid w:val="00A11EE2"/>
    <w:rsid w:val="00A12C29"/>
    <w:rsid w:val="00A12F0B"/>
    <w:rsid w:val="00A1386D"/>
    <w:rsid w:val="00A13B5F"/>
    <w:rsid w:val="00A142FC"/>
    <w:rsid w:val="00A148CE"/>
    <w:rsid w:val="00A14F13"/>
    <w:rsid w:val="00A150E2"/>
    <w:rsid w:val="00A15226"/>
    <w:rsid w:val="00A15254"/>
    <w:rsid w:val="00A1535E"/>
    <w:rsid w:val="00A15B78"/>
    <w:rsid w:val="00A15E59"/>
    <w:rsid w:val="00A16F0F"/>
    <w:rsid w:val="00A17612"/>
    <w:rsid w:val="00A20259"/>
    <w:rsid w:val="00A206DE"/>
    <w:rsid w:val="00A2089A"/>
    <w:rsid w:val="00A20C53"/>
    <w:rsid w:val="00A2253E"/>
    <w:rsid w:val="00A22FA0"/>
    <w:rsid w:val="00A236F7"/>
    <w:rsid w:val="00A23AC4"/>
    <w:rsid w:val="00A2405C"/>
    <w:rsid w:val="00A25D43"/>
    <w:rsid w:val="00A2641C"/>
    <w:rsid w:val="00A30406"/>
    <w:rsid w:val="00A307B7"/>
    <w:rsid w:val="00A309A0"/>
    <w:rsid w:val="00A3108A"/>
    <w:rsid w:val="00A32590"/>
    <w:rsid w:val="00A32C64"/>
    <w:rsid w:val="00A32D12"/>
    <w:rsid w:val="00A33251"/>
    <w:rsid w:val="00A335FB"/>
    <w:rsid w:val="00A33A23"/>
    <w:rsid w:val="00A33DC9"/>
    <w:rsid w:val="00A35062"/>
    <w:rsid w:val="00A35D25"/>
    <w:rsid w:val="00A360B0"/>
    <w:rsid w:val="00A36F0E"/>
    <w:rsid w:val="00A401AF"/>
    <w:rsid w:val="00A40869"/>
    <w:rsid w:val="00A40F69"/>
    <w:rsid w:val="00A41070"/>
    <w:rsid w:val="00A4150E"/>
    <w:rsid w:val="00A41939"/>
    <w:rsid w:val="00A41D78"/>
    <w:rsid w:val="00A42E41"/>
    <w:rsid w:val="00A42E72"/>
    <w:rsid w:val="00A4363E"/>
    <w:rsid w:val="00A43885"/>
    <w:rsid w:val="00A44397"/>
    <w:rsid w:val="00A4495D"/>
    <w:rsid w:val="00A458C9"/>
    <w:rsid w:val="00A46B81"/>
    <w:rsid w:val="00A46E2C"/>
    <w:rsid w:val="00A479E6"/>
    <w:rsid w:val="00A50D68"/>
    <w:rsid w:val="00A50E68"/>
    <w:rsid w:val="00A513F7"/>
    <w:rsid w:val="00A51770"/>
    <w:rsid w:val="00A51CCC"/>
    <w:rsid w:val="00A52B9E"/>
    <w:rsid w:val="00A53738"/>
    <w:rsid w:val="00A5383A"/>
    <w:rsid w:val="00A547EC"/>
    <w:rsid w:val="00A54C03"/>
    <w:rsid w:val="00A54FB0"/>
    <w:rsid w:val="00A5507C"/>
    <w:rsid w:val="00A56212"/>
    <w:rsid w:val="00A5643B"/>
    <w:rsid w:val="00A57344"/>
    <w:rsid w:val="00A57AAD"/>
    <w:rsid w:val="00A57D37"/>
    <w:rsid w:val="00A601F2"/>
    <w:rsid w:val="00A60633"/>
    <w:rsid w:val="00A6118A"/>
    <w:rsid w:val="00A61BBE"/>
    <w:rsid w:val="00A620E4"/>
    <w:rsid w:val="00A62509"/>
    <w:rsid w:val="00A63005"/>
    <w:rsid w:val="00A65586"/>
    <w:rsid w:val="00A65B05"/>
    <w:rsid w:val="00A664BB"/>
    <w:rsid w:val="00A6651C"/>
    <w:rsid w:val="00A66CCB"/>
    <w:rsid w:val="00A67112"/>
    <w:rsid w:val="00A6714F"/>
    <w:rsid w:val="00A674D6"/>
    <w:rsid w:val="00A67EFD"/>
    <w:rsid w:val="00A7121C"/>
    <w:rsid w:val="00A71C23"/>
    <w:rsid w:val="00A72492"/>
    <w:rsid w:val="00A730EC"/>
    <w:rsid w:val="00A731E9"/>
    <w:rsid w:val="00A73265"/>
    <w:rsid w:val="00A7499B"/>
    <w:rsid w:val="00A74DC2"/>
    <w:rsid w:val="00A75585"/>
    <w:rsid w:val="00A758B9"/>
    <w:rsid w:val="00A75B65"/>
    <w:rsid w:val="00A75FBA"/>
    <w:rsid w:val="00A76226"/>
    <w:rsid w:val="00A770FC"/>
    <w:rsid w:val="00A7750A"/>
    <w:rsid w:val="00A77751"/>
    <w:rsid w:val="00A778D4"/>
    <w:rsid w:val="00A80142"/>
    <w:rsid w:val="00A8081C"/>
    <w:rsid w:val="00A81A54"/>
    <w:rsid w:val="00A8230B"/>
    <w:rsid w:val="00A8284E"/>
    <w:rsid w:val="00A82B19"/>
    <w:rsid w:val="00A837D1"/>
    <w:rsid w:val="00A83E0E"/>
    <w:rsid w:val="00A847FF"/>
    <w:rsid w:val="00A84931"/>
    <w:rsid w:val="00A854AF"/>
    <w:rsid w:val="00A85692"/>
    <w:rsid w:val="00A876FD"/>
    <w:rsid w:val="00A903ED"/>
    <w:rsid w:val="00A908C4"/>
    <w:rsid w:val="00A90A83"/>
    <w:rsid w:val="00A90C27"/>
    <w:rsid w:val="00A917AE"/>
    <w:rsid w:val="00A9266E"/>
    <w:rsid w:val="00A9391B"/>
    <w:rsid w:val="00A93BFB"/>
    <w:rsid w:val="00A93CF8"/>
    <w:rsid w:val="00A94208"/>
    <w:rsid w:val="00A94545"/>
    <w:rsid w:val="00A94822"/>
    <w:rsid w:val="00A94F2D"/>
    <w:rsid w:val="00A95BB7"/>
    <w:rsid w:val="00A96052"/>
    <w:rsid w:val="00A964FB"/>
    <w:rsid w:val="00A966E1"/>
    <w:rsid w:val="00A97A73"/>
    <w:rsid w:val="00AA035B"/>
    <w:rsid w:val="00AA0778"/>
    <w:rsid w:val="00AA2954"/>
    <w:rsid w:val="00AA2C85"/>
    <w:rsid w:val="00AA377E"/>
    <w:rsid w:val="00AA43F4"/>
    <w:rsid w:val="00AA4D27"/>
    <w:rsid w:val="00AA52BD"/>
    <w:rsid w:val="00AA6212"/>
    <w:rsid w:val="00AA6BBB"/>
    <w:rsid w:val="00AA6E63"/>
    <w:rsid w:val="00AA718F"/>
    <w:rsid w:val="00AA7D5D"/>
    <w:rsid w:val="00AA7FF2"/>
    <w:rsid w:val="00AB0F08"/>
    <w:rsid w:val="00AB1012"/>
    <w:rsid w:val="00AB1B72"/>
    <w:rsid w:val="00AB2E4A"/>
    <w:rsid w:val="00AB32FC"/>
    <w:rsid w:val="00AB3609"/>
    <w:rsid w:val="00AB3BBC"/>
    <w:rsid w:val="00AB4994"/>
    <w:rsid w:val="00AB5033"/>
    <w:rsid w:val="00AB7277"/>
    <w:rsid w:val="00AB77B0"/>
    <w:rsid w:val="00AC0402"/>
    <w:rsid w:val="00AC0D7C"/>
    <w:rsid w:val="00AC14E9"/>
    <w:rsid w:val="00AC1DF5"/>
    <w:rsid w:val="00AC2283"/>
    <w:rsid w:val="00AC2826"/>
    <w:rsid w:val="00AC2A25"/>
    <w:rsid w:val="00AC2B06"/>
    <w:rsid w:val="00AC35C4"/>
    <w:rsid w:val="00AC3A04"/>
    <w:rsid w:val="00AC482B"/>
    <w:rsid w:val="00AC53C8"/>
    <w:rsid w:val="00AC6CF5"/>
    <w:rsid w:val="00AC6DA3"/>
    <w:rsid w:val="00AC7344"/>
    <w:rsid w:val="00AD0220"/>
    <w:rsid w:val="00AD0B0D"/>
    <w:rsid w:val="00AD2BDC"/>
    <w:rsid w:val="00AD3E7D"/>
    <w:rsid w:val="00AD3EA3"/>
    <w:rsid w:val="00AD4BF0"/>
    <w:rsid w:val="00AD4E03"/>
    <w:rsid w:val="00AD5498"/>
    <w:rsid w:val="00AD58EE"/>
    <w:rsid w:val="00AD58FA"/>
    <w:rsid w:val="00AD613E"/>
    <w:rsid w:val="00AD68C6"/>
    <w:rsid w:val="00AD6D83"/>
    <w:rsid w:val="00AD7384"/>
    <w:rsid w:val="00AD76B5"/>
    <w:rsid w:val="00AD7F83"/>
    <w:rsid w:val="00AE0902"/>
    <w:rsid w:val="00AE0C96"/>
    <w:rsid w:val="00AE176C"/>
    <w:rsid w:val="00AE2F62"/>
    <w:rsid w:val="00AE33C5"/>
    <w:rsid w:val="00AE351F"/>
    <w:rsid w:val="00AE4101"/>
    <w:rsid w:val="00AE4500"/>
    <w:rsid w:val="00AE54D2"/>
    <w:rsid w:val="00AE684E"/>
    <w:rsid w:val="00AE6B81"/>
    <w:rsid w:val="00AE71E8"/>
    <w:rsid w:val="00AF0407"/>
    <w:rsid w:val="00AF179B"/>
    <w:rsid w:val="00AF17ED"/>
    <w:rsid w:val="00AF182B"/>
    <w:rsid w:val="00AF18D7"/>
    <w:rsid w:val="00AF1DF7"/>
    <w:rsid w:val="00AF2995"/>
    <w:rsid w:val="00AF2BC3"/>
    <w:rsid w:val="00AF2D62"/>
    <w:rsid w:val="00AF2D89"/>
    <w:rsid w:val="00AF2F8A"/>
    <w:rsid w:val="00AF4759"/>
    <w:rsid w:val="00AF4801"/>
    <w:rsid w:val="00AF59E1"/>
    <w:rsid w:val="00AF6577"/>
    <w:rsid w:val="00AF6F91"/>
    <w:rsid w:val="00AF7088"/>
    <w:rsid w:val="00AF7300"/>
    <w:rsid w:val="00B00E39"/>
    <w:rsid w:val="00B016B7"/>
    <w:rsid w:val="00B02773"/>
    <w:rsid w:val="00B0439C"/>
    <w:rsid w:val="00B04755"/>
    <w:rsid w:val="00B0492E"/>
    <w:rsid w:val="00B04A9F"/>
    <w:rsid w:val="00B050F0"/>
    <w:rsid w:val="00B058FE"/>
    <w:rsid w:val="00B0644A"/>
    <w:rsid w:val="00B067DE"/>
    <w:rsid w:val="00B0721A"/>
    <w:rsid w:val="00B0741B"/>
    <w:rsid w:val="00B10F13"/>
    <w:rsid w:val="00B10FFA"/>
    <w:rsid w:val="00B12514"/>
    <w:rsid w:val="00B12573"/>
    <w:rsid w:val="00B127B6"/>
    <w:rsid w:val="00B12863"/>
    <w:rsid w:val="00B12C0B"/>
    <w:rsid w:val="00B131F8"/>
    <w:rsid w:val="00B133C6"/>
    <w:rsid w:val="00B14AAB"/>
    <w:rsid w:val="00B14DD4"/>
    <w:rsid w:val="00B14EDB"/>
    <w:rsid w:val="00B153E7"/>
    <w:rsid w:val="00B15A5E"/>
    <w:rsid w:val="00B1675A"/>
    <w:rsid w:val="00B17527"/>
    <w:rsid w:val="00B1784F"/>
    <w:rsid w:val="00B21760"/>
    <w:rsid w:val="00B21914"/>
    <w:rsid w:val="00B21B0A"/>
    <w:rsid w:val="00B21BAF"/>
    <w:rsid w:val="00B22D58"/>
    <w:rsid w:val="00B22DD4"/>
    <w:rsid w:val="00B235B9"/>
    <w:rsid w:val="00B24EE8"/>
    <w:rsid w:val="00B25159"/>
    <w:rsid w:val="00B2548E"/>
    <w:rsid w:val="00B254A5"/>
    <w:rsid w:val="00B25A5A"/>
    <w:rsid w:val="00B25AA3"/>
    <w:rsid w:val="00B27917"/>
    <w:rsid w:val="00B30662"/>
    <w:rsid w:val="00B31072"/>
    <w:rsid w:val="00B314F2"/>
    <w:rsid w:val="00B3159C"/>
    <w:rsid w:val="00B3192E"/>
    <w:rsid w:val="00B31B3C"/>
    <w:rsid w:val="00B327FB"/>
    <w:rsid w:val="00B32AB7"/>
    <w:rsid w:val="00B32B00"/>
    <w:rsid w:val="00B32E61"/>
    <w:rsid w:val="00B335C1"/>
    <w:rsid w:val="00B335CE"/>
    <w:rsid w:val="00B33D63"/>
    <w:rsid w:val="00B33D68"/>
    <w:rsid w:val="00B3596F"/>
    <w:rsid w:val="00B35F38"/>
    <w:rsid w:val="00B37D44"/>
    <w:rsid w:val="00B407C4"/>
    <w:rsid w:val="00B40B2D"/>
    <w:rsid w:val="00B40EF5"/>
    <w:rsid w:val="00B41012"/>
    <w:rsid w:val="00B42BD2"/>
    <w:rsid w:val="00B440B9"/>
    <w:rsid w:val="00B44201"/>
    <w:rsid w:val="00B44BCE"/>
    <w:rsid w:val="00B46975"/>
    <w:rsid w:val="00B473D6"/>
    <w:rsid w:val="00B47D91"/>
    <w:rsid w:val="00B47E8F"/>
    <w:rsid w:val="00B50096"/>
    <w:rsid w:val="00B50346"/>
    <w:rsid w:val="00B50936"/>
    <w:rsid w:val="00B520C3"/>
    <w:rsid w:val="00B52104"/>
    <w:rsid w:val="00B52129"/>
    <w:rsid w:val="00B521B9"/>
    <w:rsid w:val="00B5233F"/>
    <w:rsid w:val="00B525AE"/>
    <w:rsid w:val="00B5353D"/>
    <w:rsid w:val="00B53608"/>
    <w:rsid w:val="00B53EE2"/>
    <w:rsid w:val="00B543A5"/>
    <w:rsid w:val="00B550E5"/>
    <w:rsid w:val="00B5630A"/>
    <w:rsid w:val="00B57486"/>
    <w:rsid w:val="00B578F8"/>
    <w:rsid w:val="00B57D29"/>
    <w:rsid w:val="00B57D41"/>
    <w:rsid w:val="00B602FD"/>
    <w:rsid w:val="00B603E9"/>
    <w:rsid w:val="00B609FD"/>
    <w:rsid w:val="00B60B64"/>
    <w:rsid w:val="00B60B6D"/>
    <w:rsid w:val="00B60F33"/>
    <w:rsid w:val="00B61351"/>
    <w:rsid w:val="00B61408"/>
    <w:rsid w:val="00B61576"/>
    <w:rsid w:val="00B61C86"/>
    <w:rsid w:val="00B62494"/>
    <w:rsid w:val="00B62CB2"/>
    <w:rsid w:val="00B6342D"/>
    <w:rsid w:val="00B6397F"/>
    <w:rsid w:val="00B645AF"/>
    <w:rsid w:val="00B64A0F"/>
    <w:rsid w:val="00B662B8"/>
    <w:rsid w:val="00B70590"/>
    <w:rsid w:val="00B71146"/>
    <w:rsid w:val="00B71D98"/>
    <w:rsid w:val="00B730E0"/>
    <w:rsid w:val="00B732F3"/>
    <w:rsid w:val="00B7399D"/>
    <w:rsid w:val="00B7512B"/>
    <w:rsid w:val="00B7516B"/>
    <w:rsid w:val="00B75860"/>
    <w:rsid w:val="00B77709"/>
    <w:rsid w:val="00B77E77"/>
    <w:rsid w:val="00B80386"/>
    <w:rsid w:val="00B804C5"/>
    <w:rsid w:val="00B809CC"/>
    <w:rsid w:val="00B813C1"/>
    <w:rsid w:val="00B815E3"/>
    <w:rsid w:val="00B82207"/>
    <w:rsid w:val="00B8297C"/>
    <w:rsid w:val="00B83922"/>
    <w:rsid w:val="00B848E1"/>
    <w:rsid w:val="00B8514F"/>
    <w:rsid w:val="00B85D59"/>
    <w:rsid w:val="00B85FF4"/>
    <w:rsid w:val="00B86418"/>
    <w:rsid w:val="00B865B6"/>
    <w:rsid w:val="00B87559"/>
    <w:rsid w:val="00B87ECD"/>
    <w:rsid w:val="00B87F6B"/>
    <w:rsid w:val="00B905F8"/>
    <w:rsid w:val="00B90802"/>
    <w:rsid w:val="00B909A2"/>
    <w:rsid w:val="00B90C5E"/>
    <w:rsid w:val="00B90EC2"/>
    <w:rsid w:val="00B91160"/>
    <w:rsid w:val="00B9130E"/>
    <w:rsid w:val="00B91551"/>
    <w:rsid w:val="00B9155C"/>
    <w:rsid w:val="00B92002"/>
    <w:rsid w:val="00B9274C"/>
    <w:rsid w:val="00B92986"/>
    <w:rsid w:val="00B93355"/>
    <w:rsid w:val="00B933DB"/>
    <w:rsid w:val="00B939A4"/>
    <w:rsid w:val="00B94C03"/>
    <w:rsid w:val="00B95BEC"/>
    <w:rsid w:val="00B95EDC"/>
    <w:rsid w:val="00BA0AC6"/>
    <w:rsid w:val="00BA158C"/>
    <w:rsid w:val="00BA22D8"/>
    <w:rsid w:val="00BA2A1F"/>
    <w:rsid w:val="00BA2EE0"/>
    <w:rsid w:val="00BA4B8A"/>
    <w:rsid w:val="00BA53A8"/>
    <w:rsid w:val="00BA5DFA"/>
    <w:rsid w:val="00BA6019"/>
    <w:rsid w:val="00BA6094"/>
    <w:rsid w:val="00BA7F5B"/>
    <w:rsid w:val="00BB0250"/>
    <w:rsid w:val="00BB0A1A"/>
    <w:rsid w:val="00BB0A38"/>
    <w:rsid w:val="00BB2415"/>
    <w:rsid w:val="00BB2618"/>
    <w:rsid w:val="00BB2A51"/>
    <w:rsid w:val="00BB2F64"/>
    <w:rsid w:val="00BB42BC"/>
    <w:rsid w:val="00BB4595"/>
    <w:rsid w:val="00BB57BF"/>
    <w:rsid w:val="00BB6111"/>
    <w:rsid w:val="00BB66D6"/>
    <w:rsid w:val="00BB7901"/>
    <w:rsid w:val="00BB7F3B"/>
    <w:rsid w:val="00BC1973"/>
    <w:rsid w:val="00BC3107"/>
    <w:rsid w:val="00BC327B"/>
    <w:rsid w:val="00BC4336"/>
    <w:rsid w:val="00BC5D61"/>
    <w:rsid w:val="00BC5F06"/>
    <w:rsid w:val="00BC6AA5"/>
    <w:rsid w:val="00BC7A77"/>
    <w:rsid w:val="00BD1B35"/>
    <w:rsid w:val="00BD2364"/>
    <w:rsid w:val="00BD25AA"/>
    <w:rsid w:val="00BD2604"/>
    <w:rsid w:val="00BD4069"/>
    <w:rsid w:val="00BD4361"/>
    <w:rsid w:val="00BD5216"/>
    <w:rsid w:val="00BD5A52"/>
    <w:rsid w:val="00BD64EF"/>
    <w:rsid w:val="00BD6A1C"/>
    <w:rsid w:val="00BD78BD"/>
    <w:rsid w:val="00BD7CF7"/>
    <w:rsid w:val="00BD7DE3"/>
    <w:rsid w:val="00BD7E47"/>
    <w:rsid w:val="00BE018E"/>
    <w:rsid w:val="00BE01E8"/>
    <w:rsid w:val="00BE0978"/>
    <w:rsid w:val="00BE143B"/>
    <w:rsid w:val="00BE1643"/>
    <w:rsid w:val="00BE1B2A"/>
    <w:rsid w:val="00BE2553"/>
    <w:rsid w:val="00BE29B1"/>
    <w:rsid w:val="00BE3E5D"/>
    <w:rsid w:val="00BE4429"/>
    <w:rsid w:val="00BE5357"/>
    <w:rsid w:val="00BE59A8"/>
    <w:rsid w:val="00BE59F0"/>
    <w:rsid w:val="00BE6429"/>
    <w:rsid w:val="00BE681F"/>
    <w:rsid w:val="00BE7BFB"/>
    <w:rsid w:val="00BF09E7"/>
    <w:rsid w:val="00BF0E52"/>
    <w:rsid w:val="00BF15EE"/>
    <w:rsid w:val="00BF188A"/>
    <w:rsid w:val="00BF2006"/>
    <w:rsid w:val="00BF2A8F"/>
    <w:rsid w:val="00BF2DA0"/>
    <w:rsid w:val="00BF2E8F"/>
    <w:rsid w:val="00BF2E92"/>
    <w:rsid w:val="00BF3727"/>
    <w:rsid w:val="00BF37B3"/>
    <w:rsid w:val="00BF424D"/>
    <w:rsid w:val="00BF500F"/>
    <w:rsid w:val="00BF50CF"/>
    <w:rsid w:val="00BF50EF"/>
    <w:rsid w:val="00BF5BC1"/>
    <w:rsid w:val="00BF5DB5"/>
    <w:rsid w:val="00BF6325"/>
    <w:rsid w:val="00BF6594"/>
    <w:rsid w:val="00BF6C4A"/>
    <w:rsid w:val="00C00179"/>
    <w:rsid w:val="00C00A35"/>
    <w:rsid w:val="00C00A92"/>
    <w:rsid w:val="00C00E91"/>
    <w:rsid w:val="00C0260B"/>
    <w:rsid w:val="00C02F0B"/>
    <w:rsid w:val="00C02F2C"/>
    <w:rsid w:val="00C03AF3"/>
    <w:rsid w:val="00C04339"/>
    <w:rsid w:val="00C056B7"/>
    <w:rsid w:val="00C064BA"/>
    <w:rsid w:val="00C068A8"/>
    <w:rsid w:val="00C07D0D"/>
    <w:rsid w:val="00C10C01"/>
    <w:rsid w:val="00C10DB7"/>
    <w:rsid w:val="00C113D1"/>
    <w:rsid w:val="00C11C45"/>
    <w:rsid w:val="00C11C50"/>
    <w:rsid w:val="00C13922"/>
    <w:rsid w:val="00C148E6"/>
    <w:rsid w:val="00C14B2E"/>
    <w:rsid w:val="00C14F7C"/>
    <w:rsid w:val="00C1528D"/>
    <w:rsid w:val="00C160A1"/>
    <w:rsid w:val="00C165D4"/>
    <w:rsid w:val="00C1780C"/>
    <w:rsid w:val="00C17A3C"/>
    <w:rsid w:val="00C17A91"/>
    <w:rsid w:val="00C21E24"/>
    <w:rsid w:val="00C22195"/>
    <w:rsid w:val="00C22E45"/>
    <w:rsid w:val="00C2303F"/>
    <w:rsid w:val="00C231AB"/>
    <w:rsid w:val="00C234FE"/>
    <w:rsid w:val="00C23571"/>
    <w:rsid w:val="00C2361E"/>
    <w:rsid w:val="00C236A7"/>
    <w:rsid w:val="00C23BFF"/>
    <w:rsid w:val="00C23C57"/>
    <w:rsid w:val="00C24053"/>
    <w:rsid w:val="00C246D8"/>
    <w:rsid w:val="00C24CA7"/>
    <w:rsid w:val="00C253D5"/>
    <w:rsid w:val="00C25452"/>
    <w:rsid w:val="00C255AD"/>
    <w:rsid w:val="00C2563E"/>
    <w:rsid w:val="00C265B4"/>
    <w:rsid w:val="00C269C3"/>
    <w:rsid w:val="00C27F3E"/>
    <w:rsid w:val="00C3159C"/>
    <w:rsid w:val="00C31D9A"/>
    <w:rsid w:val="00C320C4"/>
    <w:rsid w:val="00C32503"/>
    <w:rsid w:val="00C32B63"/>
    <w:rsid w:val="00C33EFC"/>
    <w:rsid w:val="00C33F93"/>
    <w:rsid w:val="00C3415C"/>
    <w:rsid w:val="00C343BB"/>
    <w:rsid w:val="00C34707"/>
    <w:rsid w:val="00C34A09"/>
    <w:rsid w:val="00C34B15"/>
    <w:rsid w:val="00C34E78"/>
    <w:rsid w:val="00C3524B"/>
    <w:rsid w:val="00C3547A"/>
    <w:rsid w:val="00C35C27"/>
    <w:rsid w:val="00C369AA"/>
    <w:rsid w:val="00C3708C"/>
    <w:rsid w:val="00C37195"/>
    <w:rsid w:val="00C4005D"/>
    <w:rsid w:val="00C408AB"/>
    <w:rsid w:val="00C40A65"/>
    <w:rsid w:val="00C41D40"/>
    <w:rsid w:val="00C42194"/>
    <w:rsid w:val="00C42246"/>
    <w:rsid w:val="00C4334E"/>
    <w:rsid w:val="00C43D80"/>
    <w:rsid w:val="00C44535"/>
    <w:rsid w:val="00C44A09"/>
    <w:rsid w:val="00C45BF9"/>
    <w:rsid w:val="00C4641D"/>
    <w:rsid w:val="00C4666F"/>
    <w:rsid w:val="00C47652"/>
    <w:rsid w:val="00C47CB0"/>
    <w:rsid w:val="00C47CD0"/>
    <w:rsid w:val="00C5007A"/>
    <w:rsid w:val="00C51C83"/>
    <w:rsid w:val="00C5240E"/>
    <w:rsid w:val="00C52BEC"/>
    <w:rsid w:val="00C52D58"/>
    <w:rsid w:val="00C52EF4"/>
    <w:rsid w:val="00C535EF"/>
    <w:rsid w:val="00C53DDE"/>
    <w:rsid w:val="00C54465"/>
    <w:rsid w:val="00C5470B"/>
    <w:rsid w:val="00C55406"/>
    <w:rsid w:val="00C55A05"/>
    <w:rsid w:val="00C55DFF"/>
    <w:rsid w:val="00C56578"/>
    <w:rsid w:val="00C601CD"/>
    <w:rsid w:val="00C60C6E"/>
    <w:rsid w:val="00C6111E"/>
    <w:rsid w:val="00C62A4B"/>
    <w:rsid w:val="00C62B37"/>
    <w:rsid w:val="00C63683"/>
    <w:rsid w:val="00C63E31"/>
    <w:rsid w:val="00C6567F"/>
    <w:rsid w:val="00C661F4"/>
    <w:rsid w:val="00C667F6"/>
    <w:rsid w:val="00C66E0F"/>
    <w:rsid w:val="00C70AFC"/>
    <w:rsid w:val="00C70DCE"/>
    <w:rsid w:val="00C734CB"/>
    <w:rsid w:val="00C73A7D"/>
    <w:rsid w:val="00C743DC"/>
    <w:rsid w:val="00C74FAD"/>
    <w:rsid w:val="00C75887"/>
    <w:rsid w:val="00C76B31"/>
    <w:rsid w:val="00C801ED"/>
    <w:rsid w:val="00C803A5"/>
    <w:rsid w:val="00C80FB4"/>
    <w:rsid w:val="00C812D7"/>
    <w:rsid w:val="00C821FA"/>
    <w:rsid w:val="00C82336"/>
    <w:rsid w:val="00C83824"/>
    <w:rsid w:val="00C843E2"/>
    <w:rsid w:val="00C847AA"/>
    <w:rsid w:val="00C84926"/>
    <w:rsid w:val="00C84BD2"/>
    <w:rsid w:val="00C854BD"/>
    <w:rsid w:val="00C8686B"/>
    <w:rsid w:val="00C86983"/>
    <w:rsid w:val="00C9059A"/>
    <w:rsid w:val="00C91B4F"/>
    <w:rsid w:val="00C92C1F"/>
    <w:rsid w:val="00C9342F"/>
    <w:rsid w:val="00C94C18"/>
    <w:rsid w:val="00C94E79"/>
    <w:rsid w:val="00C95303"/>
    <w:rsid w:val="00C97568"/>
    <w:rsid w:val="00C9756F"/>
    <w:rsid w:val="00C97AFD"/>
    <w:rsid w:val="00CA0A54"/>
    <w:rsid w:val="00CA0ED9"/>
    <w:rsid w:val="00CA1491"/>
    <w:rsid w:val="00CA1D86"/>
    <w:rsid w:val="00CA212E"/>
    <w:rsid w:val="00CA26FE"/>
    <w:rsid w:val="00CA2A00"/>
    <w:rsid w:val="00CA3878"/>
    <w:rsid w:val="00CA3F53"/>
    <w:rsid w:val="00CA44E4"/>
    <w:rsid w:val="00CA48B7"/>
    <w:rsid w:val="00CA4B70"/>
    <w:rsid w:val="00CA5EC6"/>
    <w:rsid w:val="00CA6CEC"/>
    <w:rsid w:val="00CA7559"/>
    <w:rsid w:val="00CA75BF"/>
    <w:rsid w:val="00CA7868"/>
    <w:rsid w:val="00CA7DEA"/>
    <w:rsid w:val="00CA7E42"/>
    <w:rsid w:val="00CB0910"/>
    <w:rsid w:val="00CB0FE4"/>
    <w:rsid w:val="00CB19E8"/>
    <w:rsid w:val="00CB21CA"/>
    <w:rsid w:val="00CB2316"/>
    <w:rsid w:val="00CB29FB"/>
    <w:rsid w:val="00CB3082"/>
    <w:rsid w:val="00CB3182"/>
    <w:rsid w:val="00CB3708"/>
    <w:rsid w:val="00CB3C5C"/>
    <w:rsid w:val="00CB479A"/>
    <w:rsid w:val="00CB4894"/>
    <w:rsid w:val="00CB4FE2"/>
    <w:rsid w:val="00CB5AB5"/>
    <w:rsid w:val="00CB5CBB"/>
    <w:rsid w:val="00CB6268"/>
    <w:rsid w:val="00CB6580"/>
    <w:rsid w:val="00CB68E1"/>
    <w:rsid w:val="00CB78EE"/>
    <w:rsid w:val="00CB79DE"/>
    <w:rsid w:val="00CB7A00"/>
    <w:rsid w:val="00CC01C5"/>
    <w:rsid w:val="00CC0814"/>
    <w:rsid w:val="00CC0F7A"/>
    <w:rsid w:val="00CC2771"/>
    <w:rsid w:val="00CC2806"/>
    <w:rsid w:val="00CC2977"/>
    <w:rsid w:val="00CC4802"/>
    <w:rsid w:val="00CC5CC9"/>
    <w:rsid w:val="00CC67A7"/>
    <w:rsid w:val="00CC6A7B"/>
    <w:rsid w:val="00CC7A1A"/>
    <w:rsid w:val="00CC7F3C"/>
    <w:rsid w:val="00CD0366"/>
    <w:rsid w:val="00CD0868"/>
    <w:rsid w:val="00CD0CED"/>
    <w:rsid w:val="00CD32FE"/>
    <w:rsid w:val="00CD4051"/>
    <w:rsid w:val="00CD41D3"/>
    <w:rsid w:val="00CD514E"/>
    <w:rsid w:val="00CD5E33"/>
    <w:rsid w:val="00CD5FF6"/>
    <w:rsid w:val="00CD6E64"/>
    <w:rsid w:val="00CD7728"/>
    <w:rsid w:val="00CE0231"/>
    <w:rsid w:val="00CE0B6A"/>
    <w:rsid w:val="00CE0F0F"/>
    <w:rsid w:val="00CE1D12"/>
    <w:rsid w:val="00CE2F95"/>
    <w:rsid w:val="00CE355F"/>
    <w:rsid w:val="00CE3841"/>
    <w:rsid w:val="00CE4051"/>
    <w:rsid w:val="00CE50E6"/>
    <w:rsid w:val="00CE5F1F"/>
    <w:rsid w:val="00CE6130"/>
    <w:rsid w:val="00CE630D"/>
    <w:rsid w:val="00CE6C31"/>
    <w:rsid w:val="00CE6FB6"/>
    <w:rsid w:val="00CE7535"/>
    <w:rsid w:val="00CF10AB"/>
    <w:rsid w:val="00CF238B"/>
    <w:rsid w:val="00CF413B"/>
    <w:rsid w:val="00CF6A21"/>
    <w:rsid w:val="00CF6FE5"/>
    <w:rsid w:val="00CF70F4"/>
    <w:rsid w:val="00CF71C1"/>
    <w:rsid w:val="00CF7417"/>
    <w:rsid w:val="00CF7424"/>
    <w:rsid w:val="00CF79A3"/>
    <w:rsid w:val="00CF7B88"/>
    <w:rsid w:val="00CF7F2A"/>
    <w:rsid w:val="00D016D8"/>
    <w:rsid w:val="00D02AE0"/>
    <w:rsid w:val="00D03111"/>
    <w:rsid w:val="00D03676"/>
    <w:rsid w:val="00D03AC6"/>
    <w:rsid w:val="00D043C7"/>
    <w:rsid w:val="00D04A30"/>
    <w:rsid w:val="00D05ADC"/>
    <w:rsid w:val="00D05F85"/>
    <w:rsid w:val="00D069F2"/>
    <w:rsid w:val="00D07311"/>
    <w:rsid w:val="00D07994"/>
    <w:rsid w:val="00D07C31"/>
    <w:rsid w:val="00D10119"/>
    <w:rsid w:val="00D11292"/>
    <w:rsid w:val="00D11C60"/>
    <w:rsid w:val="00D11DBB"/>
    <w:rsid w:val="00D12894"/>
    <w:rsid w:val="00D12A88"/>
    <w:rsid w:val="00D138C8"/>
    <w:rsid w:val="00D14550"/>
    <w:rsid w:val="00D152A6"/>
    <w:rsid w:val="00D153C9"/>
    <w:rsid w:val="00D15E21"/>
    <w:rsid w:val="00D16BE9"/>
    <w:rsid w:val="00D17383"/>
    <w:rsid w:val="00D17BB4"/>
    <w:rsid w:val="00D20285"/>
    <w:rsid w:val="00D20B10"/>
    <w:rsid w:val="00D215F2"/>
    <w:rsid w:val="00D22083"/>
    <w:rsid w:val="00D23191"/>
    <w:rsid w:val="00D2320F"/>
    <w:rsid w:val="00D2326D"/>
    <w:rsid w:val="00D23506"/>
    <w:rsid w:val="00D23CA2"/>
    <w:rsid w:val="00D242AD"/>
    <w:rsid w:val="00D24FDB"/>
    <w:rsid w:val="00D251D5"/>
    <w:rsid w:val="00D26CAA"/>
    <w:rsid w:val="00D27A07"/>
    <w:rsid w:val="00D3063B"/>
    <w:rsid w:val="00D31319"/>
    <w:rsid w:val="00D3172F"/>
    <w:rsid w:val="00D33152"/>
    <w:rsid w:val="00D3326C"/>
    <w:rsid w:val="00D3356B"/>
    <w:rsid w:val="00D33B9A"/>
    <w:rsid w:val="00D33CBD"/>
    <w:rsid w:val="00D37B0A"/>
    <w:rsid w:val="00D401CE"/>
    <w:rsid w:val="00D40D28"/>
    <w:rsid w:val="00D4135E"/>
    <w:rsid w:val="00D413A6"/>
    <w:rsid w:val="00D41900"/>
    <w:rsid w:val="00D423B5"/>
    <w:rsid w:val="00D42787"/>
    <w:rsid w:val="00D42C36"/>
    <w:rsid w:val="00D442AF"/>
    <w:rsid w:val="00D4467C"/>
    <w:rsid w:val="00D45A86"/>
    <w:rsid w:val="00D45B78"/>
    <w:rsid w:val="00D46B82"/>
    <w:rsid w:val="00D50241"/>
    <w:rsid w:val="00D502BA"/>
    <w:rsid w:val="00D51587"/>
    <w:rsid w:val="00D52B3E"/>
    <w:rsid w:val="00D53B67"/>
    <w:rsid w:val="00D53C30"/>
    <w:rsid w:val="00D541D4"/>
    <w:rsid w:val="00D54CDB"/>
    <w:rsid w:val="00D55142"/>
    <w:rsid w:val="00D5515C"/>
    <w:rsid w:val="00D5529B"/>
    <w:rsid w:val="00D552D6"/>
    <w:rsid w:val="00D55B1C"/>
    <w:rsid w:val="00D5605F"/>
    <w:rsid w:val="00D56D8F"/>
    <w:rsid w:val="00D56E11"/>
    <w:rsid w:val="00D5703C"/>
    <w:rsid w:val="00D5728F"/>
    <w:rsid w:val="00D5779D"/>
    <w:rsid w:val="00D60D01"/>
    <w:rsid w:val="00D60EB4"/>
    <w:rsid w:val="00D60F81"/>
    <w:rsid w:val="00D62D71"/>
    <w:rsid w:val="00D62F72"/>
    <w:rsid w:val="00D63BB7"/>
    <w:rsid w:val="00D64126"/>
    <w:rsid w:val="00D64599"/>
    <w:rsid w:val="00D64D95"/>
    <w:rsid w:val="00D65163"/>
    <w:rsid w:val="00D65D3E"/>
    <w:rsid w:val="00D66594"/>
    <w:rsid w:val="00D67620"/>
    <w:rsid w:val="00D67AE3"/>
    <w:rsid w:val="00D70A43"/>
    <w:rsid w:val="00D70C7F"/>
    <w:rsid w:val="00D71C9D"/>
    <w:rsid w:val="00D71D29"/>
    <w:rsid w:val="00D72087"/>
    <w:rsid w:val="00D724A9"/>
    <w:rsid w:val="00D732C0"/>
    <w:rsid w:val="00D7362A"/>
    <w:rsid w:val="00D74906"/>
    <w:rsid w:val="00D75409"/>
    <w:rsid w:val="00D75C00"/>
    <w:rsid w:val="00D75E37"/>
    <w:rsid w:val="00D760BD"/>
    <w:rsid w:val="00D762FE"/>
    <w:rsid w:val="00D769B7"/>
    <w:rsid w:val="00D77FDC"/>
    <w:rsid w:val="00D8012B"/>
    <w:rsid w:val="00D81343"/>
    <w:rsid w:val="00D843B3"/>
    <w:rsid w:val="00D84D07"/>
    <w:rsid w:val="00D85829"/>
    <w:rsid w:val="00D85945"/>
    <w:rsid w:val="00D86DCF"/>
    <w:rsid w:val="00D86EA9"/>
    <w:rsid w:val="00D87015"/>
    <w:rsid w:val="00D902BD"/>
    <w:rsid w:val="00D903EC"/>
    <w:rsid w:val="00D90BEA"/>
    <w:rsid w:val="00D923BB"/>
    <w:rsid w:val="00D92F60"/>
    <w:rsid w:val="00D936A6"/>
    <w:rsid w:val="00D941E6"/>
    <w:rsid w:val="00D95607"/>
    <w:rsid w:val="00D967E8"/>
    <w:rsid w:val="00D96AC2"/>
    <w:rsid w:val="00D9777A"/>
    <w:rsid w:val="00D97B9E"/>
    <w:rsid w:val="00D97F3E"/>
    <w:rsid w:val="00D97F83"/>
    <w:rsid w:val="00DA0654"/>
    <w:rsid w:val="00DA12FE"/>
    <w:rsid w:val="00DA1953"/>
    <w:rsid w:val="00DA1EAB"/>
    <w:rsid w:val="00DA292B"/>
    <w:rsid w:val="00DA2C1A"/>
    <w:rsid w:val="00DA31C5"/>
    <w:rsid w:val="00DA3387"/>
    <w:rsid w:val="00DA390D"/>
    <w:rsid w:val="00DA39F5"/>
    <w:rsid w:val="00DA3B25"/>
    <w:rsid w:val="00DA3F6D"/>
    <w:rsid w:val="00DA43F4"/>
    <w:rsid w:val="00DA4A1B"/>
    <w:rsid w:val="00DA4BD2"/>
    <w:rsid w:val="00DA4DD3"/>
    <w:rsid w:val="00DA5104"/>
    <w:rsid w:val="00DA5B4A"/>
    <w:rsid w:val="00DA6264"/>
    <w:rsid w:val="00DA71A8"/>
    <w:rsid w:val="00DA749D"/>
    <w:rsid w:val="00DA7671"/>
    <w:rsid w:val="00DA7B59"/>
    <w:rsid w:val="00DB022F"/>
    <w:rsid w:val="00DB09C8"/>
    <w:rsid w:val="00DB0A6D"/>
    <w:rsid w:val="00DB0E10"/>
    <w:rsid w:val="00DB10F7"/>
    <w:rsid w:val="00DB1290"/>
    <w:rsid w:val="00DB1308"/>
    <w:rsid w:val="00DB1F59"/>
    <w:rsid w:val="00DB267E"/>
    <w:rsid w:val="00DB2F02"/>
    <w:rsid w:val="00DB334F"/>
    <w:rsid w:val="00DB33CD"/>
    <w:rsid w:val="00DB351A"/>
    <w:rsid w:val="00DB4BF5"/>
    <w:rsid w:val="00DB583A"/>
    <w:rsid w:val="00DB72E7"/>
    <w:rsid w:val="00DB7760"/>
    <w:rsid w:val="00DC0901"/>
    <w:rsid w:val="00DC0A36"/>
    <w:rsid w:val="00DC194C"/>
    <w:rsid w:val="00DC1EE3"/>
    <w:rsid w:val="00DC3664"/>
    <w:rsid w:val="00DC5CDC"/>
    <w:rsid w:val="00DC621B"/>
    <w:rsid w:val="00DC687D"/>
    <w:rsid w:val="00DC6C56"/>
    <w:rsid w:val="00DC79EB"/>
    <w:rsid w:val="00DC7A39"/>
    <w:rsid w:val="00DD09A6"/>
    <w:rsid w:val="00DD09D6"/>
    <w:rsid w:val="00DD101E"/>
    <w:rsid w:val="00DD17F7"/>
    <w:rsid w:val="00DD2109"/>
    <w:rsid w:val="00DD25E6"/>
    <w:rsid w:val="00DD3891"/>
    <w:rsid w:val="00DD3937"/>
    <w:rsid w:val="00DD3FEC"/>
    <w:rsid w:val="00DD4413"/>
    <w:rsid w:val="00DD59B3"/>
    <w:rsid w:val="00DD5B9F"/>
    <w:rsid w:val="00DD6782"/>
    <w:rsid w:val="00DD765D"/>
    <w:rsid w:val="00DE14BE"/>
    <w:rsid w:val="00DE152B"/>
    <w:rsid w:val="00DE1A07"/>
    <w:rsid w:val="00DE25E5"/>
    <w:rsid w:val="00DE2BE1"/>
    <w:rsid w:val="00DE335B"/>
    <w:rsid w:val="00DE46CB"/>
    <w:rsid w:val="00DE490F"/>
    <w:rsid w:val="00DE4D91"/>
    <w:rsid w:val="00DE4E69"/>
    <w:rsid w:val="00DE4E98"/>
    <w:rsid w:val="00DE4FCD"/>
    <w:rsid w:val="00DE5B99"/>
    <w:rsid w:val="00DE6B74"/>
    <w:rsid w:val="00DE72B1"/>
    <w:rsid w:val="00DE75E1"/>
    <w:rsid w:val="00DF03FC"/>
    <w:rsid w:val="00DF0E91"/>
    <w:rsid w:val="00DF15F5"/>
    <w:rsid w:val="00DF19E1"/>
    <w:rsid w:val="00DF1D86"/>
    <w:rsid w:val="00DF31A1"/>
    <w:rsid w:val="00DF66C1"/>
    <w:rsid w:val="00DF76C2"/>
    <w:rsid w:val="00E000EE"/>
    <w:rsid w:val="00E006AA"/>
    <w:rsid w:val="00E00751"/>
    <w:rsid w:val="00E00EA7"/>
    <w:rsid w:val="00E01F4B"/>
    <w:rsid w:val="00E024EA"/>
    <w:rsid w:val="00E02535"/>
    <w:rsid w:val="00E0296E"/>
    <w:rsid w:val="00E031FF"/>
    <w:rsid w:val="00E04358"/>
    <w:rsid w:val="00E04F7F"/>
    <w:rsid w:val="00E05276"/>
    <w:rsid w:val="00E057FC"/>
    <w:rsid w:val="00E076DC"/>
    <w:rsid w:val="00E1057F"/>
    <w:rsid w:val="00E1068C"/>
    <w:rsid w:val="00E10E4A"/>
    <w:rsid w:val="00E112A6"/>
    <w:rsid w:val="00E1221F"/>
    <w:rsid w:val="00E12434"/>
    <w:rsid w:val="00E12447"/>
    <w:rsid w:val="00E13131"/>
    <w:rsid w:val="00E13284"/>
    <w:rsid w:val="00E13537"/>
    <w:rsid w:val="00E13BA7"/>
    <w:rsid w:val="00E13BC0"/>
    <w:rsid w:val="00E13EA0"/>
    <w:rsid w:val="00E14801"/>
    <w:rsid w:val="00E149BC"/>
    <w:rsid w:val="00E16569"/>
    <w:rsid w:val="00E1752F"/>
    <w:rsid w:val="00E17760"/>
    <w:rsid w:val="00E1792C"/>
    <w:rsid w:val="00E17AD6"/>
    <w:rsid w:val="00E20075"/>
    <w:rsid w:val="00E20B1D"/>
    <w:rsid w:val="00E21AAD"/>
    <w:rsid w:val="00E22479"/>
    <w:rsid w:val="00E22843"/>
    <w:rsid w:val="00E2291F"/>
    <w:rsid w:val="00E22B02"/>
    <w:rsid w:val="00E22FC1"/>
    <w:rsid w:val="00E23089"/>
    <w:rsid w:val="00E2328E"/>
    <w:rsid w:val="00E247EB"/>
    <w:rsid w:val="00E24C45"/>
    <w:rsid w:val="00E25C06"/>
    <w:rsid w:val="00E25C47"/>
    <w:rsid w:val="00E26262"/>
    <w:rsid w:val="00E264E5"/>
    <w:rsid w:val="00E26F75"/>
    <w:rsid w:val="00E27C2F"/>
    <w:rsid w:val="00E27F7B"/>
    <w:rsid w:val="00E30733"/>
    <w:rsid w:val="00E30B5F"/>
    <w:rsid w:val="00E30B92"/>
    <w:rsid w:val="00E30BD5"/>
    <w:rsid w:val="00E30CBC"/>
    <w:rsid w:val="00E30FAF"/>
    <w:rsid w:val="00E310F5"/>
    <w:rsid w:val="00E31915"/>
    <w:rsid w:val="00E32AA8"/>
    <w:rsid w:val="00E32D68"/>
    <w:rsid w:val="00E331DC"/>
    <w:rsid w:val="00E33934"/>
    <w:rsid w:val="00E34A7B"/>
    <w:rsid w:val="00E34E41"/>
    <w:rsid w:val="00E350F5"/>
    <w:rsid w:val="00E36043"/>
    <w:rsid w:val="00E36CB1"/>
    <w:rsid w:val="00E3741D"/>
    <w:rsid w:val="00E3755F"/>
    <w:rsid w:val="00E3796C"/>
    <w:rsid w:val="00E4057B"/>
    <w:rsid w:val="00E40BE2"/>
    <w:rsid w:val="00E40C0D"/>
    <w:rsid w:val="00E4112F"/>
    <w:rsid w:val="00E41B40"/>
    <w:rsid w:val="00E42DAA"/>
    <w:rsid w:val="00E43330"/>
    <w:rsid w:val="00E434BB"/>
    <w:rsid w:val="00E436AA"/>
    <w:rsid w:val="00E4436B"/>
    <w:rsid w:val="00E4481F"/>
    <w:rsid w:val="00E45179"/>
    <w:rsid w:val="00E46AC2"/>
    <w:rsid w:val="00E47A82"/>
    <w:rsid w:val="00E512ED"/>
    <w:rsid w:val="00E51B25"/>
    <w:rsid w:val="00E522E0"/>
    <w:rsid w:val="00E53632"/>
    <w:rsid w:val="00E53EE0"/>
    <w:rsid w:val="00E54ACF"/>
    <w:rsid w:val="00E55AEC"/>
    <w:rsid w:val="00E55ECD"/>
    <w:rsid w:val="00E55F85"/>
    <w:rsid w:val="00E56195"/>
    <w:rsid w:val="00E56510"/>
    <w:rsid w:val="00E56951"/>
    <w:rsid w:val="00E570C1"/>
    <w:rsid w:val="00E57CEF"/>
    <w:rsid w:val="00E601B2"/>
    <w:rsid w:val="00E609D8"/>
    <w:rsid w:val="00E60DD1"/>
    <w:rsid w:val="00E60FF0"/>
    <w:rsid w:val="00E61A2A"/>
    <w:rsid w:val="00E61E72"/>
    <w:rsid w:val="00E62DB7"/>
    <w:rsid w:val="00E630A3"/>
    <w:rsid w:val="00E636B0"/>
    <w:rsid w:val="00E63F31"/>
    <w:rsid w:val="00E656C5"/>
    <w:rsid w:val="00E6616C"/>
    <w:rsid w:val="00E66857"/>
    <w:rsid w:val="00E67AE3"/>
    <w:rsid w:val="00E67D61"/>
    <w:rsid w:val="00E706D8"/>
    <w:rsid w:val="00E7190E"/>
    <w:rsid w:val="00E7247F"/>
    <w:rsid w:val="00E73219"/>
    <w:rsid w:val="00E737D6"/>
    <w:rsid w:val="00E74B2E"/>
    <w:rsid w:val="00E754A4"/>
    <w:rsid w:val="00E75667"/>
    <w:rsid w:val="00E75EE4"/>
    <w:rsid w:val="00E7666E"/>
    <w:rsid w:val="00E770D0"/>
    <w:rsid w:val="00E8095F"/>
    <w:rsid w:val="00E80C58"/>
    <w:rsid w:val="00E82FD5"/>
    <w:rsid w:val="00E83288"/>
    <w:rsid w:val="00E836BB"/>
    <w:rsid w:val="00E837CB"/>
    <w:rsid w:val="00E84170"/>
    <w:rsid w:val="00E84CD8"/>
    <w:rsid w:val="00E85BDA"/>
    <w:rsid w:val="00E862F5"/>
    <w:rsid w:val="00E86BC6"/>
    <w:rsid w:val="00E86F92"/>
    <w:rsid w:val="00E87A99"/>
    <w:rsid w:val="00E87EAB"/>
    <w:rsid w:val="00E90BA6"/>
    <w:rsid w:val="00E9149A"/>
    <w:rsid w:val="00E91AB6"/>
    <w:rsid w:val="00E945D8"/>
    <w:rsid w:val="00E94BCD"/>
    <w:rsid w:val="00E95026"/>
    <w:rsid w:val="00E96158"/>
    <w:rsid w:val="00E96CE4"/>
    <w:rsid w:val="00E96EBC"/>
    <w:rsid w:val="00E97813"/>
    <w:rsid w:val="00E979DC"/>
    <w:rsid w:val="00EA0545"/>
    <w:rsid w:val="00EA168C"/>
    <w:rsid w:val="00EA19F2"/>
    <w:rsid w:val="00EA3AF0"/>
    <w:rsid w:val="00EA4F90"/>
    <w:rsid w:val="00EA5225"/>
    <w:rsid w:val="00EA5712"/>
    <w:rsid w:val="00EA5891"/>
    <w:rsid w:val="00EA5C9F"/>
    <w:rsid w:val="00EA6017"/>
    <w:rsid w:val="00EA6C63"/>
    <w:rsid w:val="00EA6E66"/>
    <w:rsid w:val="00EB00CE"/>
    <w:rsid w:val="00EB0474"/>
    <w:rsid w:val="00EB04EE"/>
    <w:rsid w:val="00EB0534"/>
    <w:rsid w:val="00EB0F7D"/>
    <w:rsid w:val="00EB1040"/>
    <w:rsid w:val="00EB1114"/>
    <w:rsid w:val="00EB149A"/>
    <w:rsid w:val="00EB2EEA"/>
    <w:rsid w:val="00EB349F"/>
    <w:rsid w:val="00EB3541"/>
    <w:rsid w:val="00EB3BEA"/>
    <w:rsid w:val="00EB3E8B"/>
    <w:rsid w:val="00EB458D"/>
    <w:rsid w:val="00EB54F8"/>
    <w:rsid w:val="00EB5539"/>
    <w:rsid w:val="00EB5768"/>
    <w:rsid w:val="00EB60A9"/>
    <w:rsid w:val="00EB6271"/>
    <w:rsid w:val="00EB6324"/>
    <w:rsid w:val="00EB6916"/>
    <w:rsid w:val="00EB6A12"/>
    <w:rsid w:val="00EB6A15"/>
    <w:rsid w:val="00EB711B"/>
    <w:rsid w:val="00EC040A"/>
    <w:rsid w:val="00EC136C"/>
    <w:rsid w:val="00EC1618"/>
    <w:rsid w:val="00EC20B2"/>
    <w:rsid w:val="00EC25D3"/>
    <w:rsid w:val="00EC26B8"/>
    <w:rsid w:val="00EC30F9"/>
    <w:rsid w:val="00EC3782"/>
    <w:rsid w:val="00EC52E1"/>
    <w:rsid w:val="00EC56A5"/>
    <w:rsid w:val="00EC64DE"/>
    <w:rsid w:val="00EC655F"/>
    <w:rsid w:val="00EC6D7C"/>
    <w:rsid w:val="00EC6E98"/>
    <w:rsid w:val="00EC6FA0"/>
    <w:rsid w:val="00EC7989"/>
    <w:rsid w:val="00EC799D"/>
    <w:rsid w:val="00EC79D2"/>
    <w:rsid w:val="00EC7BD1"/>
    <w:rsid w:val="00ED03AE"/>
    <w:rsid w:val="00ED2E3E"/>
    <w:rsid w:val="00ED305C"/>
    <w:rsid w:val="00ED3F58"/>
    <w:rsid w:val="00ED401D"/>
    <w:rsid w:val="00ED42B1"/>
    <w:rsid w:val="00ED4531"/>
    <w:rsid w:val="00ED75BD"/>
    <w:rsid w:val="00ED7887"/>
    <w:rsid w:val="00ED7F3C"/>
    <w:rsid w:val="00EE1268"/>
    <w:rsid w:val="00EE1280"/>
    <w:rsid w:val="00EE15A0"/>
    <w:rsid w:val="00EE193E"/>
    <w:rsid w:val="00EE1E14"/>
    <w:rsid w:val="00EE235D"/>
    <w:rsid w:val="00EE2624"/>
    <w:rsid w:val="00EE2630"/>
    <w:rsid w:val="00EE2D24"/>
    <w:rsid w:val="00EE4512"/>
    <w:rsid w:val="00EE46EB"/>
    <w:rsid w:val="00EE4E4E"/>
    <w:rsid w:val="00EE53DD"/>
    <w:rsid w:val="00EE612F"/>
    <w:rsid w:val="00EE6A13"/>
    <w:rsid w:val="00EE6FDA"/>
    <w:rsid w:val="00EE7919"/>
    <w:rsid w:val="00EE7A42"/>
    <w:rsid w:val="00EF0956"/>
    <w:rsid w:val="00EF1898"/>
    <w:rsid w:val="00EF1F47"/>
    <w:rsid w:val="00EF316F"/>
    <w:rsid w:val="00EF35E2"/>
    <w:rsid w:val="00EF5B9E"/>
    <w:rsid w:val="00EF5E4C"/>
    <w:rsid w:val="00EF736B"/>
    <w:rsid w:val="00EF7507"/>
    <w:rsid w:val="00EF7E0E"/>
    <w:rsid w:val="00F00215"/>
    <w:rsid w:val="00F00308"/>
    <w:rsid w:val="00F003CA"/>
    <w:rsid w:val="00F0075A"/>
    <w:rsid w:val="00F01053"/>
    <w:rsid w:val="00F015B9"/>
    <w:rsid w:val="00F02036"/>
    <w:rsid w:val="00F026F4"/>
    <w:rsid w:val="00F0358D"/>
    <w:rsid w:val="00F04033"/>
    <w:rsid w:val="00F041E4"/>
    <w:rsid w:val="00F0439F"/>
    <w:rsid w:val="00F04F87"/>
    <w:rsid w:val="00F05069"/>
    <w:rsid w:val="00F05CE3"/>
    <w:rsid w:val="00F05EB7"/>
    <w:rsid w:val="00F063C0"/>
    <w:rsid w:val="00F067FC"/>
    <w:rsid w:val="00F0703B"/>
    <w:rsid w:val="00F071EC"/>
    <w:rsid w:val="00F074E2"/>
    <w:rsid w:val="00F07890"/>
    <w:rsid w:val="00F07BA1"/>
    <w:rsid w:val="00F10099"/>
    <w:rsid w:val="00F10CE4"/>
    <w:rsid w:val="00F1116D"/>
    <w:rsid w:val="00F115D8"/>
    <w:rsid w:val="00F115EC"/>
    <w:rsid w:val="00F11FE1"/>
    <w:rsid w:val="00F12230"/>
    <w:rsid w:val="00F12E72"/>
    <w:rsid w:val="00F1354A"/>
    <w:rsid w:val="00F148A7"/>
    <w:rsid w:val="00F14A9F"/>
    <w:rsid w:val="00F16EE2"/>
    <w:rsid w:val="00F210D6"/>
    <w:rsid w:val="00F2148C"/>
    <w:rsid w:val="00F22784"/>
    <w:rsid w:val="00F24367"/>
    <w:rsid w:val="00F249C1"/>
    <w:rsid w:val="00F25DFF"/>
    <w:rsid w:val="00F25E87"/>
    <w:rsid w:val="00F262C6"/>
    <w:rsid w:val="00F26420"/>
    <w:rsid w:val="00F2658B"/>
    <w:rsid w:val="00F2664D"/>
    <w:rsid w:val="00F26704"/>
    <w:rsid w:val="00F26959"/>
    <w:rsid w:val="00F3076A"/>
    <w:rsid w:val="00F30896"/>
    <w:rsid w:val="00F308A0"/>
    <w:rsid w:val="00F31227"/>
    <w:rsid w:val="00F314C5"/>
    <w:rsid w:val="00F32078"/>
    <w:rsid w:val="00F32770"/>
    <w:rsid w:val="00F32C93"/>
    <w:rsid w:val="00F3354E"/>
    <w:rsid w:val="00F33CB2"/>
    <w:rsid w:val="00F33CE1"/>
    <w:rsid w:val="00F33D7D"/>
    <w:rsid w:val="00F34AD7"/>
    <w:rsid w:val="00F35409"/>
    <w:rsid w:val="00F3582C"/>
    <w:rsid w:val="00F35A4F"/>
    <w:rsid w:val="00F35E39"/>
    <w:rsid w:val="00F36CCF"/>
    <w:rsid w:val="00F37786"/>
    <w:rsid w:val="00F37915"/>
    <w:rsid w:val="00F37C57"/>
    <w:rsid w:val="00F40669"/>
    <w:rsid w:val="00F408BB"/>
    <w:rsid w:val="00F409EE"/>
    <w:rsid w:val="00F40F6D"/>
    <w:rsid w:val="00F415AA"/>
    <w:rsid w:val="00F42B03"/>
    <w:rsid w:val="00F42E2D"/>
    <w:rsid w:val="00F43EF6"/>
    <w:rsid w:val="00F441A5"/>
    <w:rsid w:val="00F44676"/>
    <w:rsid w:val="00F449BB"/>
    <w:rsid w:val="00F44E60"/>
    <w:rsid w:val="00F44EB3"/>
    <w:rsid w:val="00F4500E"/>
    <w:rsid w:val="00F45164"/>
    <w:rsid w:val="00F45BC1"/>
    <w:rsid w:val="00F470A5"/>
    <w:rsid w:val="00F47488"/>
    <w:rsid w:val="00F4784E"/>
    <w:rsid w:val="00F479BF"/>
    <w:rsid w:val="00F5050F"/>
    <w:rsid w:val="00F50FBE"/>
    <w:rsid w:val="00F51AAB"/>
    <w:rsid w:val="00F52799"/>
    <w:rsid w:val="00F52DC3"/>
    <w:rsid w:val="00F52E6E"/>
    <w:rsid w:val="00F52F51"/>
    <w:rsid w:val="00F54019"/>
    <w:rsid w:val="00F54192"/>
    <w:rsid w:val="00F541F7"/>
    <w:rsid w:val="00F546B5"/>
    <w:rsid w:val="00F55E20"/>
    <w:rsid w:val="00F573D5"/>
    <w:rsid w:val="00F57DEF"/>
    <w:rsid w:val="00F60ADC"/>
    <w:rsid w:val="00F60B33"/>
    <w:rsid w:val="00F61151"/>
    <w:rsid w:val="00F612BE"/>
    <w:rsid w:val="00F62573"/>
    <w:rsid w:val="00F626A7"/>
    <w:rsid w:val="00F62C41"/>
    <w:rsid w:val="00F635FD"/>
    <w:rsid w:val="00F6471F"/>
    <w:rsid w:val="00F64B8E"/>
    <w:rsid w:val="00F65296"/>
    <w:rsid w:val="00F671F4"/>
    <w:rsid w:val="00F67238"/>
    <w:rsid w:val="00F67539"/>
    <w:rsid w:val="00F6775C"/>
    <w:rsid w:val="00F71511"/>
    <w:rsid w:val="00F726D9"/>
    <w:rsid w:val="00F7287A"/>
    <w:rsid w:val="00F72B1D"/>
    <w:rsid w:val="00F7414B"/>
    <w:rsid w:val="00F76850"/>
    <w:rsid w:val="00F7731F"/>
    <w:rsid w:val="00F77CBD"/>
    <w:rsid w:val="00F8059F"/>
    <w:rsid w:val="00F81185"/>
    <w:rsid w:val="00F83124"/>
    <w:rsid w:val="00F83484"/>
    <w:rsid w:val="00F835C8"/>
    <w:rsid w:val="00F83CE5"/>
    <w:rsid w:val="00F841B4"/>
    <w:rsid w:val="00F8597E"/>
    <w:rsid w:val="00F8729E"/>
    <w:rsid w:val="00F918E5"/>
    <w:rsid w:val="00F9222D"/>
    <w:rsid w:val="00F9327D"/>
    <w:rsid w:val="00F939E0"/>
    <w:rsid w:val="00F93D3B"/>
    <w:rsid w:val="00F96FC4"/>
    <w:rsid w:val="00F972D0"/>
    <w:rsid w:val="00F97C4F"/>
    <w:rsid w:val="00FA0B8A"/>
    <w:rsid w:val="00FA133A"/>
    <w:rsid w:val="00FA2181"/>
    <w:rsid w:val="00FA327A"/>
    <w:rsid w:val="00FA3665"/>
    <w:rsid w:val="00FA3898"/>
    <w:rsid w:val="00FA3A5F"/>
    <w:rsid w:val="00FA3EE4"/>
    <w:rsid w:val="00FA48FA"/>
    <w:rsid w:val="00FA4915"/>
    <w:rsid w:val="00FA622A"/>
    <w:rsid w:val="00FA6332"/>
    <w:rsid w:val="00FA6920"/>
    <w:rsid w:val="00FA6F6F"/>
    <w:rsid w:val="00FB039A"/>
    <w:rsid w:val="00FB19A5"/>
    <w:rsid w:val="00FB1B1A"/>
    <w:rsid w:val="00FB2BF2"/>
    <w:rsid w:val="00FB3040"/>
    <w:rsid w:val="00FB3127"/>
    <w:rsid w:val="00FB3157"/>
    <w:rsid w:val="00FB3AA3"/>
    <w:rsid w:val="00FB4471"/>
    <w:rsid w:val="00FB46F3"/>
    <w:rsid w:val="00FB4809"/>
    <w:rsid w:val="00FB4890"/>
    <w:rsid w:val="00FB547A"/>
    <w:rsid w:val="00FB5F9A"/>
    <w:rsid w:val="00FB608A"/>
    <w:rsid w:val="00FB6174"/>
    <w:rsid w:val="00FB6B4D"/>
    <w:rsid w:val="00FC12AB"/>
    <w:rsid w:val="00FC1C36"/>
    <w:rsid w:val="00FC2C94"/>
    <w:rsid w:val="00FC2DF2"/>
    <w:rsid w:val="00FC36C1"/>
    <w:rsid w:val="00FC4518"/>
    <w:rsid w:val="00FC4C3C"/>
    <w:rsid w:val="00FC5EEE"/>
    <w:rsid w:val="00FC608A"/>
    <w:rsid w:val="00FC6654"/>
    <w:rsid w:val="00FC6B05"/>
    <w:rsid w:val="00FC6FFA"/>
    <w:rsid w:val="00FC777A"/>
    <w:rsid w:val="00FD0561"/>
    <w:rsid w:val="00FD089A"/>
    <w:rsid w:val="00FD099B"/>
    <w:rsid w:val="00FD0D0F"/>
    <w:rsid w:val="00FD0E7F"/>
    <w:rsid w:val="00FD15CE"/>
    <w:rsid w:val="00FD1ECE"/>
    <w:rsid w:val="00FD2221"/>
    <w:rsid w:val="00FD2BDB"/>
    <w:rsid w:val="00FD30C3"/>
    <w:rsid w:val="00FD316C"/>
    <w:rsid w:val="00FD657C"/>
    <w:rsid w:val="00FD6C12"/>
    <w:rsid w:val="00FD6DB9"/>
    <w:rsid w:val="00FD6E29"/>
    <w:rsid w:val="00FE02B5"/>
    <w:rsid w:val="00FE08EE"/>
    <w:rsid w:val="00FE2497"/>
    <w:rsid w:val="00FE288B"/>
    <w:rsid w:val="00FE3F56"/>
    <w:rsid w:val="00FE46BC"/>
    <w:rsid w:val="00FE4723"/>
    <w:rsid w:val="00FE4763"/>
    <w:rsid w:val="00FE586D"/>
    <w:rsid w:val="00FE7076"/>
    <w:rsid w:val="00FE7676"/>
    <w:rsid w:val="00FE7CDC"/>
    <w:rsid w:val="00FF07DC"/>
    <w:rsid w:val="00FF0A6D"/>
    <w:rsid w:val="00FF159E"/>
    <w:rsid w:val="00FF18B9"/>
    <w:rsid w:val="00FF1BC5"/>
    <w:rsid w:val="00FF237B"/>
    <w:rsid w:val="00FF28AB"/>
    <w:rsid w:val="00FF39A4"/>
    <w:rsid w:val="00FF44BA"/>
    <w:rsid w:val="00FF4706"/>
    <w:rsid w:val="00FF4FF2"/>
    <w:rsid w:val="00FF526B"/>
    <w:rsid w:val="00FF5292"/>
    <w:rsid w:val="00FF565E"/>
    <w:rsid w:val="00FF584D"/>
    <w:rsid w:val="00FF5E3C"/>
    <w:rsid w:val="00FF7329"/>
    <w:rsid w:val="00FF7A2C"/>
    <w:rsid w:val="03DD0252"/>
    <w:rsid w:val="07327EB6"/>
    <w:rsid w:val="0D576071"/>
    <w:rsid w:val="0D67049E"/>
    <w:rsid w:val="0FAE2672"/>
    <w:rsid w:val="136E6F70"/>
    <w:rsid w:val="165E287D"/>
    <w:rsid w:val="188E4AF4"/>
    <w:rsid w:val="1C85532A"/>
    <w:rsid w:val="1D547A55"/>
    <w:rsid w:val="20076D9A"/>
    <w:rsid w:val="20AE0224"/>
    <w:rsid w:val="21C803F1"/>
    <w:rsid w:val="22453DC6"/>
    <w:rsid w:val="23C11AF6"/>
    <w:rsid w:val="26245113"/>
    <w:rsid w:val="287557BA"/>
    <w:rsid w:val="295E5B6D"/>
    <w:rsid w:val="2C50694E"/>
    <w:rsid w:val="2CD9603E"/>
    <w:rsid w:val="2D586372"/>
    <w:rsid w:val="2DB05F40"/>
    <w:rsid w:val="33D0278E"/>
    <w:rsid w:val="38596353"/>
    <w:rsid w:val="3A4A5822"/>
    <w:rsid w:val="3BD36BE4"/>
    <w:rsid w:val="3C245D0D"/>
    <w:rsid w:val="3DCF0F89"/>
    <w:rsid w:val="42C1718D"/>
    <w:rsid w:val="42EC15F2"/>
    <w:rsid w:val="455B1156"/>
    <w:rsid w:val="48170B8F"/>
    <w:rsid w:val="48421431"/>
    <w:rsid w:val="497D2E9F"/>
    <w:rsid w:val="49BB00D7"/>
    <w:rsid w:val="4CFA42A3"/>
    <w:rsid w:val="509A2B05"/>
    <w:rsid w:val="52FA5AEC"/>
    <w:rsid w:val="544174A8"/>
    <w:rsid w:val="54526DC2"/>
    <w:rsid w:val="57B936FA"/>
    <w:rsid w:val="58C22D91"/>
    <w:rsid w:val="59910720"/>
    <w:rsid w:val="5A1D0965"/>
    <w:rsid w:val="649375E6"/>
    <w:rsid w:val="66052BE0"/>
    <w:rsid w:val="675C1864"/>
    <w:rsid w:val="69EF1688"/>
    <w:rsid w:val="6E150BE9"/>
    <w:rsid w:val="7405019F"/>
    <w:rsid w:val="7A684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1E2B3C6-8DE2-42DC-B1B8-3D91E86B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unhideWhenUsed="1"/>
    <w:lsdException w:name="footnote text" w:uiPriority="0"/>
    <w:lsdException w:name="index heading"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page number" w:uiPriority="0"/>
    <w:lsdException w:name="endnote text" w:semiHidden="1" w:uiPriority="0"/>
    <w:lsdException w:name="table of authorities" w:semiHidden="1" w:unhideWhenUsed="1"/>
    <w:lsdException w:name="macro" w:semiHidden="1" w:unhideWhenUsed="1"/>
    <w:lsdException w:name="toa heading" w:uiPriority="0"/>
    <w:lsdException w:name="List" w:uiPriority="0"/>
    <w:lsdException w:name="List Bullet" w:uiPriority="0" w:unhideWhenUsed="1"/>
    <w:lsdException w:name="List Number" w:uiPriority="0"/>
    <w:lsdException w:name="List 2" w:uiPriority="0" w:unhideWhenUsed="1"/>
    <w:lsdException w:name="List 3" w:uiPriority="0" w:unhideWhenUsed="1"/>
    <w:lsdException w:name="List 4" w:semiHidden="1" w:unhideWhenUsed="1"/>
    <w:lsdException w:name="List 5" w:semiHidden="1" w:unhideWhenUsed="1"/>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unhideWhenUsed="1"/>
    <w:lsdException w:name="List Number 3" w:uiPriority="0" w:unhideWhenUsed="1"/>
    <w:lsdException w:name="List Number 4" w:uiPriority="0" w:unhideWhenUsed="1"/>
    <w:lsdException w:name="List Number 5"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lsdException w:name="List Continue" w:semiHidden="1" w:unhideWhenUsed="1"/>
    <w:lsdException w:name="List Continue 2" w:uiPriority="0" w:unhideWhenUsed="1"/>
    <w:lsdException w:name="List Continue 3" w:uiPriority="0" w:unhideWhenUsed="1"/>
    <w:lsdException w:name="List Continue 4" w:semiHidden="1" w:unhideWhenUsed="1"/>
    <w:lsdException w:name="List Continue 5" w:semiHidden="1" w:unhideWhenUsed="1"/>
    <w:lsdException w:name="Message Header"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unhideWhenUsed="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eastAsia="Times New Roman"/>
      <w:sz w:val="24"/>
    </w:rPr>
  </w:style>
  <w:style w:type="paragraph" w:styleId="Heading1">
    <w:name w:val="heading 1"/>
    <w:basedOn w:val="Normal"/>
    <w:next w:val="Normal"/>
    <w:link w:val="Heading1Char"/>
    <w:qFormat/>
    <w:pPr>
      <w:suppressAutoHyphens/>
      <w:spacing w:before="480" w:after="240"/>
      <w:jc w:val="center"/>
      <w:outlineLvl w:val="0"/>
    </w:pPr>
    <w:rPr>
      <w:rFonts w:ascii="Times New Roman Bold" w:hAnsi="Times New Roman Bold"/>
      <w:b/>
      <w:smallCaps/>
      <w:sz w:val="36"/>
    </w:rPr>
  </w:style>
  <w:style w:type="paragraph" w:styleId="Heading2">
    <w:name w:val="heading 2"/>
    <w:basedOn w:val="Normal"/>
    <w:next w:val="Normal"/>
    <w:link w:val="Heading2Char"/>
    <w:qFormat/>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basedOn w:val="Normal"/>
    <w:next w:val="Normal"/>
    <w:link w:val="Heading3Char1"/>
    <w:qFormat/>
    <w:pPr>
      <w:suppressAutoHyphens/>
      <w:jc w:val="center"/>
      <w:outlineLvl w:val="2"/>
    </w:pPr>
    <w:rPr>
      <w:b/>
      <w:sz w:val="28"/>
    </w:rPr>
  </w:style>
  <w:style w:type="paragraph" w:styleId="Heading4">
    <w:name w:val="heading 4"/>
    <w:basedOn w:val="Normal"/>
    <w:next w:val="Normal"/>
    <w:link w:val="Heading4Char"/>
    <w:uiPriority w:val="9"/>
    <w:qFormat/>
    <w:pPr>
      <w:keepNext/>
      <w:spacing w:after="200"/>
      <w:ind w:left="1422" w:right="18" w:hanging="457"/>
      <w:outlineLvl w:val="3"/>
    </w:pPr>
    <w:rPr>
      <w:b/>
      <w:bCs/>
    </w:rPr>
  </w:style>
  <w:style w:type="paragraph" w:styleId="Heading5">
    <w:name w:val="heading 5"/>
    <w:basedOn w:val="Normal"/>
    <w:next w:val="Normal"/>
    <w:link w:val="Heading5Char"/>
    <w:qFormat/>
    <w:pPr>
      <w:keepNext/>
      <w:jc w:val="center"/>
      <w:outlineLvl w:val="4"/>
    </w:pPr>
    <w:rPr>
      <w:rFonts w:ascii="Arial" w:hAnsi="Arial"/>
      <w:u w:val="single"/>
    </w:rPr>
  </w:style>
  <w:style w:type="paragraph" w:styleId="Heading6">
    <w:name w:val="heading 6"/>
    <w:basedOn w:val="Normal"/>
    <w:next w:val="Normal"/>
    <w:link w:val="Heading6Char"/>
    <w:qFormat/>
    <w:pPr>
      <w:keepNext/>
      <w:keepLines/>
      <w:suppressAutoHyphens/>
      <w:ind w:right="-72"/>
      <w:jc w:val="center"/>
      <w:outlineLvl w:val="5"/>
    </w:pPr>
    <w:rPr>
      <w:b/>
      <w:sz w:val="28"/>
    </w:rPr>
  </w:style>
  <w:style w:type="paragraph" w:styleId="Heading7">
    <w:name w:val="heading 7"/>
    <w:basedOn w:val="Normal"/>
    <w:next w:val="Normal"/>
    <w:link w:val="Heading7Char"/>
    <w:qFormat/>
    <w:pPr>
      <w:keepNext/>
      <w:jc w:val="center"/>
      <w:outlineLvl w:val="6"/>
    </w:pPr>
    <w:rPr>
      <w:b/>
      <w:sz w:val="72"/>
    </w:rPr>
  </w:style>
  <w:style w:type="paragraph" w:styleId="Heading8">
    <w:name w:val="heading 8"/>
    <w:basedOn w:val="Normal"/>
    <w:next w:val="Normal"/>
    <w:link w:val="Heading8Char"/>
    <w:qFormat/>
    <w:pPr>
      <w:keepNext/>
      <w:jc w:val="center"/>
      <w:outlineLvl w:val="7"/>
    </w:pPr>
    <w:rPr>
      <w:b/>
      <w:sz w:val="56"/>
    </w:rPr>
  </w:style>
  <w:style w:type="paragraph" w:styleId="Heading9">
    <w:name w:val="heading 9"/>
    <w:basedOn w:val="Normal"/>
    <w:next w:val="Normal"/>
    <w:link w:val="Heading9Char"/>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Tahoma" w:hAnsi="Tahoma"/>
      <w:sz w:val="16"/>
      <w:szCs w:val="16"/>
    </w:rPr>
  </w:style>
  <w:style w:type="paragraph" w:styleId="BlockText">
    <w:name w:val="Block Text"/>
    <w:basedOn w:val="Normal"/>
    <w:pPr>
      <w:tabs>
        <w:tab w:val="left" w:pos="1080"/>
      </w:tabs>
      <w:suppressAutoHyphens/>
      <w:spacing w:after="200"/>
      <w:ind w:left="547" w:right="-72" w:hanging="547"/>
    </w:pPr>
  </w:style>
  <w:style w:type="paragraph" w:styleId="BodyText">
    <w:name w:val="Body Text"/>
    <w:basedOn w:val="Normal"/>
    <w:link w:val="BodyTextChar"/>
    <w:pPr>
      <w:suppressAutoHyphens/>
      <w:ind w:right="-72"/>
    </w:pPr>
    <w:rPr>
      <w:spacing w:val="-4"/>
    </w:rPr>
  </w:style>
  <w:style w:type="paragraph" w:styleId="BodyText2">
    <w:name w:val="Body Text 2"/>
    <w:basedOn w:val="Normal"/>
    <w:link w:val="BodyText2Char"/>
    <w:pPr>
      <w:suppressAutoHyphens/>
    </w:pPr>
    <w:rPr>
      <w:i/>
    </w:rPr>
  </w:style>
  <w:style w:type="paragraph" w:styleId="BodyText3">
    <w:name w:val="Body Text 3"/>
    <w:basedOn w:val="Normal"/>
    <w:link w:val="BodyText3Char"/>
    <w:pPr>
      <w:suppressAutoHyphens/>
      <w:spacing w:after="140"/>
      <w:jc w:val="left"/>
    </w:pPr>
    <w:rPr>
      <w:i/>
      <w:iCs/>
      <w:color w:val="000000"/>
      <w:szCs w:val="24"/>
    </w:rPr>
  </w:style>
  <w:style w:type="paragraph" w:styleId="BodyTextIndent">
    <w:name w:val="Body Text Indent"/>
    <w:basedOn w:val="Normal"/>
    <w:link w:val="BodyTextIndentChar"/>
    <w:pPr>
      <w:tabs>
        <w:tab w:val="left" w:pos="1080"/>
      </w:tabs>
      <w:ind w:left="1080" w:hanging="540"/>
    </w:pPr>
  </w:style>
  <w:style w:type="paragraph" w:styleId="BodyTextIndent2">
    <w:name w:val="Body Text Indent 2"/>
    <w:basedOn w:val="Normal"/>
    <w:link w:val="BodyTextIndent2Char"/>
    <w:pPr>
      <w:tabs>
        <w:tab w:val="left" w:pos="720"/>
      </w:tabs>
      <w:ind w:left="720" w:hanging="720"/>
      <w:jc w:val="left"/>
    </w:pPr>
  </w:style>
  <w:style w:type="paragraph" w:styleId="BodyTextIndent3">
    <w:name w:val="Body Text Indent 3"/>
    <w:basedOn w:val="Normal"/>
    <w:link w:val="BodyTextIndent3Char"/>
    <w:pPr>
      <w:spacing w:before="120"/>
      <w:ind w:left="1440" w:hanging="1440"/>
    </w:pPr>
    <w:rPr>
      <w:b/>
    </w:rPr>
  </w:style>
  <w:style w:type="paragraph" w:styleId="Caption">
    <w:name w:val="caption"/>
    <w:basedOn w:val="Normal"/>
    <w:next w:val="Normal"/>
    <w:qFormat/>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pPr>
      <w:jc w:val="left"/>
    </w:pPr>
    <w:rPr>
      <w:sz w:val="20"/>
    </w:rPr>
  </w:style>
  <w:style w:type="paragraph" w:styleId="CommentSubject">
    <w:name w:val="annotation subject"/>
    <w:basedOn w:val="CommentText"/>
    <w:next w:val="CommentText"/>
    <w:link w:val="CommentSubjectChar"/>
    <w:uiPriority w:val="99"/>
    <w:pPr>
      <w:jc w:val="both"/>
    </w:pPr>
    <w:rPr>
      <w:b/>
      <w:bCs/>
    </w:rPr>
  </w:style>
  <w:style w:type="paragraph" w:styleId="DocumentMap">
    <w:name w:val="Document Map"/>
    <w:basedOn w:val="Normal"/>
    <w:link w:val="DocumentMapChar"/>
    <w:pPr>
      <w:shd w:val="clear" w:color="auto" w:fill="000080"/>
      <w:jc w:val="left"/>
    </w:pPr>
    <w:rPr>
      <w:rFonts w:ascii="Tahoma" w:hAnsi="Tahoma"/>
    </w:rPr>
  </w:style>
  <w:style w:type="character" w:styleId="Emphasis">
    <w:name w:val="Emphasis"/>
    <w:uiPriority w:val="20"/>
    <w:qFormat/>
    <w:rPr>
      <w:i/>
      <w:iCs/>
    </w:rPr>
  </w:style>
  <w:style w:type="character" w:styleId="EndnoteReference">
    <w:name w:val="endnote reference"/>
    <w:uiPriority w:val="99"/>
    <w:rPr>
      <w:rFonts w:ascii="CG Times" w:hAnsi="CG Times"/>
      <w:sz w:val="22"/>
      <w:vertAlign w:val="superscript"/>
      <w:lang w:val="en-US"/>
    </w:rPr>
  </w:style>
  <w:style w:type="paragraph" w:styleId="EndnoteText">
    <w:name w:val="endnote text"/>
    <w:basedOn w:val="Normal"/>
    <w:link w:val="EndnoteTextChar"/>
    <w:semiHidden/>
    <w:pPr>
      <w:tabs>
        <w:tab w:val="left" w:pos="-720"/>
      </w:tabs>
      <w:suppressAutoHyphens/>
      <w:jc w:val="left"/>
    </w:pPr>
    <w:rPr>
      <w:sz w:val="20"/>
      <w:lang w:val="vi-VN"/>
    </w:rPr>
  </w:style>
  <w:style w:type="character" w:styleId="FollowedHyperlink">
    <w:name w:val="FollowedHyperlink"/>
    <w:rPr>
      <w:color w:val="606420"/>
      <w:u w:val="single"/>
    </w:rPr>
  </w:style>
  <w:style w:type="paragraph" w:styleId="Footer">
    <w:name w:val="footer"/>
    <w:basedOn w:val="Normal"/>
    <w:link w:val="FooterChar"/>
    <w:uiPriority w:val="99"/>
    <w:rPr>
      <w:sz w:val="20"/>
    </w:rPr>
  </w:style>
  <w:style w:type="character" w:styleId="FootnoteReference">
    <w:name w:val="footnote reference"/>
    <w:uiPriority w:val="99"/>
    <w:rPr>
      <w:vertAlign w:val="superscript"/>
    </w:rPr>
  </w:style>
  <w:style w:type="paragraph" w:styleId="FootnoteText">
    <w:name w:val="footnote text"/>
    <w:basedOn w:val="Normal"/>
    <w:link w:val="FootnoteTextChar"/>
    <w:pPr>
      <w:tabs>
        <w:tab w:val="left" w:pos="360"/>
      </w:tabs>
      <w:ind w:left="360" w:hanging="360"/>
    </w:pPr>
    <w:rPr>
      <w:sz w:val="20"/>
    </w:rPr>
  </w:style>
  <w:style w:type="paragraph" w:styleId="Header">
    <w:name w:val="header"/>
    <w:basedOn w:val="Normal"/>
    <w:link w:val="HeaderChar"/>
    <w:uiPriority w:val="99"/>
    <w:rPr>
      <w:sz w:val="20"/>
    </w:rPr>
  </w:style>
  <w:style w:type="character" w:styleId="Hyperlink">
    <w:name w:val="Hyperlink"/>
    <w:rPr>
      <w:color w:val="0000FF"/>
      <w:u w:val="single"/>
    </w:rPr>
  </w:style>
  <w:style w:type="paragraph" w:styleId="Index1">
    <w:name w:val="index 1"/>
    <w:basedOn w:val="Normal"/>
    <w:next w:val="Normal"/>
    <w:autoRedefine/>
    <w:semiHidden/>
    <w:unhideWhenUsed/>
    <w:pPr>
      <w:ind w:left="240" w:hanging="240"/>
    </w:pPr>
  </w:style>
  <w:style w:type="paragraph" w:styleId="Index3">
    <w:name w:val="index 3"/>
    <w:basedOn w:val="Normal"/>
    <w:next w:val="Normal"/>
    <w:autoRedefine/>
    <w:uiPriority w:val="99"/>
    <w:semiHidden/>
    <w:unhideWhenUsed/>
    <w:pPr>
      <w:ind w:left="720" w:hanging="240"/>
    </w:pPr>
  </w:style>
  <w:style w:type="paragraph" w:styleId="Index9">
    <w:name w:val="index 9"/>
    <w:basedOn w:val="Normal"/>
    <w:next w:val="Normal"/>
    <w:pPr>
      <w:tabs>
        <w:tab w:val="right" w:pos="4140"/>
      </w:tabs>
      <w:ind w:left="2160" w:hanging="240"/>
      <w:jc w:val="left"/>
    </w:pPr>
    <w:rPr>
      <w:sz w:val="20"/>
    </w:rPr>
  </w:style>
  <w:style w:type="paragraph" w:styleId="IndexHeading">
    <w:name w:val="index heading"/>
    <w:basedOn w:val="Normal"/>
    <w:next w:val="Index1"/>
    <w:pPr>
      <w:jc w:val="left"/>
    </w:pPr>
    <w:rPr>
      <w:sz w:val="20"/>
    </w:rPr>
  </w:style>
  <w:style w:type="character" w:styleId="LineNumber">
    <w:name w:val="line number"/>
    <w:basedOn w:val="DefaultParagraphFont"/>
    <w:uiPriority w:val="99"/>
  </w:style>
  <w:style w:type="paragraph" w:styleId="List">
    <w:name w:val="List"/>
    <w:basedOn w:val="Normal"/>
    <w:pPr>
      <w:spacing w:before="120" w:after="120"/>
      <w:ind w:left="1440"/>
    </w:pPr>
  </w:style>
  <w:style w:type="paragraph" w:styleId="List2">
    <w:name w:val="List 2"/>
    <w:basedOn w:val="Normal"/>
    <w:unhideWhenUsed/>
    <w:pPr>
      <w:ind w:left="720" w:hanging="360"/>
      <w:jc w:val="left"/>
    </w:pPr>
    <w:rPr>
      <w:szCs w:val="24"/>
    </w:rPr>
  </w:style>
  <w:style w:type="paragraph" w:styleId="List3">
    <w:name w:val="List 3"/>
    <w:basedOn w:val="Normal"/>
    <w:unhideWhenUsed/>
    <w:pPr>
      <w:ind w:left="1080" w:hanging="360"/>
      <w:jc w:val="left"/>
    </w:pPr>
    <w:rPr>
      <w:szCs w:val="24"/>
    </w:rPr>
  </w:style>
  <w:style w:type="paragraph" w:styleId="ListBullet">
    <w:name w:val="List Bullet"/>
    <w:basedOn w:val="Normal"/>
    <w:autoRedefine/>
    <w:unhideWhenUsed/>
    <w:pPr>
      <w:tabs>
        <w:tab w:val="left" w:pos="360"/>
      </w:tabs>
      <w:ind w:left="360" w:hanging="360"/>
      <w:jc w:val="left"/>
    </w:pPr>
    <w:rPr>
      <w:sz w:val="20"/>
    </w:rPr>
  </w:style>
  <w:style w:type="paragraph" w:styleId="ListBullet2">
    <w:name w:val="List Bullet 2"/>
    <w:basedOn w:val="Normal"/>
    <w:autoRedefine/>
    <w:unhideWhenUsed/>
    <w:pPr>
      <w:tabs>
        <w:tab w:val="left" w:pos="720"/>
      </w:tabs>
      <w:ind w:left="720" w:hanging="360"/>
      <w:jc w:val="left"/>
    </w:pPr>
    <w:rPr>
      <w:sz w:val="20"/>
    </w:rPr>
  </w:style>
  <w:style w:type="paragraph" w:styleId="ListBullet3">
    <w:name w:val="List Bullet 3"/>
    <w:basedOn w:val="Normal"/>
    <w:autoRedefine/>
    <w:unhideWhenUsed/>
    <w:pPr>
      <w:tabs>
        <w:tab w:val="left" w:pos="1080"/>
      </w:tabs>
      <w:ind w:left="1080" w:hanging="360"/>
      <w:jc w:val="left"/>
    </w:pPr>
    <w:rPr>
      <w:sz w:val="20"/>
    </w:rPr>
  </w:style>
  <w:style w:type="paragraph" w:styleId="ListBullet4">
    <w:name w:val="List Bullet 4"/>
    <w:basedOn w:val="Normal"/>
    <w:autoRedefine/>
    <w:unhideWhenUsed/>
    <w:pPr>
      <w:tabs>
        <w:tab w:val="left" w:pos="1440"/>
      </w:tabs>
      <w:ind w:left="1440" w:hanging="360"/>
      <w:jc w:val="left"/>
    </w:pPr>
    <w:rPr>
      <w:sz w:val="20"/>
    </w:rPr>
  </w:style>
  <w:style w:type="paragraph" w:styleId="ListBullet5">
    <w:name w:val="List Bullet 5"/>
    <w:basedOn w:val="Normal"/>
    <w:autoRedefine/>
    <w:unhideWhenUsed/>
    <w:pPr>
      <w:tabs>
        <w:tab w:val="left" w:pos="1800"/>
      </w:tabs>
      <w:ind w:left="1800" w:hanging="360"/>
      <w:jc w:val="left"/>
    </w:pPr>
    <w:rPr>
      <w:sz w:val="20"/>
    </w:rPr>
  </w:style>
  <w:style w:type="paragraph" w:styleId="ListContinue2">
    <w:name w:val="List Continue 2"/>
    <w:basedOn w:val="Normal"/>
    <w:unhideWhenUsed/>
    <w:pPr>
      <w:spacing w:after="120"/>
      <w:ind w:left="720"/>
      <w:jc w:val="left"/>
    </w:pPr>
    <w:rPr>
      <w:szCs w:val="24"/>
    </w:rPr>
  </w:style>
  <w:style w:type="paragraph" w:styleId="ListContinue3">
    <w:name w:val="List Continue 3"/>
    <w:basedOn w:val="Normal"/>
    <w:unhideWhenUsed/>
    <w:pPr>
      <w:spacing w:after="120"/>
      <w:ind w:left="1080"/>
      <w:jc w:val="left"/>
    </w:pPr>
    <w:rPr>
      <w:szCs w:val="24"/>
    </w:rPr>
  </w:style>
  <w:style w:type="paragraph" w:styleId="ListNumber">
    <w:name w:val="List Number"/>
    <w:basedOn w:val="Normal"/>
    <w:pPr>
      <w:tabs>
        <w:tab w:val="left" w:pos="360"/>
      </w:tabs>
      <w:ind w:left="360" w:hanging="360"/>
    </w:pPr>
  </w:style>
  <w:style w:type="paragraph" w:styleId="ListNumber2">
    <w:name w:val="List Number 2"/>
    <w:basedOn w:val="Normal"/>
    <w:unhideWhenUsed/>
    <w:pPr>
      <w:tabs>
        <w:tab w:val="left" w:pos="720"/>
      </w:tabs>
      <w:ind w:left="720" w:hanging="360"/>
      <w:jc w:val="left"/>
    </w:pPr>
    <w:rPr>
      <w:sz w:val="20"/>
    </w:rPr>
  </w:style>
  <w:style w:type="paragraph" w:styleId="ListNumber3">
    <w:name w:val="List Number 3"/>
    <w:basedOn w:val="Normal"/>
    <w:unhideWhenUsed/>
    <w:pPr>
      <w:tabs>
        <w:tab w:val="left" w:pos="1080"/>
      </w:tabs>
      <w:ind w:left="1080" w:hanging="360"/>
      <w:jc w:val="left"/>
    </w:pPr>
    <w:rPr>
      <w:sz w:val="20"/>
    </w:rPr>
  </w:style>
  <w:style w:type="paragraph" w:styleId="ListNumber4">
    <w:name w:val="List Number 4"/>
    <w:basedOn w:val="Normal"/>
    <w:unhideWhenUsed/>
    <w:pPr>
      <w:tabs>
        <w:tab w:val="left" w:pos="1440"/>
      </w:tabs>
      <w:ind w:left="1440" w:hanging="360"/>
      <w:jc w:val="left"/>
    </w:pPr>
    <w:rPr>
      <w:sz w:val="20"/>
    </w:rPr>
  </w:style>
  <w:style w:type="paragraph" w:styleId="ListNumber5">
    <w:name w:val="List Number 5"/>
    <w:basedOn w:val="Normal"/>
    <w:unhideWhenUsed/>
    <w:pPr>
      <w:tabs>
        <w:tab w:val="left" w:pos="1800"/>
      </w:tabs>
      <w:ind w:left="1800" w:hanging="360"/>
      <w:jc w:val="left"/>
    </w:pPr>
    <w:rPr>
      <w:sz w:val="20"/>
    </w:rPr>
  </w:style>
  <w:style w:type="paragraph" w:styleId="MessageHeader">
    <w:name w:val="Message Header"/>
    <w:basedOn w:val="Normal"/>
    <w:link w:val="MessageHeaderChar"/>
    <w:unhideWhenUse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paragraph" w:styleId="NormalWeb">
    <w:name w:val="Normal (Web)"/>
    <w:basedOn w:val="Normal"/>
    <w:uiPriority w:val="99"/>
    <w:pPr>
      <w:spacing w:before="100" w:beforeAutospacing="1" w:after="100" w:afterAutospacing="1"/>
      <w:jc w:val="left"/>
    </w:pPr>
    <w:rPr>
      <w:rFonts w:ascii="Arial Unicode MS" w:eastAsia="Arial Unicode MS" w:hAnsi="Arial Unicode MS" w:cs="Arial Unicode MS"/>
      <w:szCs w:val="24"/>
    </w:rPr>
  </w:style>
  <w:style w:type="paragraph" w:styleId="NormalIndent">
    <w:name w:val="Normal Indent"/>
    <w:basedOn w:val="Normal"/>
    <w:unhideWhenUsed/>
    <w:pPr>
      <w:ind w:left="720"/>
      <w:jc w:val="left"/>
    </w:pPr>
    <w:rPr>
      <w:szCs w:val="24"/>
    </w:rPr>
  </w:style>
  <w:style w:type="paragraph" w:styleId="NoteHeading">
    <w:name w:val="Note Heading"/>
    <w:basedOn w:val="Normal"/>
    <w:next w:val="Normal"/>
    <w:link w:val="NoteHeadingChar"/>
    <w:unhideWhenUsed/>
    <w:pPr>
      <w:suppressAutoHyphens/>
      <w:overflowPunct w:val="0"/>
      <w:autoSpaceDE w:val="0"/>
      <w:autoSpaceDN w:val="0"/>
      <w:adjustRightInd w:val="0"/>
    </w:pPr>
  </w:style>
  <w:style w:type="character" w:styleId="PageNumber">
    <w:name w:val="page number"/>
    <w:basedOn w:val="DefaultParagraphFont"/>
  </w:style>
  <w:style w:type="paragraph" w:styleId="Subtitle">
    <w:name w:val="Subtitle"/>
    <w:basedOn w:val="Normal"/>
    <w:link w:val="SubtitleChar"/>
    <w:qFormat/>
    <w:pPr>
      <w:jc w:val="center"/>
    </w:pPr>
    <w:rPr>
      <w:b/>
      <w:sz w:val="44"/>
    </w:rPr>
  </w:style>
  <w:style w:type="paragraph" w:styleId="Title">
    <w:name w:val="Title"/>
    <w:basedOn w:val="Normal"/>
    <w:link w:val="TitleChar"/>
    <w:qFormat/>
    <w:pPr>
      <w:spacing w:before="240" w:after="60"/>
      <w:jc w:val="center"/>
    </w:pPr>
    <w:rPr>
      <w:rFonts w:ascii="Arial" w:hAnsi="Arial"/>
      <w:b/>
      <w:kern w:val="28"/>
      <w:sz w:val="32"/>
    </w:rPr>
  </w:style>
  <w:style w:type="paragraph" w:styleId="TOAHeading">
    <w:name w:val="toa heading"/>
    <w:basedOn w:val="Normal"/>
    <w:next w:val="Normal"/>
    <w:pPr>
      <w:tabs>
        <w:tab w:val="left" w:pos="9000"/>
        <w:tab w:val="right" w:pos="9360"/>
      </w:tabs>
      <w:suppressAutoHyphens/>
    </w:pPr>
  </w:style>
  <w:style w:type="paragraph" w:styleId="TOC1">
    <w:name w:val="toc 1"/>
    <w:basedOn w:val="Normal"/>
    <w:next w:val="Normal"/>
    <w:autoRedefine/>
    <w:uiPriority w:val="39"/>
    <w:qFormat/>
    <w:pPr>
      <w:tabs>
        <w:tab w:val="right" w:leader="dot" w:pos="9062"/>
      </w:tabs>
      <w:spacing w:before="80" w:after="80"/>
      <w:ind w:firstLine="709"/>
      <w:outlineLvl w:val="2"/>
    </w:pPr>
    <w:rPr>
      <w:rFonts w:eastAsia="Batang"/>
      <w:b/>
      <w:bCs/>
      <w:iCs/>
      <w:kern w:val="36"/>
      <w:sz w:val="28"/>
      <w:szCs w:val="28"/>
      <w:lang w:val="nl-NL"/>
    </w:rPr>
  </w:style>
  <w:style w:type="paragraph" w:styleId="TOC2">
    <w:name w:val="toc 2"/>
    <w:basedOn w:val="Normal"/>
    <w:next w:val="Normal"/>
    <w:uiPriority w:val="39"/>
    <w:pPr>
      <w:tabs>
        <w:tab w:val="right" w:leader="dot" w:pos="9000"/>
      </w:tabs>
      <w:suppressAutoHyphens/>
      <w:ind w:left="1440" w:hanging="720"/>
    </w:pPr>
  </w:style>
  <w:style w:type="paragraph" w:styleId="TOC3">
    <w:name w:val="toc 3"/>
    <w:basedOn w:val="Normal"/>
    <w:next w:val="Normal"/>
    <w:pPr>
      <w:tabs>
        <w:tab w:val="right" w:leader="dot" w:pos="9000"/>
      </w:tabs>
      <w:suppressAutoHyphens/>
      <w:ind w:left="1440" w:hanging="720"/>
    </w:pPr>
    <w:rPr>
      <w:i/>
    </w:rPr>
  </w:style>
  <w:style w:type="paragraph" w:styleId="TOC4">
    <w:name w:val="toc 4"/>
    <w:basedOn w:val="Normal"/>
    <w:next w:val="Normal"/>
    <w:pPr>
      <w:tabs>
        <w:tab w:val="left" w:leader="dot" w:pos="8640"/>
        <w:tab w:val="right" w:pos="9000"/>
      </w:tabs>
      <w:suppressAutoHyphens/>
      <w:ind w:left="2880" w:right="720" w:hanging="720"/>
    </w:pPr>
  </w:style>
  <w:style w:type="paragraph" w:styleId="TOC5">
    <w:name w:val="toc 5"/>
    <w:basedOn w:val="Normal"/>
    <w:next w:val="Normal"/>
    <w:pPr>
      <w:tabs>
        <w:tab w:val="left" w:leader="dot" w:pos="8640"/>
        <w:tab w:val="right" w:pos="9000"/>
      </w:tabs>
      <w:suppressAutoHyphens/>
      <w:ind w:left="3600" w:right="720" w:hanging="720"/>
    </w:pPr>
  </w:style>
  <w:style w:type="paragraph" w:styleId="TOC6">
    <w:name w:val="toc 6"/>
    <w:basedOn w:val="Normal"/>
    <w:next w:val="Normal"/>
    <w:pPr>
      <w:tabs>
        <w:tab w:val="left" w:pos="8640"/>
        <w:tab w:val="right" w:pos="9000"/>
      </w:tabs>
      <w:suppressAutoHyphens/>
      <w:ind w:left="720" w:hanging="720"/>
    </w:pPr>
  </w:style>
  <w:style w:type="paragraph" w:styleId="TOC7">
    <w:name w:val="toc 7"/>
    <w:basedOn w:val="Normal"/>
    <w:next w:val="Normal"/>
    <w:pPr>
      <w:suppressAutoHyphens/>
      <w:ind w:left="720" w:hanging="720"/>
    </w:pPr>
  </w:style>
  <w:style w:type="paragraph" w:styleId="TOC8">
    <w:name w:val="toc 8"/>
    <w:basedOn w:val="Normal"/>
    <w:next w:val="Normal"/>
    <w:pPr>
      <w:tabs>
        <w:tab w:val="left" w:pos="8640"/>
        <w:tab w:val="right" w:pos="9000"/>
      </w:tabs>
      <w:suppressAutoHyphens/>
      <w:ind w:left="720" w:hanging="720"/>
    </w:pPr>
  </w:style>
  <w:style w:type="paragraph" w:styleId="TOC9">
    <w:name w:val="toc 9"/>
    <w:basedOn w:val="Normal"/>
    <w:next w:val="Normal"/>
    <w:pPr>
      <w:tabs>
        <w:tab w:val="left" w:leader="dot" w:pos="8640"/>
        <w:tab w:val="right" w:pos="9000"/>
      </w:tabs>
      <w:suppressAutoHyphens/>
      <w:ind w:left="720" w:hanging="720"/>
    </w:pPr>
  </w:style>
  <w:style w:type="character" w:customStyle="1" w:styleId="Heading1Char">
    <w:name w:val="Heading 1 Char"/>
    <w:link w:val="Heading1"/>
    <w:qFormat/>
    <w:rPr>
      <w:rFonts w:ascii="Times New Roman Bold" w:eastAsia="Times New Roman" w:hAnsi="Times New Roman Bold" w:cs="Times New Roman"/>
      <w:b/>
      <w:smallCaps/>
      <w:sz w:val="36"/>
      <w:szCs w:val="20"/>
      <w:lang w:val="en-US"/>
    </w:rPr>
  </w:style>
  <w:style w:type="character" w:customStyle="1" w:styleId="Heading2Char">
    <w:name w:val="Heading 2 Char"/>
    <w:link w:val="Heading2"/>
    <w:qFormat/>
    <w:rPr>
      <w:rFonts w:ascii="Times New Roman Bold" w:eastAsia="Times New Roman" w:hAnsi="Times New Roman Bold" w:cs="Times New Roman"/>
      <w:b/>
      <w:szCs w:val="20"/>
      <w:lang w:val="en-US"/>
    </w:rPr>
  </w:style>
  <w:style w:type="character" w:customStyle="1" w:styleId="Heading3Char1">
    <w:name w:val="Heading 3 Char1"/>
    <w:link w:val="Heading3"/>
    <w:qFormat/>
    <w:rPr>
      <w:rFonts w:eastAsia="Times New Roman" w:cs="Times New Roman"/>
      <w:b/>
      <w:szCs w:val="20"/>
      <w:lang w:val="en-US"/>
    </w:rPr>
  </w:style>
  <w:style w:type="character" w:customStyle="1" w:styleId="Heading4Char">
    <w:name w:val="Heading 4 Char"/>
    <w:link w:val="Heading4"/>
    <w:uiPriority w:val="9"/>
    <w:qFormat/>
    <w:rPr>
      <w:rFonts w:eastAsia="Times New Roman" w:cs="Times New Roman"/>
      <w:b/>
      <w:bCs/>
      <w:sz w:val="24"/>
      <w:szCs w:val="20"/>
      <w:lang w:val="en-US"/>
    </w:rPr>
  </w:style>
  <w:style w:type="character" w:customStyle="1" w:styleId="Heading5Char">
    <w:name w:val="Heading 5 Char"/>
    <w:link w:val="Heading5"/>
    <w:qFormat/>
    <w:rPr>
      <w:rFonts w:ascii="Arial" w:eastAsia="Times New Roman" w:hAnsi="Arial" w:cs="Times New Roman"/>
      <w:sz w:val="24"/>
      <w:szCs w:val="20"/>
      <w:u w:val="single"/>
      <w:lang w:val="en-US"/>
    </w:rPr>
  </w:style>
  <w:style w:type="character" w:customStyle="1" w:styleId="Heading6Char">
    <w:name w:val="Heading 6 Char"/>
    <w:link w:val="Heading6"/>
    <w:qFormat/>
    <w:rPr>
      <w:rFonts w:eastAsia="Times New Roman" w:cs="Times New Roman"/>
      <w:b/>
      <w:szCs w:val="20"/>
      <w:lang w:val="en-US"/>
    </w:rPr>
  </w:style>
  <w:style w:type="character" w:customStyle="1" w:styleId="Heading7Char">
    <w:name w:val="Heading 7 Char"/>
    <w:link w:val="Heading7"/>
    <w:qFormat/>
    <w:rPr>
      <w:rFonts w:eastAsia="Times New Roman" w:cs="Times New Roman"/>
      <w:b/>
      <w:sz w:val="72"/>
      <w:szCs w:val="20"/>
      <w:lang w:val="en-US"/>
    </w:rPr>
  </w:style>
  <w:style w:type="character" w:customStyle="1" w:styleId="Heading8Char">
    <w:name w:val="Heading 8 Char"/>
    <w:link w:val="Heading8"/>
    <w:qFormat/>
    <w:rPr>
      <w:rFonts w:eastAsia="Times New Roman" w:cs="Times New Roman"/>
      <w:b/>
      <w:sz w:val="56"/>
      <w:szCs w:val="20"/>
      <w:lang w:val="en-US"/>
    </w:rPr>
  </w:style>
  <w:style w:type="character" w:customStyle="1" w:styleId="Heading9Char">
    <w:name w:val="Heading 9 Char"/>
    <w:link w:val="Heading9"/>
    <w:qFormat/>
    <w:rPr>
      <w:rFonts w:ascii="Arial" w:eastAsia="Times New Roman" w:hAnsi="Arial" w:cs="Times New Roman"/>
      <w:b/>
      <w:i/>
      <w:sz w:val="18"/>
      <w:szCs w:val="20"/>
    </w:rPr>
  </w:style>
  <w:style w:type="character" w:customStyle="1" w:styleId="Heading3Char">
    <w:name w:val="Heading 3 Char"/>
    <w:uiPriority w:val="9"/>
    <w:qFormat/>
    <w:rPr>
      <w:rFonts w:ascii="Times New Roman" w:eastAsia="Times New Roman" w:hAnsi="Times New Roman" w:cs="Times New Roman"/>
      <w:color w:val="1F4D78"/>
      <w:sz w:val="24"/>
      <w:szCs w:val="24"/>
      <w:lang w:val="en-US"/>
    </w:rPr>
  </w:style>
  <w:style w:type="character" w:customStyle="1" w:styleId="Bibliogrphy">
    <w:name w:val="Bibliogrphy"/>
    <w:basedOn w:val="DefaultParagraphFont"/>
    <w:qFormat/>
  </w:style>
  <w:style w:type="character" w:customStyle="1" w:styleId="DocInit">
    <w:name w:val="Doc Init"/>
    <w:basedOn w:val="DefaultParagraphFont"/>
    <w:qFormat/>
  </w:style>
  <w:style w:type="paragraph" w:customStyle="1" w:styleId="Document1">
    <w:name w:val="Document 1"/>
    <w:qFormat/>
    <w:pPr>
      <w:keepNext/>
      <w:keepLines/>
      <w:tabs>
        <w:tab w:val="left" w:pos="-720"/>
      </w:tabs>
      <w:suppressAutoHyphens/>
    </w:pPr>
    <w:rPr>
      <w:rFonts w:ascii="Times" w:eastAsia="Times New Roman" w:hAnsi="Times"/>
      <w:sz w:val="24"/>
    </w:rPr>
  </w:style>
  <w:style w:type="character" w:customStyle="1" w:styleId="Document2">
    <w:name w:val="Document 2"/>
    <w:qFormat/>
    <w:rPr>
      <w:rFonts w:ascii="Times" w:hAnsi="Times"/>
      <w:sz w:val="24"/>
      <w:lang w:val="en-US"/>
    </w:rPr>
  </w:style>
  <w:style w:type="character" w:customStyle="1" w:styleId="Document3">
    <w:name w:val="Document 3"/>
    <w:qFormat/>
    <w:rPr>
      <w:rFonts w:ascii="Times" w:hAnsi="Times"/>
      <w:sz w:val="24"/>
      <w:lang w:val="en-US"/>
    </w:rPr>
  </w:style>
  <w:style w:type="character" w:customStyle="1" w:styleId="Document4">
    <w:name w:val="Document 4"/>
    <w:qFormat/>
    <w:rPr>
      <w:b/>
      <w:i/>
      <w:sz w:val="24"/>
    </w:rPr>
  </w:style>
  <w:style w:type="character" w:customStyle="1" w:styleId="Document5">
    <w:name w:val="Document 5"/>
    <w:basedOn w:val="DefaultParagraphFont"/>
    <w:qFormat/>
  </w:style>
  <w:style w:type="character" w:customStyle="1" w:styleId="Document6">
    <w:name w:val="Document 6"/>
    <w:basedOn w:val="DefaultParagraphFont"/>
    <w:qFormat/>
  </w:style>
  <w:style w:type="character" w:customStyle="1" w:styleId="Document7">
    <w:name w:val="Document 7"/>
    <w:basedOn w:val="DefaultParagraphFont"/>
    <w:qFormat/>
  </w:style>
  <w:style w:type="character" w:customStyle="1" w:styleId="Document8">
    <w:name w:val="Document 8"/>
    <w:basedOn w:val="DefaultParagraphFont"/>
    <w:qFormat/>
  </w:style>
  <w:style w:type="character" w:customStyle="1" w:styleId="TechInit">
    <w:name w:val="Tech Init"/>
    <w:qFormat/>
    <w:rPr>
      <w:rFonts w:ascii="Times" w:hAnsi="Times"/>
      <w:sz w:val="24"/>
      <w:lang w:val="en-US"/>
    </w:rPr>
  </w:style>
  <w:style w:type="character" w:customStyle="1" w:styleId="Technical1">
    <w:name w:val="Technical 1"/>
    <w:qFormat/>
    <w:rPr>
      <w:rFonts w:ascii="Times" w:hAnsi="Times"/>
      <w:sz w:val="24"/>
      <w:lang w:val="en-US"/>
    </w:rPr>
  </w:style>
  <w:style w:type="character" w:customStyle="1" w:styleId="Technical2">
    <w:name w:val="Technical 2"/>
    <w:qFormat/>
    <w:rPr>
      <w:rFonts w:ascii="Times" w:hAnsi="Times"/>
      <w:sz w:val="24"/>
      <w:lang w:val="en-US"/>
    </w:rPr>
  </w:style>
  <w:style w:type="character" w:customStyle="1" w:styleId="Technical3">
    <w:name w:val="Technical 3"/>
    <w:qFormat/>
    <w:rPr>
      <w:rFonts w:ascii="Times" w:hAnsi="Times"/>
      <w:sz w:val="24"/>
      <w:lang w:val="en-US"/>
    </w:rPr>
  </w:style>
  <w:style w:type="paragraph" w:customStyle="1" w:styleId="Technical4">
    <w:name w:val="Technical 4"/>
    <w:qFormat/>
    <w:pPr>
      <w:tabs>
        <w:tab w:val="left" w:pos="-720"/>
      </w:tabs>
      <w:suppressAutoHyphens/>
    </w:pPr>
    <w:rPr>
      <w:rFonts w:ascii="Times" w:eastAsia="Times New Roman" w:hAnsi="Times"/>
      <w:b/>
      <w:sz w:val="24"/>
    </w:rPr>
  </w:style>
  <w:style w:type="paragraph" w:customStyle="1" w:styleId="Technical5">
    <w:name w:val="Technical 5"/>
    <w:qFormat/>
    <w:pPr>
      <w:tabs>
        <w:tab w:val="left" w:pos="-720"/>
      </w:tabs>
      <w:suppressAutoHyphens/>
      <w:ind w:firstLine="720"/>
    </w:pPr>
    <w:rPr>
      <w:rFonts w:ascii="Times" w:eastAsia="Times New Roman" w:hAnsi="Times"/>
      <w:b/>
      <w:sz w:val="24"/>
    </w:rPr>
  </w:style>
  <w:style w:type="paragraph" w:customStyle="1" w:styleId="Technical6">
    <w:name w:val="Technical 6"/>
    <w:qFormat/>
    <w:pPr>
      <w:tabs>
        <w:tab w:val="left" w:pos="-720"/>
      </w:tabs>
      <w:suppressAutoHyphens/>
      <w:ind w:firstLine="720"/>
    </w:pPr>
    <w:rPr>
      <w:rFonts w:ascii="Times" w:eastAsia="Times New Roman" w:hAnsi="Times"/>
      <w:b/>
      <w:sz w:val="24"/>
    </w:rPr>
  </w:style>
  <w:style w:type="paragraph" w:customStyle="1" w:styleId="Technical7">
    <w:name w:val="Technical 7"/>
    <w:qFormat/>
    <w:pPr>
      <w:tabs>
        <w:tab w:val="left" w:pos="-720"/>
      </w:tabs>
      <w:suppressAutoHyphens/>
      <w:ind w:firstLine="720"/>
    </w:pPr>
    <w:rPr>
      <w:rFonts w:ascii="Times" w:eastAsia="Times New Roman" w:hAnsi="Times"/>
      <w:b/>
      <w:sz w:val="24"/>
    </w:rPr>
  </w:style>
  <w:style w:type="paragraph" w:customStyle="1" w:styleId="Technical8">
    <w:name w:val="Technical 8"/>
    <w:qFormat/>
    <w:pPr>
      <w:tabs>
        <w:tab w:val="left" w:pos="-720"/>
      </w:tabs>
      <w:suppressAutoHyphens/>
      <w:ind w:firstLine="720"/>
    </w:pPr>
    <w:rPr>
      <w:rFonts w:ascii="Times" w:eastAsia="Times New Roman" w:hAnsi="Times"/>
      <w:b/>
      <w:sz w:val="24"/>
    </w:rPr>
  </w:style>
  <w:style w:type="paragraph" w:customStyle="1" w:styleId="Pleading">
    <w:name w:val="Pleading"/>
    <w:pPr>
      <w:tabs>
        <w:tab w:val="left" w:pos="-720"/>
      </w:tabs>
      <w:suppressAutoHyphens/>
      <w:spacing w:line="240" w:lineRule="exact"/>
    </w:pPr>
    <w:rPr>
      <w:rFonts w:ascii="Times" w:eastAsia="Times New Roman" w:hAnsi="Times"/>
      <w:sz w:val="24"/>
    </w:rPr>
  </w:style>
  <w:style w:type="paragraph" w:customStyle="1" w:styleId="RightPar1">
    <w:name w:val="Right Par 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character" w:customStyle="1" w:styleId="EquationCaption">
    <w:name w:val="_Equation Caption"/>
  </w:style>
  <w:style w:type="character" w:customStyle="1" w:styleId="vlpgno">
    <w:name w:val="vl.pg.no."/>
    <w:rPr>
      <w:rFonts w:ascii="Times" w:hAnsi="Times"/>
      <w:b/>
      <w:sz w:val="20"/>
      <w:lang w:val="en-US"/>
    </w:rPr>
  </w:style>
  <w:style w:type="character" w:customStyle="1" w:styleId="TitleChar">
    <w:name w:val="Title Char"/>
    <w:link w:val="Title"/>
    <w:rPr>
      <w:rFonts w:ascii="Arial" w:eastAsia="Times New Roman" w:hAnsi="Arial" w:cs="Times New Roman"/>
      <w:b/>
      <w:kern w:val="28"/>
      <w:sz w:val="32"/>
      <w:szCs w:val="20"/>
      <w:lang w:val="en-US"/>
    </w:rPr>
  </w:style>
  <w:style w:type="character" w:customStyle="1" w:styleId="footnote">
    <w:name w:val="footnote"/>
    <w:rPr>
      <w:rFonts w:ascii="Book Antiqua" w:hAnsi="Book Antiqua"/>
      <w:sz w:val="24"/>
      <w:lang w:val="en-US"/>
    </w:rPr>
  </w:style>
  <w:style w:type="character" w:customStyle="1" w:styleId="HeaderChar">
    <w:name w:val="Header Char"/>
    <w:link w:val="Header"/>
    <w:uiPriority w:val="99"/>
    <w:rPr>
      <w:rFonts w:eastAsia="Times New Roman" w:cs="Times New Roman"/>
      <w:sz w:val="20"/>
      <w:szCs w:val="20"/>
      <w:lang w:val="en-US"/>
    </w:rPr>
  </w:style>
  <w:style w:type="character" w:customStyle="1" w:styleId="FooterChar">
    <w:name w:val="Footer Char"/>
    <w:link w:val="Footer"/>
    <w:uiPriority w:val="99"/>
    <w:rPr>
      <w:rFonts w:eastAsia="Times New Roman" w:cs="Times New Roman"/>
      <w:sz w:val="20"/>
      <w:szCs w:val="20"/>
      <w:lang w:val="en-US"/>
    </w:rPr>
  </w:style>
  <w:style w:type="character" w:customStyle="1" w:styleId="FootnoteTextChar">
    <w:name w:val="Footnote Text Char"/>
    <w:link w:val="FootnoteText"/>
    <w:rPr>
      <w:rFonts w:eastAsia="Times New Roman" w:cs="Times New Roman"/>
      <w:sz w:val="20"/>
      <w:szCs w:val="20"/>
      <w:lang w:val="en-US"/>
    </w:rPr>
  </w:style>
  <w:style w:type="paragraph" w:customStyle="1" w:styleId="Head21">
    <w:name w:val="Head 2.1"/>
    <w:basedOn w:val="Normal"/>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pPr>
      <w:tabs>
        <w:tab w:val="left" w:pos="360"/>
      </w:tabs>
      <w:suppressAutoHyphens/>
      <w:spacing w:after="240"/>
      <w:ind w:left="360" w:hanging="360"/>
      <w:jc w:val="left"/>
    </w:pPr>
    <w:rPr>
      <w:b/>
    </w:rPr>
  </w:style>
  <w:style w:type="character" w:customStyle="1" w:styleId="insert2">
    <w:name w:val="insert2"/>
    <w:rPr>
      <w:rFonts w:ascii="Arial" w:hAnsi="Arial"/>
      <w:i/>
      <w:sz w:val="24"/>
      <w:lang w:val="en-US"/>
    </w:rPr>
  </w:style>
  <w:style w:type="character" w:customStyle="1" w:styleId="reference">
    <w:name w:val="reference"/>
    <w:rPr>
      <w:rFonts w:ascii="Book Antiqua" w:hAnsi="Book Antiqua"/>
      <w:i/>
      <w:sz w:val="24"/>
      <w:lang w:val="en-US"/>
    </w:rPr>
  </w:style>
  <w:style w:type="paragraph" w:customStyle="1" w:styleId="Headingrb2">
    <w:name w:val="Heading rb2"/>
    <w:basedOn w:val="Normal"/>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style>
  <w:style w:type="paragraph" w:customStyle="1" w:styleId="Head2">
    <w:name w:val="Head 2"/>
    <w:basedOn w:val="Normal"/>
    <w:autoRedefine/>
    <w:pPr>
      <w:spacing w:before="120" w:after="120"/>
    </w:pPr>
    <w:rPr>
      <w:b/>
      <w:lang w:val="en-GB"/>
    </w:rPr>
  </w:style>
  <w:style w:type="paragraph" w:customStyle="1" w:styleId="explanatoryclause">
    <w:name w:val="explanatory_clause"/>
    <w:basedOn w:val="Normal"/>
    <w:pPr>
      <w:suppressAutoHyphens/>
      <w:spacing w:after="240"/>
      <w:ind w:left="738" w:right="-14" w:hanging="738"/>
      <w:jc w:val="left"/>
    </w:pPr>
    <w:rPr>
      <w:rFonts w:ascii="Arial" w:hAnsi="Arial"/>
      <w:sz w:val="22"/>
    </w:rPr>
  </w:style>
  <w:style w:type="paragraph" w:customStyle="1" w:styleId="explanatorynotes">
    <w:name w:val="explanatory_notes"/>
    <w:basedOn w:val="Normal"/>
    <w:pPr>
      <w:suppressAutoHyphens/>
      <w:spacing w:after="240" w:line="360" w:lineRule="exact"/>
    </w:pPr>
    <w:rPr>
      <w:rFonts w:ascii="Arial" w:hAnsi="Arial"/>
    </w:rPr>
  </w:style>
  <w:style w:type="paragraph" w:customStyle="1" w:styleId="Head22b">
    <w:name w:val="Head 2.2b"/>
    <w:basedOn w:val="Normal"/>
    <w:pPr>
      <w:suppressAutoHyphens/>
      <w:spacing w:after="240"/>
      <w:ind w:left="360" w:hanging="360"/>
      <w:jc w:val="left"/>
    </w:pPr>
    <w:rPr>
      <w:rFonts w:ascii="Tms Rmn" w:hAnsi="Tms Rmn"/>
      <w:b/>
    </w:rPr>
  </w:style>
  <w:style w:type="paragraph" w:customStyle="1" w:styleId="Head31">
    <w:name w:val="Head 3.1"/>
    <w:basedOn w:val="Head21"/>
  </w:style>
  <w:style w:type="paragraph" w:customStyle="1" w:styleId="Head41">
    <w:name w:val="Head 4.1"/>
    <w:basedOn w:val="Head21"/>
  </w:style>
  <w:style w:type="paragraph" w:customStyle="1" w:styleId="Head42">
    <w:name w:val="Head 4.2"/>
    <w:basedOn w:val="Normal"/>
    <w:pPr>
      <w:suppressAutoHyphens/>
      <w:spacing w:after="240"/>
      <w:ind w:left="360" w:hanging="360"/>
      <w:jc w:val="left"/>
    </w:pPr>
    <w:rPr>
      <w:b/>
    </w:rPr>
  </w:style>
  <w:style w:type="paragraph" w:customStyle="1" w:styleId="Head51">
    <w:name w:val="Head 5.1"/>
    <w:basedOn w:val="Head21"/>
    <w:pPr>
      <w:spacing w:after="0"/>
    </w:pPr>
  </w:style>
  <w:style w:type="paragraph" w:customStyle="1" w:styleId="Head52">
    <w:name w:val="Head 5.2"/>
    <w:basedOn w:val="Normal"/>
    <w:pPr>
      <w:keepNext/>
      <w:suppressAutoHyphens/>
      <w:spacing w:before="480" w:after="240"/>
      <w:ind w:left="547" w:hanging="547"/>
      <w:jc w:val="center"/>
    </w:pPr>
    <w:rPr>
      <w:b/>
    </w:rPr>
  </w:style>
  <w:style w:type="paragraph" w:customStyle="1" w:styleId="Head61">
    <w:name w:val="Head 6.1"/>
    <w:basedOn w:val="Head51"/>
    <w:pPr>
      <w:pBdr>
        <w:bottom w:val="none" w:sz="0" w:space="0" w:color="auto"/>
      </w:pBdr>
      <w:spacing w:before="0" w:after="240"/>
    </w:pPr>
    <w:rPr>
      <w:caps/>
    </w:rPr>
  </w:style>
  <w:style w:type="paragraph" w:customStyle="1" w:styleId="Head71">
    <w:name w:val="Head 7.1"/>
    <w:basedOn w:val="Head21"/>
  </w:style>
  <w:style w:type="paragraph" w:customStyle="1" w:styleId="Head72">
    <w:name w:val="Head 7.2"/>
    <w:basedOn w:val="Normal"/>
    <w:pPr>
      <w:suppressAutoHyphens/>
      <w:spacing w:after="240"/>
      <w:ind w:left="720" w:hanging="720"/>
      <w:jc w:val="left"/>
    </w:pPr>
    <w:rPr>
      <w:rFonts w:ascii="Times New Roman Bold" w:hAnsi="Times New Roman Bold"/>
      <w:b/>
      <w:sz w:val="28"/>
    </w:rPr>
  </w:style>
  <w:style w:type="paragraph" w:customStyle="1" w:styleId="Head81">
    <w:name w:val="Head 8.1"/>
    <w:basedOn w:val="Heading1"/>
    <w:pPr>
      <w:outlineLvl w:val="9"/>
    </w:pPr>
    <w:rPr>
      <w:smallCaps w:val="0"/>
      <w:sz w:val="32"/>
    </w:rPr>
  </w:style>
  <w:style w:type="paragraph" w:customStyle="1" w:styleId="Head82">
    <w:name w:val="Head 8.2"/>
    <w:basedOn w:val="Head81"/>
    <w:rPr>
      <w:smallCaps/>
      <w:sz w:val="28"/>
    </w:rPr>
  </w:style>
  <w:style w:type="character" w:customStyle="1" w:styleId="BodyTextChar">
    <w:name w:val="Body Text Char"/>
    <w:link w:val="BodyText"/>
    <w:rPr>
      <w:rFonts w:eastAsia="Times New Roman" w:cs="Times New Roman"/>
      <w:spacing w:val="-4"/>
      <w:sz w:val="24"/>
      <w:szCs w:val="20"/>
      <w:lang w:val="en-US"/>
    </w:rPr>
  </w:style>
  <w:style w:type="character" w:customStyle="1" w:styleId="BodyTextIndentChar">
    <w:name w:val="Body Text Indent Char"/>
    <w:link w:val="BodyTextIndent"/>
    <w:rPr>
      <w:rFonts w:eastAsia="Times New Roman" w:cs="Times New Roman"/>
      <w:sz w:val="24"/>
      <w:szCs w:val="20"/>
      <w:lang w:val="en-US"/>
    </w:rPr>
  </w:style>
  <w:style w:type="character" w:customStyle="1" w:styleId="EndnoteTextChar">
    <w:name w:val="Endnote Text Char"/>
    <w:link w:val="EndnoteText"/>
    <w:semiHidden/>
    <w:rPr>
      <w:rFonts w:eastAsia="Times New Roman" w:cs="Times New Roman"/>
      <w:sz w:val="20"/>
      <w:szCs w:val="20"/>
    </w:rPr>
  </w:style>
  <w:style w:type="character" w:customStyle="1" w:styleId="EndnoteTextChar1">
    <w:name w:val="Endnote Text Char1"/>
    <w:uiPriority w:val="99"/>
    <w:semiHidden/>
    <w:rPr>
      <w:rFonts w:eastAsia="Times New Roman" w:cs="Times New Roman"/>
      <w:sz w:val="20"/>
      <w:szCs w:val="20"/>
      <w:lang w:val="en-US"/>
    </w:rPr>
  </w:style>
  <w:style w:type="character" w:customStyle="1" w:styleId="BodyText3Char">
    <w:name w:val="Body Text 3 Char"/>
    <w:link w:val="BodyText3"/>
    <w:rPr>
      <w:rFonts w:eastAsia="Times New Roman" w:cs="Times New Roman"/>
      <w:i/>
      <w:iCs/>
      <w:color w:val="000000"/>
      <w:sz w:val="24"/>
      <w:szCs w:val="24"/>
      <w:lang w:val="en-US"/>
    </w:rPr>
  </w:style>
  <w:style w:type="character" w:customStyle="1" w:styleId="BodyText2Char">
    <w:name w:val="Body Text 2 Char"/>
    <w:link w:val="BodyText2"/>
    <w:rPr>
      <w:rFonts w:eastAsia="Times New Roman" w:cs="Times New Roman"/>
      <w:i/>
      <w:sz w:val="24"/>
      <w:szCs w:val="20"/>
      <w:lang w:val="en-US"/>
    </w:rPr>
  </w:style>
  <w:style w:type="character" w:customStyle="1" w:styleId="BodyTextIndent2Char">
    <w:name w:val="Body Text Indent 2 Char"/>
    <w:link w:val="BodyTextIndent2"/>
    <w:rPr>
      <w:rFonts w:eastAsia="Times New Roman" w:cs="Times New Roman"/>
      <w:sz w:val="24"/>
      <w:szCs w:val="20"/>
      <w:lang w:val="en-US"/>
    </w:rPr>
  </w:style>
  <w:style w:type="character" w:customStyle="1" w:styleId="SubtitleChar">
    <w:name w:val="Subtitle Char"/>
    <w:link w:val="Subtitle"/>
    <w:rPr>
      <w:rFonts w:eastAsia="Times New Roman" w:cs="Times New Roman"/>
      <w:b/>
      <w:sz w:val="44"/>
      <w:szCs w:val="20"/>
      <w:lang w:val="en-US"/>
    </w:rPr>
  </w:style>
  <w:style w:type="paragraph" w:customStyle="1" w:styleId="TOCNumber1">
    <w:name w:val="TOC Number1"/>
    <w:basedOn w:val="Heading4"/>
    <w:autoRedefine/>
    <w:pPr>
      <w:keepNext w:val="0"/>
      <w:suppressAutoHyphens/>
      <w:spacing w:after="120"/>
      <w:ind w:left="0" w:firstLine="0"/>
      <w:outlineLvl w:val="9"/>
    </w:pPr>
    <w:rPr>
      <w:sz w:val="28"/>
      <w:szCs w:val="28"/>
    </w:rPr>
  </w:style>
  <w:style w:type="paragraph" w:customStyle="1" w:styleId="Subtitle2">
    <w:name w:val="Subtitle 2"/>
    <w:basedOn w:val="Footer"/>
    <w:autoRedefine/>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pPr>
      <w:suppressAutoHyphens/>
    </w:pPr>
    <w:rPr>
      <w:rFonts w:ascii="Tms Rmn" w:hAnsi="Tms Rmn"/>
    </w:rPr>
  </w:style>
  <w:style w:type="character" w:customStyle="1" w:styleId="iChar">
    <w:name w:val="(i) Char"/>
    <w:link w:val="i"/>
    <w:locked/>
    <w:rPr>
      <w:rFonts w:ascii="Tms Rmn" w:eastAsia="Times New Roman" w:hAnsi="Tms Rmn" w:cs="Times New Roman"/>
      <w:sz w:val="24"/>
      <w:szCs w:val="20"/>
      <w:lang w:val="en-US"/>
    </w:rPr>
  </w:style>
  <w:style w:type="paragraph" w:customStyle="1" w:styleId="2AutoList1">
    <w:name w:val="2AutoList1"/>
    <w:basedOn w:val="Normal"/>
    <w:pPr>
      <w:tabs>
        <w:tab w:val="left" w:pos="504"/>
      </w:tabs>
      <w:ind w:left="504" w:hanging="504"/>
    </w:pPr>
  </w:style>
  <w:style w:type="paragraph" w:customStyle="1" w:styleId="Header1-Clauses">
    <w:name w:val="Header 1 - Clauses"/>
    <w:basedOn w:val="Normal"/>
    <w:pPr>
      <w:spacing w:after="200"/>
      <w:jc w:val="left"/>
    </w:pPr>
    <w:rPr>
      <w:b/>
    </w:rPr>
  </w:style>
  <w:style w:type="paragraph" w:customStyle="1" w:styleId="Header2-SubClauses">
    <w:name w:val="Header 2 - SubClauses"/>
    <w:basedOn w:val="Normal"/>
    <w:link w:val="Header2-SubClausesCharChar"/>
    <w:autoRedefine/>
    <w:pPr>
      <w:spacing w:after="200"/>
      <w:ind w:left="567" w:hanging="567"/>
    </w:pPr>
  </w:style>
  <w:style w:type="character" w:customStyle="1" w:styleId="Header2-SubClausesCharChar">
    <w:name w:val="Header 2 - SubClauses Char Char"/>
    <w:link w:val="Header2-SubClauses"/>
    <w:rPr>
      <w:rFonts w:eastAsia="Times New Roman" w:cs="Times New Roman"/>
      <w:sz w:val="24"/>
      <w:szCs w:val="20"/>
    </w:rPr>
  </w:style>
  <w:style w:type="paragraph" w:customStyle="1" w:styleId="P3Header1-Clauses">
    <w:name w:val="P3 Header1-Clauses"/>
    <w:basedOn w:val="Header1-Clauses"/>
    <w:pPr>
      <w:tabs>
        <w:tab w:val="left" w:pos="864"/>
        <w:tab w:val="left" w:pos="972"/>
      </w:tabs>
      <w:ind w:left="432" w:firstLine="144"/>
      <w:jc w:val="both"/>
    </w:pPr>
    <w:rPr>
      <w:b w:val="0"/>
    </w:rPr>
  </w:style>
  <w:style w:type="paragraph" w:customStyle="1" w:styleId="Outline3">
    <w:name w:val="Outline3"/>
    <w:basedOn w:val="Normal"/>
    <w:pPr>
      <w:tabs>
        <w:tab w:val="left" w:pos="1728"/>
      </w:tabs>
      <w:spacing w:before="240"/>
      <w:ind w:left="1728" w:hanging="432"/>
      <w:jc w:val="left"/>
    </w:pPr>
    <w:rPr>
      <w:kern w:val="28"/>
    </w:rPr>
  </w:style>
  <w:style w:type="paragraph" w:customStyle="1" w:styleId="Outline4">
    <w:name w:val="Outline4"/>
    <w:basedOn w:val="Normal"/>
    <w:autoRedefine/>
    <w:pPr>
      <w:tabs>
        <w:tab w:val="left" w:pos="2160"/>
      </w:tabs>
      <w:ind w:firstLine="567"/>
    </w:pPr>
    <w:rPr>
      <w:kern w:val="28"/>
    </w:rPr>
  </w:style>
  <w:style w:type="paragraph" w:customStyle="1" w:styleId="Outlinei">
    <w:name w:val="Outline i)"/>
    <w:basedOn w:val="Normal"/>
    <w:pPr>
      <w:tabs>
        <w:tab w:val="left" w:pos="1782"/>
      </w:tabs>
      <w:spacing w:before="120"/>
      <w:ind w:left="1782" w:hanging="792"/>
      <w:jc w:val="left"/>
    </w:pPr>
  </w:style>
  <w:style w:type="paragraph" w:customStyle="1" w:styleId="Outline">
    <w:name w:val="Outline"/>
    <w:basedOn w:val="Normal"/>
    <w:pPr>
      <w:spacing w:before="240"/>
      <w:jc w:val="left"/>
    </w:pPr>
    <w:rPr>
      <w:kern w:val="28"/>
    </w:rPr>
  </w:style>
  <w:style w:type="paragraph" w:customStyle="1" w:styleId="BankNormal">
    <w:name w:val="BankNormal"/>
    <w:basedOn w:val="Normal"/>
    <w:pPr>
      <w:spacing w:after="240"/>
      <w:jc w:val="left"/>
    </w:pPr>
  </w:style>
  <w:style w:type="paragraph" w:customStyle="1" w:styleId="SectionVHeader">
    <w:name w:val="Section V. Header"/>
    <w:basedOn w:val="Normal"/>
    <w:uiPriority w:val="99"/>
    <w:pPr>
      <w:jc w:val="center"/>
    </w:pPr>
    <w:rPr>
      <w:b/>
      <w:sz w:val="36"/>
    </w:rPr>
  </w:style>
  <w:style w:type="character" w:customStyle="1" w:styleId="Table">
    <w:name w:val="Table"/>
    <w:rPr>
      <w:rFonts w:ascii="Arial" w:hAnsi="Arial"/>
      <w:sz w:val="20"/>
    </w:rPr>
  </w:style>
  <w:style w:type="paragraph" w:customStyle="1" w:styleId="SectionVIIHeader2">
    <w:name w:val="Section VII Header2"/>
    <w:basedOn w:val="Heading1"/>
    <w:autoRedefine/>
    <w:pPr>
      <w:keepNext/>
      <w:suppressAutoHyphens w:val="0"/>
      <w:spacing w:before="0" w:after="200"/>
    </w:pPr>
    <w:rPr>
      <w:rFonts w:ascii="Times New Roman" w:hAnsi="Times New Roman"/>
      <w:bCs/>
      <w:i/>
      <w:smallCaps w:val="0"/>
      <w:kern w:val="28"/>
      <w:sz w:val="20"/>
    </w:rPr>
  </w:style>
  <w:style w:type="paragraph" w:customStyle="1" w:styleId="ClauseSubPara">
    <w:name w:val="ClauseSub_Para"/>
    <w:pPr>
      <w:spacing w:before="60" w:after="60"/>
      <w:ind w:left="2268"/>
    </w:pPr>
    <w:rPr>
      <w:rFonts w:eastAsia="Times New Roman"/>
      <w:sz w:val="22"/>
      <w:szCs w:val="22"/>
      <w:lang w:val="en-GB"/>
    </w:rPr>
  </w:style>
  <w:style w:type="paragraph" w:customStyle="1" w:styleId="ClauseSubList">
    <w:name w:val="ClauseSub_List"/>
    <w:pPr>
      <w:tabs>
        <w:tab w:val="left" w:pos="576"/>
      </w:tabs>
      <w:suppressAutoHyphens/>
      <w:ind w:left="576" w:hanging="576"/>
    </w:pPr>
    <w:rPr>
      <w:rFonts w:eastAsia="Times New Roman"/>
      <w:sz w:val="22"/>
      <w:szCs w:val="22"/>
      <w:lang w:val="en-GB"/>
    </w:rPr>
  </w:style>
  <w:style w:type="paragraph" w:customStyle="1" w:styleId="ClauseSubListSubList">
    <w:name w:val="ClauseSub_List_SubList"/>
    <w:pPr>
      <w:tabs>
        <w:tab w:val="left" w:pos="1800"/>
      </w:tabs>
      <w:ind w:left="1800" w:hanging="360"/>
    </w:pPr>
    <w:rPr>
      <w:rFonts w:eastAsia="Times New Roman"/>
      <w:sz w:val="22"/>
      <w:szCs w:val="22"/>
      <w:lang w:val="en-GB"/>
    </w:rPr>
  </w:style>
  <w:style w:type="paragraph" w:customStyle="1" w:styleId="ClauseSubParaIndent">
    <w:name w:val="ClauseSub_ParaIndent"/>
    <w:basedOn w:val="ClauseSubPara"/>
    <w:pPr>
      <w:ind w:left="2835"/>
    </w:pPr>
  </w:style>
  <w:style w:type="character" w:customStyle="1" w:styleId="BalloonTextChar">
    <w:name w:val="Balloon Text Char"/>
    <w:link w:val="BalloonText"/>
    <w:uiPriority w:val="99"/>
    <w:rPr>
      <w:rFonts w:ascii="Tahoma" w:eastAsia="Times New Roman" w:hAnsi="Tahoma" w:cs="Times New Roman"/>
      <w:sz w:val="16"/>
      <w:szCs w:val="16"/>
    </w:rPr>
  </w:style>
  <w:style w:type="paragraph" w:customStyle="1" w:styleId="SectionXHeader3">
    <w:name w:val="Section X Header 3"/>
    <w:basedOn w:val="Heading1"/>
    <w:autoRedefine/>
    <w:pPr>
      <w:keepNext/>
      <w:suppressAutoHyphens w:val="0"/>
      <w:spacing w:before="0" w:after="0"/>
    </w:pPr>
    <w:rPr>
      <w:rFonts w:ascii="Times New Roman" w:hAnsi="Times New Roman"/>
      <w:smallCaps w:val="0"/>
      <w:sz w:val="44"/>
    </w:rPr>
  </w:style>
  <w:style w:type="paragraph" w:customStyle="1" w:styleId="Part1">
    <w:name w:val="Part 1"/>
    <w:basedOn w:val="Normal"/>
    <w:autoRedefine/>
    <w:pPr>
      <w:spacing w:before="240" w:after="240"/>
      <w:jc w:val="center"/>
    </w:pPr>
    <w:rPr>
      <w:b/>
      <w:sz w:val="48"/>
    </w:rPr>
  </w:style>
  <w:style w:type="character" w:customStyle="1" w:styleId="CommentTextChar">
    <w:name w:val="Comment Text Char"/>
    <w:link w:val="CommentText"/>
    <w:uiPriority w:val="99"/>
    <w:rPr>
      <w:rFonts w:eastAsia="Times New Roman" w:cs="Times New Roman"/>
      <w:sz w:val="20"/>
      <w:szCs w:val="20"/>
      <w:lang w:val="en-US"/>
    </w:rPr>
  </w:style>
  <w:style w:type="character" w:customStyle="1" w:styleId="BodyTextIndent3Char">
    <w:name w:val="Body Text Indent 3 Char"/>
    <w:link w:val="BodyTextIndent3"/>
    <w:rPr>
      <w:rFonts w:eastAsia="Times New Roman" w:cs="Times New Roman"/>
      <w:b/>
      <w:sz w:val="24"/>
      <w:szCs w:val="20"/>
      <w:lang w:val="en-US"/>
    </w:rPr>
  </w:style>
  <w:style w:type="paragraph" w:customStyle="1" w:styleId="FIDICSectionBegin">
    <w:name w:val="FIDIC__SectionBegin"/>
    <w:basedOn w:val="Normal"/>
    <w:next w:val="FIDICSectionNam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pPr>
      <w:spacing w:before="100" w:after="300"/>
    </w:pPr>
    <w:rPr>
      <w:sz w:val="30"/>
      <w:szCs w:val="30"/>
    </w:rPr>
  </w:style>
  <w:style w:type="paragraph" w:customStyle="1" w:styleId="FIDICClauseSubName">
    <w:name w:val="FIDIC_ClauseSubName"/>
    <w:basedOn w:val="FIDICCoverTitle"/>
    <w:pPr>
      <w:spacing w:before="240" w:line="240" w:lineRule="exact"/>
    </w:pPr>
    <w:rPr>
      <w:sz w:val="24"/>
      <w:szCs w:val="24"/>
    </w:rPr>
  </w:style>
  <w:style w:type="paragraph" w:customStyle="1" w:styleId="FIDICCoverTitle">
    <w:name w:val="FIDIC__CoverTitle"/>
    <w:basedOn w:val="Normal"/>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Pr>
      <w:sz w:val="28"/>
      <w:szCs w:val="28"/>
    </w:rPr>
  </w:style>
  <w:style w:type="paragraph" w:customStyle="1" w:styleId="FIDICClauseSubSubPara">
    <w:name w:val="FIDIC_ClauseSubSubPara"/>
    <w:basedOn w:val="FIDICClauseSubNam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pPr>
      <w:tabs>
        <w:tab w:val="left" w:pos="573"/>
      </w:tabs>
      <w:spacing w:after="0"/>
      <w:ind w:left="576" w:hanging="576"/>
    </w:pPr>
    <w:rPr>
      <w:bCs/>
      <w:szCs w:val="24"/>
    </w:rPr>
  </w:style>
  <w:style w:type="paragraph" w:customStyle="1" w:styleId="Sec7-Clauses">
    <w:name w:val="Sec7-Clauses"/>
    <w:basedOn w:val="Header1-Clauses"/>
    <w:pPr>
      <w:spacing w:after="0"/>
    </w:pPr>
    <w:rPr>
      <w:bCs/>
      <w:szCs w:val="24"/>
    </w:rPr>
  </w:style>
  <w:style w:type="paragraph" w:customStyle="1" w:styleId="sec7-header1">
    <w:name w:val="sec7-header1"/>
    <w:basedOn w:val="FIDICClauseSubNam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style>
  <w:style w:type="paragraph" w:customStyle="1" w:styleId="SectionIXHeader">
    <w:name w:val="Section IX Header"/>
    <w:basedOn w:val="SectionVHeader"/>
  </w:style>
  <w:style w:type="paragraph" w:customStyle="1" w:styleId="Parts">
    <w:name w:val="Parts"/>
    <w:basedOn w:val="Heading1"/>
    <w:rPr>
      <w:sz w:val="56"/>
    </w:rPr>
  </w:style>
  <w:style w:type="paragraph" w:customStyle="1" w:styleId="StyleHeader1-ClausesLeft0Hanging03After0pt">
    <w:name w:val="Style Header 1 - Clauses + Left:  0&quot; Hanging:  0.3&quot; After:  0 pt"/>
    <w:basedOn w:val="Header1-Clauses"/>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Pr>
      <w:b/>
      <w:bCs/>
    </w:rPr>
  </w:style>
  <w:style w:type="character" w:customStyle="1" w:styleId="StyleHeader2-SubClausesBoldChar">
    <w:name w:val="Style Header 2 - SubClauses + Bold Char"/>
    <w:link w:val="StyleHeader2-SubClausesBold"/>
    <w:rPr>
      <w:rFonts w:eastAsia="Times New Roman" w:cs="Times New Roman"/>
      <w:b/>
      <w:bCs/>
      <w:sz w:val="24"/>
      <w:szCs w:val="20"/>
    </w:rPr>
  </w:style>
  <w:style w:type="paragraph" w:customStyle="1" w:styleId="StyleHeader1-ClausesAfter0pt">
    <w:name w:val="Style Header 1 - Clauses + After:  0 pt"/>
    <w:basedOn w:val="Header1-Clauses"/>
    <w:pPr>
      <w:jc w:val="both"/>
    </w:pPr>
    <w:rPr>
      <w:b w:val="0"/>
      <w:bCs/>
    </w:rPr>
  </w:style>
  <w:style w:type="paragraph" w:customStyle="1" w:styleId="StyleStyleHeader1-ClausesAfter0ptLeft0Hanging">
    <w:name w:val="Style Style Header 1 - Clauses + After:  0 pt + Left:  0&quot; Hanging:..."/>
    <w:basedOn w:val="StyleHeader1-ClausesAfter0pt"/>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pPr>
      <w:tabs>
        <w:tab w:val="left" w:pos="576"/>
      </w:tabs>
      <w:spacing w:after="240"/>
      <w:ind w:left="576" w:hanging="576"/>
    </w:pPr>
    <w:rPr>
      <w:bCs w:val="0"/>
    </w:rPr>
  </w:style>
  <w:style w:type="paragraph" w:customStyle="1" w:styleId="StyleP3Header1-ClausesAfter12pt">
    <w:name w:val="Style P3 Header1-Clauses + After:  12 pt"/>
    <w:basedOn w:val="P3Header1-Clauses"/>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pPr>
      <w:tabs>
        <w:tab w:val="left" w:pos="1512"/>
      </w:tabs>
      <w:spacing w:after="180"/>
      <w:ind w:left="1512" w:hanging="540"/>
    </w:pPr>
  </w:style>
  <w:style w:type="paragraph" w:customStyle="1" w:styleId="Section7heading3">
    <w:name w:val="Section 7 heading 3"/>
    <w:basedOn w:val="Heading3"/>
  </w:style>
  <w:style w:type="paragraph" w:customStyle="1" w:styleId="Section7heading4">
    <w:name w:val="Section 7 heading 4"/>
    <w:basedOn w:val="Heading3"/>
    <w:link w:val="Section7heading4Char"/>
    <w:pPr>
      <w:tabs>
        <w:tab w:val="left" w:pos="576"/>
      </w:tabs>
      <w:ind w:left="576" w:hanging="576"/>
      <w:jc w:val="left"/>
    </w:pPr>
    <w:rPr>
      <w:sz w:val="24"/>
    </w:rPr>
  </w:style>
  <w:style w:type="character" w:customStyle="1" w:styleId="Section7heading4Char">
    <w:name w:val="Section 7 heading 4 Char"/>
    <w:link w:val="Section7heading4"/>
    <w:rPr>
      <w:rFonts w:eastAsia="Times New Roman" w:cs="Times New Roman"/>
      <w:b/>
      <w:sz w:val="24"/>
      <w:szCs w:val="20"/>
      <w:lang w:val="en-US"/>
    </w:rPr>
  </w:style>
  <w:style w:type="paragraph" w:customStyle="1" w:styleId="Section7heading5">
    <w:name w:val="Section 7 heading 5"/>
    <w:basedOn w:val="Heading3"/>
    <w:pPr>
      <w:jc w:val="both"/>
    </w:pPr>
    <w:rPr>
      <w:sz w:val="24"/>
    </w:rPr>
  </w:style>
  <w:style w:type="paragraph" w:customStyle="1" w:styleId="StyleSection7heading3After10pt">
    <w:name w:val="Style Section 7 heading 3 + After:  10 pt"/>
    <w:basedOn w:val="Section7heading3"/>
    <w:pPr>
      <w:spacing w:after="200"/>
    </w:pPr>
    <w:rPr>
      <w:rFonts w:ascii="Times New Roman Bold" w:hAnsi="Times New Roman Bold"/>
      <w:bCs/>
      <w:szCs w:val="28"/>
    </w:rPr>
  </w:style>
  <w:style w:type="paragraph" w:customStyle="1" w:styleId="StyleTOC1Before8pt">
    <w:name w:val="Style TOC 1 + Before:  8 pt"/>
    <w:basedOn w:val="TOC1"/>
    <w:pPr>
      <w:tabs>
        <w:tab w:val="clear" w:pos="9062"/>
        <w:tab w:val="right" w:pos="720"/>
        <w:tab w:val="right" w:leader="dot" w:pos="9000"/>
      </w:tabs>
      <w:suppressAutoHyphens/>
      <w:spacing w:before="160" w:after="0"/>
      <w:ind w:left="720" w:right="720" w:hanging="720"/>
    </w:pPr>
    <w:rPr>
      <w:rFonts w:eastAsia="Times New Roman"/>
      <w:b w:val="0"/>
      <w:iCs w:val="0"/>
      <w:kern w:val="0"/>
      <w:szCs w:val="20"/>
    </w:rPr>
  </w:style>
  <w:style w:type="paragraph" w:customStyle="1" w:styleId="StyleClauseSubList12ptJustifiedAfter10pt">
    <w:name w:val="Style ClauseSub_List + 12 pt Justified After:  10 pt"/>
    <w:basedOn w:val="ClauseSubList"/>
    <w:pPr>
      <w:spacing w:after="200"/>
      <w:jc w:val="both"/>
    </w:pPr>
    <w:rPr>
      <w:sz w:val="24"/>
      <w:szCs w:val="24"/>
    </w:rPr>
  </w:style>
  <w:style w:type="paragraph" w:customStyle="1" w:styleId="UG-Sec3-Heading2">
    <w:name w:val="UG - Sec 3 - Heading 2"/>
    <w:basedOn w:val="UG-Heading2"/>
  </w:style>
  <w:style w:type="paragraph" w:customStyle="1" w:styleId="UG-Heading2">
    <w:name w:val="UG - Heading 2"/>
    <w:basedOn w:val="Heading2"/>
    <w:next w:val="Normal"/>
    <w:pPr>
      <w:pBdr>
        <w:bottom w:val="none" w:sz="0" w:space="0" w:color="auto"/>
      </w:pBdr>
    </w:pPr>
    <w:rPr>
      <w:sz w:val="32"/>
      <w:szCs w:val="28"/>
    </w:rPr>
  </w:style>
  <w:style w:type="paragraph" w:customStyle="1" w:styleId="titulo">
    <w:name w:val="titulo"/>
    <w:basedOn w:val="Heading5"/>
    <w:pPr>
      <w:keepNext w:val="0"/>
      <w:spacing w:after="240"/>
    </w:pPr>
    <w:rPr>
      <w:rFonts w:ascii="Times New Roman Bold" w:hAnsi="Times New Roman Bold"/>
      <w:b/>
      <w:u w:val="none"/>
    </w:rPr>
  </w:style>
  <w:style w:type="paragraph" w:customStyle="1" w:styleId="DefaultParagraphFont1">
    <w:name w:val="Default Paragraph Font1"/>
    <w:next w:val="Normal"/>
    <w:pPr>
      <w:tabs>
        <w:tab w:val="left" w:pos="567"/>
      </w:tabs>
    </w:pPr>
    <w:rPr>
      <w:rFonts w:ascii="‚l‚r –¾’©" w:eastAsia="Times New Roman" w:hAnsi="‚l‚r –¾’©" w:cs="‚l‚r –¾’©"/>
      <w:sz w:val="21"/>
      <w:lang w:val="en-GB" w:eastAsia="en-GB"/>
    </w:rPr>
  </w:style>
  <w:style w:type="paragraph" w:customStyle="1" w:styleId="Title1">
    <w:name w:val="Title1"/>
    <w:basedOn w:val="Normal"/>
    <w:pPr>
      <w:suppressAutoHyphens/>
      <w:jc w:val="left"/>
    </w:pPr>
    <w:rPr>
      <w:rFonts w:ascii="Times New Roman Bold" w:hAnsi="Times New Roman Bold"/>
      <w:b/>
      <w:sz w:val="36"/>
    </w:rPr>
  </w:style>
  <w:style w:type="character" w:customStyle="1" w:styleId="CommentSubjectChar">
    <w:name w:val="Comment Subject Char"/>
    <w:link w:val="CommentSubject"/>
    <w:uiPriority w:val="99"/>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pPr>
      <w:ind w:left="706" w:hanging="706"/>
      <w:jc w:val="left"/>
    </w:pPr>
    <w:rPr>
      <w:bCs/>
    </w:rPr>
  </w:style>
  <w:style w:type="paragraph" w:customStyle="1" w:styleId="BlockQuotation">
    <w:name w:val="Block Quotation"/>
    <w:basedOn w:val="Normal"/>
    <w:pPr>
      <w:ind w:left="855" w:right="-72" w:hanging="315"/>
    </w:pPr>
    <w:rPr>
      <w:lang w:val="en-GB" w:eastAsia="fr-FR"/>
    </w:rPr>
  </w:style>
  <w:style w:type="paragraph" w:customStyle="1" w:styleId="Header3-Paragraph">
    <w:name w:val="Header 3 - Paragraph"/>
    <w:basedOn w:val="Normal"/>
    <w:pPr>
      <w:tabs>
        <w:tab w:val="left" w:pos="864"/>
        <w:tab w:val="left" w:pos="1152"/>
      </w:tabs>
      <w:spacing w:after="200"/>
      <w:ind w:left="1238" w:hanging="619"/>
    </w:pPr>
    <w:rPr>
      <w:lang w:eastAsia="fr-FR"/>
    </w:rPr>
  </w:style>
  <w:style w:type="paragraph" w:customStyle="1" w:styleId="outlinebullet">
    <w:name w:val="outlinebullet"/>
    <w:basedOn w:val="Normal"/>
    <w:pPr>
      <w:tabs>
        <w:tab w:val="left" w:pos="720"/>
        <w:tab w:val="left" w:pos="1037"/>
        <w:tab w:val="left" w:pos="1440"/>
      </w:tabs>
      <w:spacing w:before="120"/>
      <w:ind w:left="1440" w:hanging="450"/>
      <w:jc w:val="left"/>
    </w:pPr>
    <w:rPr>
      <w:lang w:eastAsia="fr-FR"/>
    </w:rPr>
  </w:style>
  <w:style w:type="paragraph" w:customStyle="1" w:styleId="Outline1">
    <w:name w:val="Outline1"/>
    <w:basedOn w:val="Outline"/>
    <w:next w:val="Outline2"/>
    <w:pPr>
      <w:keepNext/>
      <w:tabs>
        <w:tab w:val="left" w:pos="360"/>
        <w:tab w:val="left" w:pos="420"/>
      </w:tabs>
      <w:ind w:left="360" w:hanging="360"/>
    </w:pPr>
    <w:rPr>
      <w:lang w:eastAsia="fr-FR"/>
    </w:rPr>
  </w:style>
  <w:style w:type="paragraph" w:customStyle="1" w:styleId="Outline2">
    <w:name w:val="Outline2"/>
    <w:basedOn w:val="Normal"/>
    <w:pPr>
      <w:tabs>
        <w:tab w:val="left" w:pos="360"/>
        <w:tab w:val="left" w:pos="420"/>
        <w:tab w:val="left" w:pos="864"/>
      </w:tabs>
      <w:spacing w:before="240"/>
      <w:ind w:left="864" w:hanging="504"/>
      <w:jc w:val="left"/>
    </w:pPr>
    <w:rPr>
      <w:kern w:val="28"/>
      <w:lang w:eastAsia="fr-FR"/>
    </w:rPr>
  </w:style>
  <w:style w:type="paragraph" w:customStyle="1" w:styleId="a11">
    <w:name w:val="a1 1"/>
    <w:pPr>
      <w:widowControl w:val="0"/>
      <w:tabs>
        <w:tab w:val="left" w:pos="-720"/>
      </w:tabs>
      <w:suppressAutoHyphens/>
    </w:pPr>
    <w:rPr>
      <w:rFonts w:ascii="CG Times" w:eastAsia="Times New Roman" w:hAnsi="CG Times"/>
      <w:sz w:val="24"/>
    </w:rPr>
  </w:style>
  <w:style w:type="paragraph" w:customStyle="1" w:styleId="REGULAR3">
    <w:name w:val="REGULAR 3"/>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rPr>
      <w:sz w:val="24"/>
      <w:lang w:val="en-US" w:eastAsia="fr-FR" w:bidi="ar-SA"/>
    </w:rPr>
  </w:style>
  <w:style w:type="paragraph" w:customStyle="1" w:styleId="UGHeader1">
    <w:name w:val="UG Header 1"/>
    <w:basedOn w:val="Heading1"/>
    <w:next w:val="Normal"/>
    <w:pPr>
      <w:spacing w:before="240"/>
    </w:pPr>
    <w:rPr>
      <w:smallCaps w:val="0"/>
    </w:rPr>
  </w:style>
  <w:style w:type="paragraph" w:customStyle="1" w:styleId="UG-Sec3-Heading3">
    <w:name w:val="UG - Sec 3 - Heading 3"/>
    <w:basedOn w:val="Normal"/>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style>
  <w:style w:type="paragraph" w:customStyle="1" w:styleId="UG-Sec3b-Heading3">
    <w:name w:val="UG - Sec 3b - Heading 3"/>
    <w:basedOn w:val="UG-Sec3-Heading3"/>
  </w:style>
  <w:style w:type="paragraph" w:customStyle="1" w:styleId="UG-Sec3b-Heading4">
    <w:name w:val="UG - Sec 3b - Heading 4"/>
    <w:basedOn w:val="Normal"/>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pPr>
      <w:spacing w:before="120" w:after="240"/>
      <w:jc w:val="center"/>
    </w:pPr>
    <w:rPr>
      <w:b/>
      <w:sz w:val="36"/>
    </w:rPr>
  </w:style>
  <w:style w:type="paragraph" w:customStyle="1" w:styleId="SectionVHeading2">
    <w:name w:val="Section V. Heading 2"/>
    <w:basedOn w:val="SectionVHeader"/>
    <w:pPr>
      <w:spacing w:before="120" w:after="200"/>
    </w:pPr>
    <w:rPr>
      <w:sz w:val="28"/>
    </w:rPr>
  </w:style>
  <w:style w:type="paragraph" w:customStyle="1" w:styleId="UG-Sec4-heading3">
    <w:name w:val="UG-Sec 4 - heading 3"/>
    <w:basedOn w:val="Normal"/>
    <w:pPr>
      <w:spacing w:before="120" w:after="200"/>
      <w:jc w:val="center"/>
    </w:pPr>
    <w:rPr>
      <w:b/>
      <w:sz w:val="28"/>
      <w:szCs w:val="28"/>
    </w:rPr>
  </w:style>
  <w:style w:type="paragraph" w:customStyle="1" w:styleId="Section1Header2">
    <w:name w:val="Section 1 Header 2"/>
    <w:basedOn w:val="StyleHeader1-ClausesLeft0Hanging03After0pt"/>
  </w:style>
  <w:style w:type="paragraph" w:customStyle="1" w:styleId="Section1Header1">
    <w:name w:val="Section 1 Header 1"/>
    <w:basedOn w:val="BodyText2"/>
    <w:pPr>
      <w:spacing w:before="120" w:after="200"/>
      <w:jc w:val="center"/>
    </w:pPr>
    <w:rPr>
      <w:b/>
      <w:bCs/>
      <w:i w:val="0"/>
      <w:iCs/>
      <w:sz w:val="28"/>
    </w:rPr>
  </w:style>
  <w:style w:type="paragraph" w:customStyle="1" w:styleId="Section4heading">
    <w:name w:val="Section 4 heading"/>
    <w:basedOn w:val="Normal"/>
    <w:next w:val="Normal"/>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pPr>
      <w:widowControl w:val="0"/>
      <w:autoSpaceDE w:val="0"/>
      <w:autoSpaceDN w:val="0"/>
      <w:spacing w:line="384" w:lineRule="atLeast"/>
      <w:jc w:val="left"/>
    </w:pPr>
    <w:rPr>
      <w:szCs w:val="24"/>
    </w:rPr>
  </w:style>
  <w:style w:type="paragraph" w:customStyle="1" w:styleId="Sec3header">
    <w:name w:val="Sec3 header"/>
    <w:basedOn w:val="Style11"/>
    <w:pPr>
      <w:tabs>
        <w:tab w:val="left" w:leader="dot" w:pos="8424"/>
      </w:tabs>
      <w:spacing w:before="80" w:line="240" w:lineRule="auto"/>
    </w:pPr>
    <w:rPr>
      <w:rFonts w:ascii="Arial" w:hAnsi="Arial" w:cs="Arial"/>
      <w:b/>
      <w:sz w:val="22"/>
      <w:szCs w:val="20"/>
    </w:rPr>
  </w:style>
  <w:style w:type="paragraph" w:customStyle="1" w:styleId="Style19">
    <w:name w:val="Style 19"/>
    <w:basedOn w:val="Normal"/>
    <w:pPr>
      <w:widowControl w:val="0"/>
      <w:autoSpaceDE w:val="0"/>
      <w:autoSpaceDN w:val="0"/>
      <w:adjustRightInd w:val="0"/>
      <w:jc w:val="left"/>
    </w:pPr>
    <w:rPr>
      <w:szCs w:val="24"/>
    </w:rPr>
  </w:style>
  <w:style w:type="paragraph" w:customStyle="1" w:styleId="Style17">
    <w:name w:val="Style 17"/>
    <w:basedOn w:val="Normal"/>
    <w:pPr>
      <w:widowControl w:val="0"/>
      <w:autoSpaceDE w:val="0"/>
      <w:autoSpaceDN w:val="0"/>
      <w:spacing w:line="264" w:lineRule="exact"/>
      <w:ind w:left="576" w:hanging="360"/>
      <w:jc w:val="left"/>
    </w:pPr>
    <w:rPr>
      <w:szCs w:val="24"/>
    </w:rPr>
  </w:style>
  <w:style w:type="paragraph" w:customStyle="1" w:styleId="Style20">
    <w:name w:val="Style 20"/>
    <w:basedOn w:val="Normal"/>
    <w:pPr>
      <w:widowControl w:val="0"/>
      <w:autoSpaceDE w:val="0"/>
      <w:autoSpaceDN w:val="0"/>
      <w:spacing w:before="144" w:after="360" w:line="264" w:lineRule="exact"/>
      <w:jc w:val="left"/>
    </w:pPr>
    <w:rPr>
      <w:szCs w:val="24"/>
    </w:rPr>
  </w:style>
  <w:style w:type="paragraph" w:customStyle="1" w:styleId="Header1">
    <w:name w:val="Header1"/>
    <w:basedOn w:val="Normal"/>
    <w:pPr>
      <w:widowControl w:val="0"/>
      <w:autoSpaceDE w:val="0"/>
      <w:autoSpaceDN w:val="0"/>
      <w:spacing w:before="240" w:after="480"/>
      <w:jc w:val="center"/>
    </w:pPr>
    <w:rPr>
      <w:b/>
      <w:bCs/>
      <w:spacing w:val="4"/>
      <w:sz w:val="44"/>
      <w:szCs w:val="46"/>
    </w:rPr>
  </w:style>
  <w:style w:type="paragraph" w:customStyle="1" w:styleId="Default">
    <w:name w:val="Default"/>
    <w:pPr>
      <w:autoSpaceDE w:val="0"/>
      <w:autoSpaceDN w:val="0"/>
      <w:adjustRightInd w:val="0"/>
    </w:pPr>
    <w:rPr>
      <w:rFonts w:eastAsia="Times New Roman"/>
      <w:color w:val="000000"/>
      <w:sz w:val="24"/>
      <w:szCs w:val="24"/>
    </w:rPr>
  </w:style>
  <w:style w:type="paragraph" w:customStyle="1" w:styleId="Head1">
    <w:name w:val="Head1"/>
    <w:basedOn w:val="Normal"/>
    <w:pPr>
      <w:suppressAutoHyphens/>
      <w:spacing w:after="100"/>
      <w:jc w:val="center"/>
    </w:pPr>
    <w:rPr>
      <w:rFonts w:ascii="Times New Roman Bold" w:hAnsi="Times New Roman Bold"/>
      <w:b/>
    </w:rPr>
  </w:style>
  <w:style w:type="paragraph" w:customStyle="1" w:styleId="Style12">
    <w:name w:val="Style 12"/>
    <w:basedOn w:val="Normal"/>
    <w:pPr>
      <w:widowControl w:val="0"/>
      <w:autoSpaceDE w:val="0"/>
      <w:autoSpaceDN w:val="0"/>
      <w:spacing w:line="264" w:lineRule="exact"/>
      <w:ind w:hanging="576"/>
    </w:pPr>
    <w:rPr>
      <w:szCs w:val="24"/>
    </w:rPr>
  </w:style>
  <w:style w:type="paragraph" w:customStyle="1" w:styleId="TextBox">
    <w:name w:val="Text Box"/>
    <w:pPr>
      <w:keepNext/>
      <w:keepLines/>
      <w:tabs>
        <w:tab w:val="left" w:pos="-720"/>
      </w:tabs>
      <w:suppressAutoHyphens/>
      <w:jc w:val="both"/>
    </w:pPr>
    <w:rPr>
      <w:rFonts w:eastAsia="Times New Roman"/>
      <w:spacing w:val="-2"/>
      <w:sz w:val="22"/>
    </w:rPr>
  </w:style>
  <w:style w:type="paragraph" w:customStyle="1" w:styleId="Sub-ClauseText">
    <w:name w:val="Sub-Clause Text"/>
    <w:basedOn w:val="Normal"/>
    <w:pPr>
      <w:spacing w:before="120" w:after="120"/>
    </w:pPr>
    <w:rPr>
      <w:spacing w:val="-4"/>
    </w:rPr>
  </w:style>
  <w:style w:type="paragraph" w:customStyle="1" w:styleId="Heading1-Clausename">
    <w:name w:val="Heading 1- Clause name"/>
    <w:basedOn w:val="Normal"/>
    <w:pPr>
      <w:tabs>
        <w:tab w:val="left" w:pos="360"/>
      </w:tabs>
      <w:spacing w:before="120" w:after="120"/>
      <w:ind w:left="360" w:hanging="360"/>
      <w:jc w:val="left"/>
    </w:pPr>
    <w:rPr>
      <w:b/>
    </w:rPr>
  </w:style>
  <w:style w:type="paragraph" w:customStyle="1" w:styleId="sec7-clauses0">
    <w:name w:val="sec7-clauses"/>
    <w:basedOn w:val="Heading1-Clausename"/>
  </w:style>
  <w:style w:type="paragraph" w:customStyle="1" w:styleId="Sec1-Clauses">
    <w:name w:val="Sec1-Clauses"/>
    <w:basedOn w:val="Heading1-Clausename"/>
  </w:style>
  <w:style w:type="paragraph" w:customStyle="1" w:styleId="SectionVIHeader0">
    <w:name w:val="Section VI. Header"/>
    <w:basedOn w:val="SectionVHeader"/>
    <w:pPr>
      <w:spacing w:before="120" w:after="240"/>
    </w:pPr>
  </w:style>
  <w:style w:type="character" w:customStyle="1" w:styleId="DocumentMapChar">
    <w:name w:val="Document Map Char"/>
    <w:link w:val="DocumentMap"/>
    <w:rPr>
      <w:rFonts w:ascii="Tahoma" w:eastAsia="Times New Roman" w:hAnsi="Tahoma" w:cs="Times New Roman"/>
      <w:sz w:val="24"/>
      <w:szCs w:val="20"/>
      <w:shd w:val="clear" w:color="auto" w:fill="000080"/>
      <w:lang w:val="en-US"/>
    </w:rPr>
  </w:style>
  <w:style w:type="paragraph" w:customStyle="1" w:styleId="Head12">
    <w:name w:val="Head 1.2"/>
    <w:basedOn w:val="Normal"/>
    <w:pPr>
      <w:tabs>
        <w:tab w:val="left" w:pos="360"/>
      </w:tabs>
      <w:ind w:left="360" w:hanging="360"/>
    </w:pPr>
    <w:rPr>
      <w:rFonts w:ascii="Arial" w:hAnsi="Arial"/>
      <w:sz w:val="20"/>
    </w:rPr>
  </w:style>
  <w:style w:type="paragraph" w:customStyle="1" w:styleId="ChapterNumber">
    <w:name w:val="ChapterNumber"/>
    <w:pPr>
      <w:tabs>
        <w:tab w:val="left" w:pos="-720"/>
      </w:tabs>
      <w:suppressAutoHyphens/>
    </w:pPr>
    <w:rPr>
      <w:rFonts w:ascii="CG Times" w:eastAsia="Times New Roman" w:hAnsi="CG Times"/>
      <w:sz w:val="22"/>
    </w:rPr>
  </w:style>
  <w:style w:type="paragraph" w:customStyle="1" w:styleId="Heading1a">
    <w:name w:val="Heading 1a"/>
    <w:pPr>
      <w:keepNext/>
      <w:keepLines/>
      <w:tabs>
        <w:tab w:val="left" w:pos="-720"/>
      </w:tabs>
      <w:suppressAutoHyphens/>
      <w:jc w:val="center"/>
    </w:pPr>
    <w:rPr>
      <w:rFonts w:eastAsia="Times New Roman"/>
      <w:b/>
      <w:smallCaps/>
      <w:sz w:val="32"/>
    </w:rPr>
  </w:style>
  <w:style w:type="paragraph" w:customStyle="1" w:styleId="SectionIIIHeading1">
    <w:name w:val="Section III Heading 1"/>
    <w:qFormat/>
    <w:pPr>
      <w:spacing w:before="120" w:after="240"/>
    </w:pPr>
    <w:rPr>
      <w:rFonts w:eastAsia="Times New Roman"/>
      <w:b/>
      <w:sz w:val="24"/>
    </w:rPr>
  </w:style>
  <w:style w:type="character" w:customStyle="1" w:styleId="Heading1Char1">
    <w:name w:val="Heading 1 Char1"/>
    <w:rPr>
      <w:rFonts w:ascii="Cambria" w:eastAsia="Times New Roman" w:hAnsi="Cambria" w:cs="Times New Roman"/>
      <w:b/>
      <w:bCs/>
      <w:color w:val="365F91"/>
      <w:sz w:val="28"/>
      <w:szCs w:val="28"/>
    </w:rPr>
  </w:style>
  <w:style w:type="character" w:customStyle="1" w:styleId="st">
    <w:name w:val="st"/>
    <w:basedOn w:val="DefaultParagraphFont"/>
  </w:style>
  <w:style w:type="paragraph" w:customStyle="1" w:styleId="plane">
    <w:name w:val="plane"/>
    <w:basedOn w:val="Normal"/>
    <w:pPr>
      <w:suppressAutoHyphens/>
    </w:pPr>
    <w:rPr>
      <w:rFonts w:ascii="Tms Rmn" w:hAnsi="Tms Rmn"/>
    </w:rPr>
  </w:style>
  <w:style w:type="paragraph" w:customStyle="1" w:styleId="S1-Header2">
    <w:name w:val="S1-Header2"/>
    <w:basedOn w:val="Normal"/>
    <w:pPr>
      <w:tabs>
        <w:tab w:val="left" w:pos="360"/>
      </w:tabs>
      <w:spacing w:after="200"/>
      <w:jc w:val="left"/>
    </w:pPr>
    <w:rPr>
      <w:b/>
      <w:szCs w:val="24"/>
    </w:rPr>
  </w:style>
  <w:style w:type="paragraph" w:customStyle="1" w:styleId="S4-Header2">
    <w:name w:val="S4-Header 2"/>
    <w:basedOn w:val="Normal"/>
    <w:pPr>
      <w:spacing w:before="120" w:after="240"/>
      <w:jc w:val="center"/>
    </w:pPr>
    <w:rPr>
      <w:b/>
      <w:sz w:val="32"/>
      <w:szCs w:val="24"/>
    </w:rPr>
  </w:style>
  <w:style w:type="character" w:customStyle="1" w:styleId="MessageHeaderChar">
    <w:name w:val="Message Header Char"/>
    <w:link w:val="MessageHeader"/>
    <w:rPr>
      <w:rFonts w:ascii="Arial" w:eastAsia="Times New Roman" w:hAnsi="Arial" w:cs="Times New Roman"/>
      <w:sz w:val="24"/>
      <w:szCs w:val="24"/>
      <w:shd w:val="pct20" w:color="auto" w:fill="auto"/>
      <w:lang w:val="en-US"/>
    </w:rPr>
  </w:style>
  <w:style w:type="character" w:customStyle="1" w:styleId="NoteHeadingChar">
    <w:name w:val="Note Heading Char"/>
    <w:link w:val="NoteHeading"/>
    <w:rPr>
      <w:rFonts w:eastAsia="Times New Roman" w:cs="Times New Roman"/>
      <w:sz w:val="24"/>
      <w:szCs w:val="20"/>
      <w:lang w:val="en-US"/>
    </w:rPr>
  </w:style>
  <w:style w:type="paragraph" w:customStyle="1" w:styleId="SectionTitle">
    <w:name w:val="Section Title"/>
    <w:next w:val="Normal"/>
    <w:pPr>
      <w:spacing w:after="200"/>
      <w:jc w:val="center"/>
    </w:pPr>
    <w:rPr>
      <w:rFonts w:eastAsia="Times New Roman"/>
      <w:b/>
      <w:sz w:val="44"/>
      <w:lang w:val="en-GB"/>
    </w:rPr>
  </w:style>
  <w:style w:type="paragraph" w:customStyle="1" w:styleId="Level3Body">
    <w:name w:val="Level 3 (Body)"/>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pPr>
      <w:jc w:val="left"/>
    </w:pPr>
    <w:rPr>
      <w:szCs w:val="24"/>
    </w:rPr>
  </w:style>
  <w:style w:type="paragraph" w:customStyle="1" w:styleId="ShortReturnAddress">
    <w:name w:val="Short Return Address"/>
    <w:basedOn w:val="Normal"/>
    <w:pPr>
      <w:jc w:val="left"/>
    </w:pPr>
    <w:rPr>
      <w:szCs w:val="24"/>
    </w:rPr>
  </w:style>
  <w:style w:type="paragraph" w:customStyle="1" w:styleId="BHead">
    <w:name w:val="B Head"/>
    <w:pPr>
      <w:tabs>
        <w:tab w:val="left" w:pos="-720"/>
      </w:tabs>
      <w:suppressAutoHyphens/>
      <w:overflowPunct w:val="0"/>
      <w:autoSpaceDE w:val="0"/>
      <w:autoSpaceDN w:val="0"/>
      <w:adjustRightInd w:val="0"/>
    </w:pPr>
    <w:rPr>
      <w:rFonts w:eastAsia="Times New Roman"/>
    </w:rPr>
  </w:style>
  <w:style w:type="paragraph" w:customStyle="1" w:styleId="CHead">
    <w:name w:val="C Head"/>
    <w:pPr>
      <w:tabs>
        <w:tab w:val="left" w:pos="-720"/>
      </w:tabs>
      <w:suppressAutoHyphens/>
      <w:overflowPunct w:val="0"/>
      <w:autoSpaceDE w:val="0"/>
      <w:autoSpaceDN w:val="0"/>
      <w:adjustRightInd w:val="0"/>
    </w:pPr>
    <w:rPr>
      <w:rFonts w:eastAsia="Times New Roman"/>
    </w:rPr>
  </w:style>
  <w:style w:type="paragraph" w:customStyle="1" w:styleId="SecNoHe">
    <w:name w:val="Sec No. &amp; He"/>
    <w:pPr>
      <w:tabs>
        <w:tab w:val="left" w:pos="-720"/>
      </w:tabs>
      <w:suppressAutoHyphens/>
      <w:overflowPunct w:val="0"/>
      <w:autoSpaceDE w:val="0"/>
      <w:autoSpaceDN w:val="0"/>
      <w:adjustRightInd w:val="0"/>
    </w:pPr>
    <w:rPr>
      <w:rFonts w:eastAsia="Times New Roman"/>
    </w:rPr>
  </w:style>
  <w:style w:type="paragraph" w:customStyle="1" w:styleId="RightPar10">
    <w:name w:val="Right Par[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pPr>
      <w:spacing w:before="240" w:after="240"/>
      <w:ind w:left="1418"/>
      <w:jc w:val="left"/>
    </w:pPr>
    <w:rPr>
      <w:szCs w:val="24"/>
    </w:rPr>
  </w:style>
  <w:style w:type="paragraph" w:customStyle="1" w:styleId="e4">
    <w:name w:val="e4"/>
    <w:basedOn w:val="Normal"/>
    <w:next w:val="Normal"/>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pPr>
      <w:spacing w:before="120" w:after="200"/>
    </w:pPr>
    <w:rPr>
      <w:b/>
    </w:rPr>
  </w:style>
  <w:style w:type="paragraph" w:customStyle="1" w:styleId="S1-Header1">
    <w:name w:val="S1-Header1"/>
    <w:basedOn w:val="Normal"/>
    <w:pPr>
      <w:tabs>
        <w:tab w:val="left"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pPr>
      <w:tabs>
        <w:tab w:val="left" w:pos="504"/>
      </w:tabs>
      <w:ind w:left="504" w:hanging="504"/>
    </w:pPr>
    <w:rPr>
      <w:rFonts w:cs="Arial"/>
      <w:i/>
      <w:iCs/>
      <w:szCs w:val="24"/>
    </w:rPr>
  </w:style>
  <w:style w:type="paragraph" w:customStyle="1" w:styleId="StyleHeader2-SubClausesAfter6pt">
    <w:name w:val="Style Header 2 - SubClauses + After:  6 pt"/>
    <w:basedOn w:val="Header2-SubClauses"/>
    <w:pPr>
      <w:tabs>
        <w:tab w:val="left" w:pos="504"/>
      </w:tabs>
      <w:ind w:left="504" w:hanging="504"/>
    </w:pPr>
    <w:rPr>
      <w:szCs w:val="24"/>
    </w:rPr>
  </w:style>
  <w:style w:type="paragraph" w:customStyle="1" w:styleId="StyleSubtitleLeft013Right02">
    <w:name w:val="Style Subtitle + Left:  0.13&quot; Right:  0.2&quot;"/>
    <w:basedOn w:val="Subtitle"/>
    <w:pPr>
      <w:spacing w:before="120" w:after="240"/>
      <w:ind w:left="180" w:right="288"/>
    </w:pPr>
    <w:rPr>
      <w:bCs/>
      <w:sz w:val="36"/>
    </w:rPr>
  </w:style>
  <w:style w:type="paragraph" w:customStyle="1" w:styleId="StyleArial20ptBoldCenteredBefore6ptAfter12pt">
    <w:name w:val="Style Arial 20 pt Bold Centered Before:  6 pt After:  12 pt"/>
    <w:basedOn w:val="Normal"/>
    <w:pPr>
      <w:spacing w:before="120" w:after="240"/>
      <w:jc w:val="center"/>
    </w:pPr>
    <w:rPr>
      <w:b/>
      <w:bCs/>
      <w:sz w:val="36"/>
    </w:rPr>
  </w:style>
  <w:style w:type="paragraph" w:customStyle="1" w:styleId="S3-Header1">
    <w:name w:val="S3-Header 1"/>
    <w:basedOn w:val="Normal"/>
    <w:pPr>
      <w:spacing w:before="120" w:after="200"/>
      <w:ind w:left="1080" w:hanging="720"/>
    </w:pPr>
    <w:rPr>
      <w:b/>
      <w:bCs/>
      <w:sz w:val="28"/>
    </w:rPr>
  </w:style>
  <w:style w:type="paragraph" w:customStyle="1" w:styleId="S3-Heading2">
    <w:name w:val="S3-Heading 2"/>
    <w:basedOn w:val="Normal"/>
    <w:pPr>
      <w:spacing w:after="200"/>
      <w:ind w:left="1080" w:right="288" w:hanging="720"/>
    </w:pPr>
    <w:rPr>
      <w:b/>
      <w:bCs/>
      <w:szCs w:val="24"/>
    </w:rPr>
  </w:style>
  <w:style w:type="paragraph" w:customStyle="1" w:styleId="S4Header">
    <w:name w:val="S4 Header"/>
    <w:basedOn w:val="Normal"/>
    <w:next w:val="Normal"/>
    <w:pPr>
      <w:spacing w:before="120" w:after="240"/>
      <w:jc w:val="center"/>
    </w:pPr>
    <w:rPr>
      <w:b/>
      <w:sz w:val="32"/>
    </w:rPr>
  </w:style>
  <w:style w:type="paragraph" w:customStyle="1" w:styleId="S4-Header10">
    <w:name w:val="S4-Header 1"/>
    <w:basedOn w:val="Normal"/>
    <w:next w:val="Normal"/>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pPr>
      <w:spacing w:before="120" w:after="240"/>
      <w:ind w:left="360" w:right="288"/>
    </w:pPr>
    <w:rPr>
      <w:bCs/>
      <w:sz w:val="32"/>
    </w:rPr>
  </w:style>
  <w:style w:type="paragraph" w:customStyle="1" w:styleId="S6-Header1">
    <w:name w:val="S6-Header 1"/>
    <w:basedOn w:val="Normal"/>
    <w:next w:val="Normal"/>
    <w:pPr>
      <w:spacing w:before="120" w:after="240"/>
      <w:jc w:val="center"/>
    </w:pPr>
    <w:rPr>
      <w:rFonts w:cs="Arial"/>
      <w:b/>
      <w:sz w:val="32"/>
      <w:szCs w:val="24"/>
    </w:rPr>
  </w:style>
  <w:style w:type="paragraph" w:customStyle="1" w:styleId="Part">
    <w:name w:val="Part"/>
    <w:basedOn w:val="Normal"/>
    <w:pPr>
      <w:keepNext/>
      <w:spacing w:before="2280"/>
      <w:jc w:val="center"/>
    </w:pPr>
    <w:rPr>
      <w:b/>
      <w:sz w:val="52"/>
      <w:szCs w:val="24"/>
    </w:rPr>
  </w:style>
  <w:style w:type="paragraph" w:customStyle="1" w:styleId="StyleHead41Before6ptAfter6pt">
    <w:name w:val="Style Head 4.1 + Before:  6 pt After:  6 pt"/>
    <w:basedOn w:val="Head4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pPr>
      <w:spacing w:before="120" w:after="240"/>
      <w:jc w:val="center"/>
    </w:pPr>
    <w:rPr>
      <w:b/>
      <w:sz w:val="36"/>
      <w:szCs w:val="24"/>
    </w:rPr>
  </w:style>
  <w:style w:type="paragraph" w:customStyle="1" w:styleId="StyleS1-Header1TimesNewRoman14pt">
    <w:name w:val="Style S1-Header1 + Times New Roman 14 pt"/>
    <w:basedOn w:val="S1-Header1"/>
    <w:pPr>
      <w:tabs>
        <w:tab w:val="clear" w:pos="648"/>
      </w:tabs>
      <w:ind w:left="0" w:firstLine="0"/>
    </w:pPr>
    <w:rPr>
      <w:bCs/>
    </w:rPr>
  </w:style>
  <w:style w:type="paragraph" w:customStyle="1" w:styleId="StyleStyleS1-Header1TimesNewRoman14pt">
    <w:name w:val="Style Style S1-Header1 + Times New Roman 14 pt +"/>
    <w:basedOn w:val="StyleS1-Header1TimesNewRoman14pt"/>
    <w:pPr>
      <w:tabs>
        <w:tab w:val="left" w:pos="648"/>
      </w:tabs>
      <w:ind w:left="360" w:hanging="72"/>
    </w:pPr>
  </w:style>
  <w:style w:type="paragraph" w:customStyle="1" w:styleId="StyleStyleS1-Header1TimesNewRoman14pt1">
    <w:name w:val="Style Style S1-Header1 + Times New Roman 14 pt +1"/>
    <w:basedOn w:val="StyleS1-Header1TimesNewRoman14pt"/>
    <w:pPr>
      <w:tabs>
        <w:tab w:val="left" w:pos="648"/>
      </w:tabs>
      <w:ind w:left="360" w:hanging="72"/>
    </w:pPr>
  </w:style>
  <w:style w:type="character" w:customStyle="1" w:styleId="AHead">
    <w:name w:val="A Head"/>
    <w:rPr>
      <w:rFonts w:ascii="Times New Roman" w:hAnsi="Times New Roman" w:cs="Times New Roman" w:hint="default"/>
      <w:sz w:val="20"/>
      <w:lang w:val="en-US"/>
    </w:rPr>
  </w:style>
  <w:style w:type="character" w:customStyle="1" w:styleId="DefaultPara">
    <w:name w:val="Default Para"/>
    <w:rPr>
      <w:rFonts w:ascii="CG Times" w:hAnsi="CG Times" w:hint="default"/>
      <w:b/>
      <w:i/>
      <w:sz w:val="24"/>
      <w:lang w:val="en-US"/>
    </w:rPr>
  </w:style>
  <w:style w:type="character" w:customStyle="1" w:styleId="BulletList">
    <w:name w:val="Bullet List"/>
    <w:basedOn w:val="DefaultParagraphFont"/>
  </w:style>
  <w:style w:type="character" w:customStyle="1" w:styleId="StyleHeader2-SubClausesItalicChar">
    <w:name w:val="Style Header 2 - SubClauses + Italic Char"/>
    <w:rPr>
      <w:rFonts w:ascii="Arial" w:hAnsi="Arial" w:cs="Arial" w:hint="default"/>
      <w:i/>
      <w:iCs/>
      <w:sz w:val="24"/>
      <w:szCs w:val="24"/>
      <w:lang w:val="en-US" w:eastAsia="en-US" w:bidi="ar-SA"/>
    </w:rPr>
  </w:style>
  <w:style w:type="character" w:customStyle="1" w:styleId="S1-Header1CharChar">
    <w:name w:val="S1-Header1 Char Char"/>
    <w:rPr>
      <w:rFonts w:ascii="Arial" w:hAnsi="Arial" w:cs="Arial" w:hint="default"/>
      <w:b/>
      <w:sz w:val="28"/>
      <w:szCs w:val="24"/>
      <w:lang w:val="en-US" w:eastAsia="en-US" w:bidi="ar-SA"/>
    </w:rPr>
  </w:style>
  <w:style w:type="character" w:customStyle="1" w:styleId="StyleS1-Header1TimesNewRoman14ptChar">
    <w:name w:val="Style S1-Header1 + Times New Roman 14 pt Char"/>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rPr>
      <w:rFonts w:ascii="Arial" w:hAnsi="Arial" w:cs="Arial" w:hint="default"/>
      <w:sz w:val="28"/>
      <w:szCs w:val="24"/>
      <w:lang w:val="en-US" w:eastAsia="en-US" w:bidi="ar-SA"/>
    </w:rPr>
  </w:style>
  <w:style w:type="character" w:customStyle="1" w:styleId="hps">
    <w:name w:val="hps"/>
  </w:style>
  <w:style w:type="character" w:customStyle="1" w:styleId="shorttext">
    <w:name w:val="short_text"/>
  </w:style>
  <w:style w:type="character" w:customStyle="1" w:styleId="atn">
    <w:name w:val="atn"/>
  </w:style>
  <w:style w:type="character" w:customStyle="1" w:styleId="dieuChar">
    <w:name w:val="dieu Char"/>
    <w:rPr>
      <w:rFonts w:ascii="Times New Roman" w:eastAsia="Times New Roman" w:hAnsi="Times New Roman" w:cs="Times New Roman"/>
      <w:b/>
      <w:color w:val="0000FF"/>
      <w:sz w:val="26"/>
      <w:szCs w:val="20"/>
      <w:lang w:val="en-US"/>
    </w:rPr>
  </w:style>
  <w:style w:type="paragraph" w:customStyle="1" w:styleId="3">
    <w:name w:val="3"/>
    <w:basedOn w:val="Heading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pPr>
      <w:spacing w:after="120"/>
      <w:ind w:left="0" w:right="0" w:firstLine="567"/>
      <w:jc w:val="right"/>
    </w:pPr>
    <w:rPr>
      <w:rFonts w:ascii=".VnTime" w:hAnsi=".VnTime"/>
      <w:sz w:val="28"/>
      <w:szCs w:val="28"/>
      <w:u w:val="single"/>
      <w:lang w:val="de-DE"/>
    </w:rPr>
  </w:style>
  <w:style w:type="paragraph" w:customStyle="1" w:styleId="4">
    <w:name w:val="4"/>
    <w:basedOn w:val="Normal"/>
    <w:pPr>
      <w:spacing w:before="360" w:line="288" w:lineRule="auto"/>
    </w:pPr>
    <w:rPr>
      <w:rFonts w:ascii=".VnArial" w:hAnsi=".VnArial"/>
      <w:b/>
      <w:sz w:val="20"/>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rPr>
      <w:rFonts w:eastAsia="Times New Roman" w:cs="Times New Roman"/>
      <w:sz w:val="24"/>
      <w:szCs w:val="20"/>
      <w:lang w:val="en-US"/>
    </w:rPr>
  </w:style>
  <w:style w:type="paragraph" w:customStyle="1" w:styleId="Style1">
    <w:name w:val="Style1"/>
    <w:basedOn w:val="Normal"/>
    <w:pPr>
      <w:widowControl w:val="0"/>
    </w:pPr>
    <w:rPr>
      <w:rFonts w:ascii=".VnTime" w:hAnsi=".VnTime"/>
      <w:sz w:val="26"/>
    </w:rPr>
  </w:style>
  <w:style w:type="paragraph" w:customStyle="1" w:styleId="HAStyle1">
    <w:name w:val="HAStyle1"/>
    <w:basedOn w:val="Sec1-Clauses"/>
    <w:qFormat/>
    <w:pPr>
      <w:widowControl w:val="0"/>
      <w:numPr>
        <w:numId w:val="2"/>
      </w:numPr>
      <w:spacing w:line="264" w:lineRule="auto"/>
    </w:pPr>
    <w:rPr>
      <w:rFonts w:eastAsia="Arial"/>
      <w:sz w:val="28"/>
      <w:szCs w:val="28"/>
    </w:rPr>
  </w:style>
  <w:style w:type="paragraph" w:customStyle="1" w:styleId="Revision1">
    <w:name w:val="Revision1"/>
    <w:hidden/>
    <w:uiPriority w:val="99"/>
    <w:semiHidden/>
    <w:rPr>
      <w:rFonts w:eastAsia="Times New Roman"/>
      <w:sz w:val="24"/>
    </w:rPr>
  </w:style>
  <w:style w:type="character" w:customStyle="1" w:styleId="Other">
    <w:name w:val="Other_"/>
    <w:link w:val="Other0"/>
    <w:uiPriority w:val="99"/>
    <w:rPr>
      <w:rFonts w:cs="Times New Roman"/>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rFonts w:eastAsia="Arial"/>
      <w:i/>
      <w:iCs/>
      <w:sz w:val="26"/>
      <w:szCs w:val="26"/>
      <w:lang w:val="vi-VN"/>
    </w:rPr>
  </w:style>
  <w:style w:type="character" w:customStyle="1" w:styleId="Khc">
    <w:name w:val="Khác_"/>
    <w:link w:val="Khc0"/>
    <w:uiPriority w:val="99"/>
    <w:rPr>
      <w:rFonts w:cs="Times New Roman"/>
      <w:szCs w:val="28"/>
    </w:rPr>
  </w:style>
  <w:style w:type="paragraph" w:customStyle="1" w:styleId="Khc0">
    <w:name w:val="Khác"/>
    <w:basedOn w:val="Normal"/>
    <w:link w:val="Khc"/>
    <w:uiPriority w:val="99"/>
    <w:pPr>
      <w:widowControl w:val="0"/>
      <w:spacing w:after="60" w:line="312" w:lineRule="auto"/>
      <w:ind w:firstLine="400"/>
      <w:jc w:val="left"/>
    </w:pPr>
    <w:rPr>
      <w:rFonts w:eastAsia="Arial"/>
      <w:sz w:val="28"/>
      <w:szCs w:val="28"/>
      <w:lang w:val="vi-VN"/>
    </w:rPr>
  </w:style>
  <w:style w:type="character" w:customStyle="1" w:styleId="fontstyle01">
    <w:name w:val="fontstyle01"/>
    <w:rPr>
      <w:rFonts w:ascii="Cambria" w:hAnsi="Cambria" w:hint="default"/>
      <w:color w:val="000000"/>
      <w:sz w:val="24"/>
      <w:szCs w:val="24"/>
    </w:rPr>
  </w:style>
  <w:style w:type="character" w:customStyle="1" w:styleId="cf01">
    <w:name w:val="cf01"/>
    <w:basedOn w:val="DefaultParagraphFont"/>
    <w:rPr>
      <w:rFonts w:ascii="Segoe UI" w:hAnsi="Segoe UI" w:cs="Segoe UI" w:hint="default"/>
      <w:sz w:val="18"/>
      <w:szCs w:val="18"/>
    </w:rPr>
  </w:style>
  <w:style w:type="paragraph" w:customStyle="1" w:styleId="pf0">
    <w:name w:val="pf0"/>
    <w:basedOn w:val="Normal"/>
    <w:pPr>
      <w:spacing w:before="100" w:beforeAutospacing="1" w:after="100" w:afterAutospacing="1"/>
      <w:jc w:val="left"/>
    </w:pPr>
    <w:rPr>
      <w:szCs w:val="24"/>
    </w:rPr>
  </w:style>
  <w:style w:type="character" w:customStyle="1" w:styleId="cf21">
    <w:name w:val="cf21"/>
    <w:basedOn w:val="DefaultParagraphFont"/>
    <w:rPr>
      <w:rFonts w:ascii="Segoe UI" w:hAnsi="Segoe UI" w:cs="Segoe UI" w:hint="default"/>
      <w:sz w:val="18"/>
      <w:szCs w:val="18"/>
    </w:rPr>
  </w:style>
  <w:style w:type="character" w:customStyle="1" w:styleId="cf31">
    <w:name w:val="cf31"/>
    <w:basedOn w:val="DefaultParagraphFont"/>
    <w:rPr>
      <w:rFonts w:ascii="Segoe UI" w:hAnsi="Segoe UI" w:cs="Segoe UI" w:hint="default"/>
      <w:sz w:val="18"/>
      <w:szCs w:val="18"/>
      <w:shd w:val="clear" w:color="auto" w:fill="FFFF00"/>
    </w:rPr>
  </w:style>
  <w:style w:type="character" w:customStyle="1" w:styleId="cf11">
    <w:name w:val="cf11"/>
    <w:basedOn w:val="DefaultParagraphFon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198538">
      <w:bodyDiv w:val="1"/>
      <w:marLeft w:val="0"/>
      <w:marRight w:val="0"/>
      <w:marTop w:val="0"/>
      <w:marBottom w:val="0"/>
      <w:divBdr>
        <w:top w:val="none" w:sz="0" w:space="0" w:color="auto"/>
        <w:left w:val="none" w:sz="0" w:space="0" w:color="auto"/>
        <w:bottom w:val="none" w:sz="0" w:space="0" w:color="auto"/>
        <w:right w:val="none" w:sz="0" w:space="0" w:color="auto"/>
      </w:divBdr>
    </w:div>
    <w:div w:id="971863109">
      <w:bodyDiv w:val="1"/>
      <w:marLeft w:val="0"/>
      <w:marRight w:val="0"/>
      <w:marTop w:val="0"/>
      <w:marBottom w:val="0"/>
      <w:divBdr>
        <w:top w:val="none" w:sz="0" w:space="0" w:color="auto"/>
        <w:left w:val="none" w:sz="0" w:space="0" w:color="auto"/>
        <w:bottom w:val="none" w:sz="0" w:space="0" w:color="auto"/>
        <w:right w:val="none" w:sz="0" w:space="0" w:color="auto"/>
      </w:divBdr>
    </w:div>
    <w:div w:id="1025786191">
      <w:bodyDiv w:val="1"/>
      <w:marLeft w:val="0"/>
      <w:marRight w:val="0"/>
      <w:marTop w:val="0"/>
      <w:marBottom w:val="0"/>
      <w:divBdr>
        <w:top w:val="none" w:sz="0" w:space="0" w:color="auto"/>
        <w:left w:val="none" w:sz="0" w:space="0" w:color="auto"/>
        <w:bottom w:val="none" w:sz="0" w:space="0" w:color="auto"/>
        <w:right w:val="none" w:sz="0" w:space="0" w:color="auto"/>
      </w:divBdr>
    </w:div>
    <w:div w:id="1156457944">
      <w:bodyDiv w:val="1"/>
      <w:marLeft w:val="0"/>
      <w:marRight w:val="0"/>
      <w:marTop w:val="0"/>
      <w:marBottom w:val="0"/>
      <w:divBdr>
        <w:top w:val="none" w:sz="0" w:space="0" w:color="auto"/>
        <w:left w:val="none" w:sz="0" w:space="0" w:color="auto"/>
        <w:bottom w:val="none" w:sz="0" w:space="0" w:color="auto"/>
        <w:right w:val="none" w:sz="0" w:space="0" w:color="auto"/>
      </w:divBdr>
    </w:div>
    <w:div w:id="1947688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F11CE-C351-4A57-A544-F40296AD5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3964</Words>
  <Characters>22598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HP</cp:lastModifiedBy>
  <cp:revision>3</cp:revision>
  <cp:lastPrinted>2024-07-16T09:41:00Z</cp:lastPrinted>
  <dcterms:created xsi:type="dcterms:W3CDTF">2025-12-22T06:29:00Z</dcterms:created>
  <dcterms:modified xsi:type="dcterms:W3CDTF">2025-12-22T06:29:00Z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27d1ac088362ee24b89ce7625425dd96b8254a04e53991cd01b3d3b99b0cadeb</vt:lpwstr>
  </property>
  <property fmtid="{D5CDD505-2E9C-101B-9397-08002B2CF9AE}" pid="3" name="KSOProductBuildVer">
    <vt:lpwstr>1033-12.2.0.23196</vt:lpwstr>
  </property>
  <property fmtid="{D5CDD505-2E9C-101B-9397-08002B2CF9AE}" pid="4" name="ICV">
    <vt:lpwstr>2E444E9DAFD244789CF060E7D42DE9D5_12</vt:lpwstr>
  </property>
</Properties>
</file>