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47F" w:rsidRPr="008A2C68" w:rsidRDefault="0011647F" w:rsidP="0011647F">
      <w:pPr>
        <w:pStyle w:val="Heading1"/>
        <w:rPr>
          <w:rFonts w:ascii="Times New Roman" w:hAnsi="Times New Roman"/>
          <w:color w:val="000000"/>
          <w:lang w:val="es-ES"/>
        </w:rPr>
      </w:pPr>
      <w:bookmarkStart w:id="0" w:name="_Toc238976804"/>
      <w:bookmarkStart w:id="1" w:name="_Toc195895617"/>
      <w:bookmarkStart w:id="2" w:name="_Toc458072225"/>
      <w:bookmarkStart w:id="3" w:name="_Toc154510932"/>
      <w:bookmarkStart w:id="4" w:name="_Toc196214556"/>
      <w:r w:rsidRPr="008F5562">
        <w:rPr>
          <w:rFonts w:ascii="Times New Roman" w:hAnsi="Times New Roman"/>
          <w:color w:val="000000"/>
          <w:lang w:val="es-ES"/>
        </w:rPr>
        <w:t xml:space="preserve">PHẦN 2. ĐIỀU </w:t>
      </w:r>
      <w:r w:rsidRPr="008A2C68">
        <w:rPr>
          <w:rFonts w:ascii="Times New Roman" w:hAnsi="Times New Roman"/>
          <w:color w:val="000000"/>
          <w:lang w:val="es-ES"/>
        </w:rPr>
        <w:t>KHOẢN THAM CHIẾU</w:t>
      </w:r>
    </w:p>
    <w:p w:rsidR="0011647F" w:rsidRPr="008A2C68" w:rsidRDefault="0011647F" w:rsidP="0011647F">
      <w:pPr>
        <w:pStyle w:val="Heading1"/>
        <w:rPr>
          <w:rFonts w:ascii="Times New Roman" w:hAnsi="Times New Roman"/>
          <w:color w:val="000000"/>
          <w:lang w:val="es-ES"/>
        </w:rPr>
      </w:pPr>
      <w:bookmarkStart w:id="5" w:name="_Toc154510933"/>
      <w:r w:rsidRPr="008A2C68">
        <w:rPr>
          <w:rFonts w:ascii="Times New Roman" w:hAnsi="Times New Roman"/>
          <w:color w:val="000000"/>
          <w:lang w:val="es-ES"/>
        </w:rPr>
        <w:t>CHƯƠNG V. ĐIỀU KHOẢN THAM CHIẾU</w:t>
      </w:r>
      <w:bookmarkEnd w:id="5"/>
    </w:p>
    <w:p w:rsidR="0011647F" w:rsidRPr="008F5562" w:rsidRDefault="0011647F" w:rsidP="0011647F">
      <w:pPr>
        <w:spacing w:before="60" w:after="60"/>
        <w:ind w:firstLine="720"/>
        <w:rPr>
          <w:bCs/>
          <w:i/>
          <w:iCs/>
          <w:color w:val="000000"/>
          <w:sz w:val="28"/>
          <w:szCs w:val="28"/>
          <w:lang w:val="es-ES"/>
        </w:rPr>
      </w:pPr>
    </w:p>
    <w:p w:rsidR="0011647F" w:rsidRPr="008F5562" w:rsidRDefault="0011647F" w:rsidP="0011647F">
      <w:pPr>
        <w:spacing w:before="60" w:after="60"/>
        <w:ind w:firstLine="720"/>
        <w:rPr>
          <w:i/>
          <w:iCs/>
          <w:color w:val="000000"/>
          <w:sz w:val="28"/>
          <w:szCs w:val="28"/>
          <w:lang w:val="es-ES"/>
        </w:rPr>
      </w:pPr>
      <w:r w:rsidRPr="008F5562">
        <w:rPr>
          <w:bCs/>
          <w:i/>
          <w:iCs/>
          <w:color w:val="000000"/>
          <w:sz w:val="28"/>
          <w:szCs w:val="28"/>
          <w:lang w:val="es-ES"/>
        </w:rPr>
        <w:t>“Điều khoản tham chiếu" bao gồm những nội dung chủ yếu sau:</w:t>
      </w:r>
    </w:p>
    <w:p w:rsidR="0011647F" w:rsidRPr="008A2C68" w:rsidRDefault="0011647F" w:rsidP="0011647F">
      <w:pPr>
        <w:spacing w:before="60" w:after="60"/>
        <w:ind w:firstLine="720"/>
        <w:rPr>
          <w:b/>
          <w:bCs/>
          <w:color w:val="000000"/>
          <w:sz w:val="28"/>
          <w:szCs w:val="28"/>
          <w:lang w:val="it-IT"/>
        </w:rPr>
      </w:pPr>
      <w:r w:rsidRPr="008A2C68">
        <w:rPr>
          <w:b/>
          <w:color w:val="000000"/>
          <w:sz w:val="28"/>
          <w:szCs w:val="28"/>
          <w:lang w:val="it-IT"/>
        </w:rPr>
        <w:t>I. Giới thiệu:</w:t>
      </w:r>
    </w:p>
    <w:p w:rsidR="0011647F" w:rsidRPr="008A2C68" w:rsidRDefault="0011647F" w:rsidP="0011647F">
      <w:pPr>
        <w:pStyle w:val="BodyTextlist1"/>
        <w:numPr>
          <w:ilvl w:val="0"/>
          <w:numId w:val="5"/>
        </w:numPr>
      </w:pPr>
      <w:r w:rsidRPr="008A2C68">
        <w:t>Cơ sở pháp lý:</w:t>
      </w:r>
    </w:p>
    <w:p w:rsidR="0011647F" w:rsidRPr="007D1EE7" w:rsidRDefault="0011647F" w:rsidP="0011647F">
      <w:pPr>
        <w:numPr>
          <w:ilvl w:val="0"/>
          <w:numId w:val="1"/>
        </w:numPr>
        <w:tabs>
          <w:tab w:val="clear" w:pos="1440"/>
          <w:tab w:val="left" w:pos="567"/>
          <w:tab w:val="num" w:pos="927"/>
        </w:tabs>
        <w:spacing w:after="60"/>
        <w:ind w:left="450" w:hanging="166"/>
        <w:rPr>
          <w:sz w:val="28"/>
          <w:szCs w:val="28"/>
          <w:lang w:val="vi-VN"/>
        </w:rPr>
      </w:pPr>
      <w:r w:rsidRPr="007D1EE7">
        <w:rPr>
          <w:sz w:val="28"/>
          <w:szCs w:val="28"/>
          <w:lang w:val="vi-VN"/>
        </w:rPr>
        <w:t>Luật Xây dựng số 50/2014/QH13 do Quốc hội khóa XIII thông qua ngày 18/6/2014; Luật Xây dựng sửa đổi, bổ sung số 62/2020/QH14 do Quốc hội khóa XIV thông qua ngày 17/6/2020;</w:t>
      </w:r>
    </w:p>
    <w:p w:rsidR="0011647F" w:rsidRPr="007D1EE7" w:rsidRDefault="0011647F" w:rsidP="0011647F">
      <w:pPr>
        <w:numPr>
          <w:ilvl w:val="0"/>
          <w:numId w:val="1"/>
        </w:numPr>
        <w:tabs>
          <w:tab w:val="clear" w:pos="1440"/>
          <w:tab w:val="left" w:pos="567"/>
          <w:tab w:val="num" w:pos="927"/>
        </w:tabs>
        <w:spacing w:after="60"/>
        <w:ind w:left="450" w:hanging="166"/>
        <w:rPr>
          <w:sz w:val="28"/>
          <w:szCs w:val="28"/>
          <w:lang w:val="vi-VN"/>
        </w:rPr>
      </w:pPr>
      <w:r w:rsidRPr="007D1EE7">
        <w:rPr>
          <w:sz w:val="28"/>
          <w:szCs w:val="28"/>
          <w:lang w:val="vi-VN"/>
        </w:rPr>
        <w:t>Căn cứ Nghị định số 10/2021/NĐ-CP ngày 09/02/2021 của Chính phủ về quản lý chi phí đầu tư xây dựng;</w:t>
      </w:r>
    </w:p>
    <w:p w:rsidR="0011647F" w:rsidRPr="007D1EE7" w:rsidRDefault="0011647F" w:rsidP="0011647F">
      <w:pPr>
        <w:numPr>
          <w:ilvl w:val="0"/>
          <w:numId w:val="1"/>
        </w:numPr>
        <w:tabs>
          <w:tab w:val="clear" w:pos="1440"/>
          <w:tab w:val="left" w:pos="567"/>
          <w:tab w:val="num" w:pos="927"/>
        </w:tabs>
        <w:spacing w:after="60"/>
        <w:ind w:left="450" w:hanging="166"/>
        <w:rPr>
          <w:sz w:val="28"/>
          <w:szCs w:val="28"/>
          <w:lang w:val="vi-VN"/>
        </w:rPr>
      </w:pPr>
      <w:r w:rsidRPr="007D1EE7">
        <w:rPr>
          <w:sz w:val="28"/>
          <w:szCs w:val="28"/>
          <w:lang w:val="vi-VN"/>
        </w:rPr>
        <w:t>Căn cứ Nghị định số 15/2021/NĐ-CP ngày 03/3/2021 của Chính phủ về quy định chi tiết một số nội dung về quản lý dự án đầu tư xây dựng;</w:t>
      </w:r>
    </w:p>
    <w:p w:rsidR="0011647F" w:rsidRPr="007D1EE7" w:rsidRDefault="0011647F" w:rsidP="0011647F">
      <w:pPr>
        <w:numPr>
          <w:ilvl w:val="0"/>
          <w:numId w:val="1"/>
        </w:numPr>
        <w:tabs>
          <w:tab w:val="clear" w:pos="1440"/>
          <w:tab w:val="left" w:pos="567"/>
          <w:tab w:val="num" w:pos="927"/>
        </w:tabs>
        <w:spacing w:after="60"/>
        <w:ind w:left="450" w:hanging="166"/>
        <w:rPr>
          <w:sz w:val="28"/>
          <w:szCs w:val="28"/>
          <w:lang w:val="vi-VN"/>
        </w:rPr>
      </w:pPr>
      <w:r w:rsidRPr="007D1EE7">
        <w:rPr>
          <w:sz w:val="28"/>
          <w:szCs w:val="28"/>
          <w:lang w:val="vi-VN"/>
        </w:rPr>
        <w:t>Căn cứ Nghị định số 31/2021/NĐ-CP ngày 26/3/2021 của Chính phủ về quy định chi tiết và hướng dẫn thi hành một số điều của Luật Đầu tư và các Thông tư liên quan, hướng dẫn;</w:t>
      </w:r>
    </w:p>
    <w:p w:rsidR="0011647F" w:rsidRPr="007D1EE7" w:rsidRDefault="0011647F" w:rsidP="0011647F">
      <w:pPr>
        <w:numPr>
          <w:ilvl w:val="0"/>
          <w:numId w:val="1"/>
        </w:numPr>
        <w:tabs>
          <w:tab w:val="clear" w:pos="1440"/>
          <w:tab w:val="left" w:pos="567"/>
          <w:tab w:val="num" w:pos="927"/>
        </w:tabs>
        <w:spacing w:after="60"/>
        <w:ind w:left="450" w:hanging="166"/>
        <w:rPr>
          <w:sz w:val="28"/>
          <w:szCs w:val="28"/>
          <w:lang w:val="vi-VN"/>
        </w:rPr>
      </w:pPr>
      <w:r w:rsidRPr="007D1EE7">
        <w:rPr>
          <w:sz w:val="28"/>
          <w:szCs w:val="28"/>
          <w:lang w:val="vi-VN"/>
        </w:rPr>
        <w:t>Nghị định 62/2025/NĐ-CP ban hành 04/03/2025 của Chính Phủ quy định chi tiết thi hành luật điện lực về bảo vệ công trình điện lực và an toàn trong lĩnh vực điện lực;</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t>Căn cứ Nghị định số 35/2023/NĐ-CP ngày 20/6/2023 của Chính phủ về việc sửa đổi, bổ sung một số điều của các Nghị định thuộc lĩnh vực quản lý nhà nước của Bộ Xây dựng;</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t>Căn cứ Thông tư số 11/2021/TT-BXD ngày 31/8/2021 của Bộ Xây dựng về việc hướng dẫn xác định và quản lý chi phí đầu tư xây dựng;</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t xml:space="preserve">Căn cứ Thông tư số 14/2023/TT-BXD ngày 29/12/2023 của Bộ Xây dựng về việc sửa đổi, bổ sung một số điều của Thông tư số 11/2021/TT-BXD ngày 31/8/2021; </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t>Căn cứ Thông tư số 12/2021/TT-BXD ngày 31/8/2021 của Bộ Xây dựng về việc ban hành định mức xây dựng;</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t>Định mức dự toán xây dựng công trình Phần khảo sát xây dựng ban hành theo Thông tư số 12/2021/TT-BXD ngày 31/8/2021 của Bộ Xây dựng.</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t>Quyết định số 768/QĐ-TTg ngày 15/4/2025 của Thủ tướng Chính phủ về việc phê duyệt điều chỉnh Quy hoạch phát triển điện lực quốc gia thời kỳ 2021-2030, tầm nhìn đến 2050;</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lastRenderedPageBreak/>
        <w:t>Quyết định số 1509/QĐ-BCT ngày 30/05/2025 của Bộ Công Thương về việc phê duyệt Kế hoạch thực hiện quy hoạch phát triển điện lực Quốc gia thời kỳ 2021-2030, tầm nhìn đến năm 2050 điều chỉnh;</w:t>
      </w:r>
    </w:p>
    <w:p w:rsidR="0011647F" w:rsidRPr="006C40A2" w:rsidRDefault="0011647F" w:rsidP="0011647F">
      <w:pPr>
        <w:numPr>
          <w:ilvl w:val="0"/>
          <w:numId w:val="1"/>
        </w:numPr>
        <w:tabs>
          <w:tab w:val="clear" w:pos="1440"/>
          <w:tab w:val="left" w:pos="567"/>
          <w:tab w:val="num" w:pos="927"/>
        </w:tabs>
        <w:spacing w:after="60"/>
        <w:ind w:left="450" w:hanging="166"/>
        <w:rPr>
          <w:sz w:val="28"/>
          <w:szCs w:val="28"/>
          <w:lang w:val="vi-VN"/>
        </w:rPr>
      </w:pPr>
      <w:r w:rsidRPr="006C40A2">
        <w:rPr>
          <w:sz w:val="28"/>
          <w:szCs w:val="28"/>
          <w:lang w:val="vi-VN"/>
        </w:rPr>
        <w:t>Quyết định 551/QĐ-EVNNPT ngày 14/5/2021 của Tổng công ty Truyền tải điện Quốc gia về việc ban hành hướng dẫn Quy trình các thỏa thuận pháp lý khi lập thiết kế các dự án Đường dây và Trạm biến áp truyền tải điện trong Tổng công ty Truyền tải điện Quốc gia;</w:t>
      </w:r>
    </w:p>
    <w:p w:rsidR="0011647F" w:rsidRPr="006C40A2" w:rsidRDefault="0011647F" w:rsidP="0011647F">
      <w:pPr>
        <w:numPr>
          <w:ilvl w:val="0"/>
          <w:numId w:val="1"/>
        </w:numPr>
        <w:tabs>
          <w:tab w:val="clear" w:pos="1440"/>
          <w:tab w:val="left" w:pos="567"/>
          <w:tab w:val="num" w:pos="927"/>
        </w:tabs>
        <w:spacing w:after="60"/>
        <w:ind w:left="450" w:hanging="166"/>
        <w:rPr>
          <w:bCs/>
          <w:sz w:val="28"/>
          <w:szCs w:val="28"/>
          <w:lang w:val="vi-VN"/>
        </w:rPr>
      </w:pPr>
      <w:r w:rsidRPr="006C40A2">
        <w:rPr>
          <w:sz w:val="28"/>
          <w:szCs w:val="28"/>
          <w:lang w:val="vi-VN"/>
        </w:rPr>
        <w:t>Căn cứ Quyết định số 1322/QĐ-EVNNPT ngày 10/7/</w:t>
      </w:r>
      <w:r w:rsidRPr="00146093">
        <w:rPr>
          <w:sz w:val="28"/>
          <w:szCs w:val="28"/>
          <w:lang w:val="vi-VN"/>
        </w:rPr>
        <w:t>202</w:t>
      </w:r>
      <w:r w:rsidRPr="006C40A2">
        <w:rPr>
          <w:sz w:val="28"/>
          <w:szCs w:val="28"/>
          <w:lang w:val="vi-VN"/>
        </w:rPr>
        <w:t xml:space="preserve">5 của </w:t>
      </w:r>
      <w:r w:rsidRPr="00146093">
        <w:rPr>
          <w:i/>
          <w:iCs/>
          <w:sz w:val="28"/>
          <w:szCs w:val="28"/>
          <w:lang w:val="vi-VN"/>
        </w:rPr>
        <w:t>Tổng giám đốc EVNNPT</w:t>
      </w:r>
      <w:r w:rsidRPr="006C40A2">
        <w:rPr>
          <w:sz w:val="28"/>
          <w:szCs w:val="28"/>
          <w:lang w:val="vi-VN"/>
        </w:rPr>
        <w:t xml:space="preserve"> về việc phê duyệt Nhiệm vụ và dự toán chi phí Tư vấn lập Thiết kế bản vẽ thi công, Hồ sơ mời thầu và Tư vấn thẩm tra Thiết kế bản vẽ thi công dự án </w:t>
      </w:r>
      <w:r w:rsidRPr="006C40A2">
        <w:rPr>
          <w:bCs/>
          <w:sz w:val="28"/>
          <w:szCs w:val="28"/>
          <w:lang w:val="vi-VN"/>
        </w:rPr>
        <w:t>Nâng khả năng tải đường dây 220 kV Phú Mỹ - Cần Đước – Mỹ Tho – Mỹ Tho 500 kV</w:t>
      </w:r>
      <w:r w:rsidRPr="006C40A2">
        <w:rPr>
          <w:sz w:val="28"/>
          <w:szCs w:val="28"/>
          <w:lang w:val="vi-VN"/>
        </w:rPr>
        <w:t>.</w:t>
      </w:r>
    </w:p>
    <w:p w:rsidR="0011647F" w:rsidRPr="001838B1" w:rsidRDefault="0011647F" w:rsidP="0011647F">
      <w:pPr>
        <w:pStyle w:val="BodyTextlist1"/>
        <w:numPr>
          <w:ilvl w:val="0"/>
          <w:numId w:val="5"/>
        </w:numPr>
      </w:pPr>
      <w:r w:rsidRPr="001838B1">
        <w:t>Thông tin gói thầu:</w:t>
      </w:r>
    </w:p>
    <w:p w:rsidR="0011647F" w:rsidRPr="007D1EE7" w:rsidRDefault="0011647F" w:rsidP="0011647F">
      <w:pPr>
        <w:numPr>
          <w:ilvl w:val="0"/>
          <w:numId w:val="2"/>
        </w:numPr>
        <w:spacing w:after="60"/>
        <w:jc w:val="left"/>
        <w:rPr>
          <w:iCs/>
          <w:sz w:val="28"/>
          <w:szCs w:val="28"/>
          <w:lang w:val="vi-VN"/>
        </w:rPr>
      </w:pPr>
      <w:r w:rsidRPr="007D1EE7">
        <w:rPr>
          <w:b/>
          <w:iCs/>
          <w:sz w:val="28"/>
          <w:szCs w:val="28"/>
          <w:lang w:val="vi-VN"/>
        </w:rPr>
        <w:t xml:space="preserve">Tên dự án: </w:t>
      </w:r>
      <w:r w:rsidRPr="007D1EE7">
        <w:rPr>
          <w:bCs/>
          <w:sz w:val="28"/>
          <w:szCs w:val="28"/>
          <w:lang w:val="vi-VN"/>
        </w:rPr>
        <w:t>Nâng khả năng tải đường dây 220 kV Phú Mỹ - Cần Đước – Mỹ Tho – Mỹ Tho 500 kV</w:t>
      </w:r>
      <w:r w:rsidRPr="007D1EE7">
        <w:rPr>
          <w:iCs/>
          <w:sz w:val="28"/>
          <w:szCs w:val="28"/>
          <w:lang w:val="vi-VN"/>
        </w:rPr>
        <w:t>.</w:t>
      </w:r>
    </w:p>
    <w:p w:rsidR="0011647F" w:rsidRPr="007D1EE7" w:rsidRDefault="0011647F" w:rsidP="0011647F">
      <w:pPr>
        <w:numPr>
          <w:ilvl w:val="0"/>
          <w:numId w:val="2"/>
        </w:numPr>
        <w:spacing w:after="60"/>
        <w:jc w:val="left"/>
        <w:rPr>
          <w:iCs/>
          <w:color w:val="000000"/>
          <w:sz w:val="28"/>
          <w:szCs w:val="28"/>
          <w:lang w:val="vi-VN"/>
        </w:rPr>
      </w:pPr>
      <w:r w:rsidRPr="007D1EE7">
        <w:rPr>
          <w:b/>
          <w:iCs/>
          <w:sz w:val="28"/>
          <w:szCs w:val="28"/>
          <w:lang w:val="vi-VN"/>
        </w:rPr>
        <w:t>Tên gói thầu:</w:t>
      </w:r>
      <w:r w:rsidRPr="007D1EE7">
        <w:rPr>
          <w:iCs/>
          <w:sz w:val="28"/>
          <w:szCs w:val="28"/>
          <w:lang w:val="vi-VN"/>
        </w:rPr>
        <w:t xml:space="preserve"> </w:t>
      </w:r>
      <w:r w:rsidRPr="00FC640A">
        <w:rPr>
          <w:iCs/>
          <w:color w:val="000000"/>
          <w:sz w:val="28"/>
          <w:szCs w:val="28"/>
          <w:lang w:val="vi-VN"/>
        </w:rPr>
        <w:t>Gói thầu số 4: Cung cấp dịch vụ tư vấn thẩm tra thiết kế bản vẽ thi công và dự toán xây dựng</w:t>
      </w:r>
      <w:r w:rsidRPr="007D1EE7">
        <w:rPr>
          <w:iCs/>
          <w:color w:val="000000"/>
          <w:sz w:val="28"/>
          <w:szCs w:val="28"/>
          <w:lang w:val="vi-VN"/>
        </w:rPr>
        <w:t xml:space="preserve">. </w:t>
      </w:r>
    </w:p>
    <w:p w:rsidR="0011647F" w:rsidRPr="007D1EE7" w:rsidRDefault="0011647F" w:rsidP="0011647F">
      <w:pPr>
        <w:numPr>
          <w:ilvl w:val="0"/>
          <w:numId w:val="2"/>
        </w:numPr>
        <w:spacing w:after="60"/>
        <w:ind w:left="568" w:hanging="284"/>
        <w:jc w:val="left"/>
        <w:rPr>
          <w:b/>
          <w:iCs/>
          <w:sz w:val="28"/>
          <w:szCs w:val="28"/>
          <w:lang w:val="vi-VN"/>
        </w:rPr>
      </w:pPr>
      <w:r w:rsidRPr="007D1EE7">
        <w:rPr>
          <w:b/>
          <w:iCs/>
          <w:color w:val="000000"/>
          <w:sz w:val="28"/>
          <w:szCs w:val="28"/>
          <w:lang w:val="vi-VN"/>
        </w:rPr>
        <w:t xml:space="preserve">Chủ đầu tư: </w:t>
      </w:r>
      <w:r w:rsidRPr="007D1EE7">
        <w:rPr>
          <w:color w:val="000000"/>
          <w:sz w:val="28"/>
          <w:szCs w:val="28"/>
          <w:lang w:val="vi-VN"/>
        </w:rPr>
        <w:t>Tổng công ty Truyền tải điện Quốc gia (EVNNPT</w:t>
      </w:r>
      <w:r w:rsidRPr="007D1EE7">
        <w:rPr>
          <w:sz w:val="28"/>
          <w:szCs w:val="28"/>
          <w:lang w:val="vi-VN"/>
        </w:rPr>
        <w:t>).</w:t>
      </w:r>
    </w:p>
    <w:p w:rsidR="0011647F" w:rsidRPr="007D1EE7" w:rsidRDefault="0011647F" w:rsidP="0011647F">
      <w:pPr>
        <w:numPr>
          <w:ilvl w:val="0"/>
          <w:numId w:val="2"/>
        </w:numPr>
        <w:spacing w:after="60"/>
        <w:ind w:left="568" w:hanging="284"/>
        <w:jc w:val="left"/>
        <w:rPr>
          <w:b/>
          <w:iCs/>
          <w:sz w:val="28"/>
          <w:szCs w:val="28"/>
          <w:lang w:val="vi-VN"/>
        </w:rPr>
      </w:pPr>
      <w:r w:rsidRPr="007D1EE7">
        <w:rPr>
          <w:b/>
          <w:sz w:val="28"/>
          <w:szCs w:val="28"/>
          <w:lang w:val="vi-VN"/>
        </w:rPr>
        <w:t>Đơn vị Quản lý Dự án</w:t>
      </w:r>
      <w:r w:rsidRPr="007D1EE7">
        <w:rPr>
          <w:sz w:val="28"/>
          <w:szCs w:val="28"/>
          <w:lang w:val="vi-VN"/>
        </w:rPr>
        <w:t xml:space="preserve">: </w:t>
      </w:r>
      <w:r w:rsidRPr="007D1EE7">
        <w:rPr>
          <w:iCs/>
          <w:sz w:val="28"/>
          <w:szCs w:val="28"/>
          <w:lang w:val="vi-VN"/>
        </w:rPr>
        <w:t>Ban Quản lý dự án các công trình Điện miền Nam – Chi nhánh Tổng công ty Truyền tải điện Quốc gia (SPMB)</w:t>
      </w:r>
      <w:r w:rsidRPr="007D1EE7">
        <w:rPr>
          <w:sz w:val="28"/>
          <w:szCs w:val="28"/>
          <w:lang w:val="vi-VN"/>
        </w:rPr>
        <w:t>.</w:t>
      </w:r>
    </w:p>
    <w:p w:rsidR="0011647F" w:rsidRPr="002D6956" w:rsidRDefault="0011647F" w:rsidP="0011647F">
      <w:pPr>
        <w:numPr>
          <w:ilvl w:val="0"/>
          <w:numId w:val="2"/>
        </w:numPr>
        <w:spacing w:after="60"/>
        <w:ind w:left="568" w:hanging="284"/>
        <w:jc w:val="left"/>
        <w:rPr>
          <w:sz w:val="28"/>
          <w:szCs w:val="28"/>
          <w:lang w:val="it-IT"/>
        </w:rPr>
      </w:pPr>
      <w:r w:rsidRPr="002D6956">
        <w:rPr>
          <w:b/>
          <w:sz w:val="28"/>
          <w:szCs w:val="28"/>
          <w:lang w:val="it-IT"/>
        </w:rPr>
        <w:t>Nguồn vốn:</w:t>
      </w:r>
      <w:r w:rsidRPr="002D6956">
        <w:rPr>
          <w:sz w:val="28"/>
          <w:szCs w:val="28"/>
          <w:lang w:val="it-IT"/>
        </w:rPr>
        <w:t xml:space="preserve"> Vốn EVNNPT.</w:t>
      </w:r>
    </w:p>
    <w:p w:rsidR="0011647F" w:rsidRPr="002D6956" w:rsidRDefault="0011647F" w:rsidP="0011647F">
      <w:pPr>
        <w:numPr>
          <w:ilvl w:val="0"/>
          <w:numId w:val="2"/>
        </w:numPr>
        <w:spacing w:after="60"/>
        <w:ind w:left="568" w:hanging="284"/>
        <w:jc w:val="left"/>
        <w:rPr>
          <w:sz w:val="28"/>
          <w:szCs w:val="28"/>
          <w:lang w:val="it-IT"/>
        </w:rPr>
      </w:pPr>
      <w:r w:rsidRPr="002D6956">
        <w:rPr>
          <w:b/>
          <w:sz w:val="28"/>
          <w:szCs w:val="28"/>
          <w:lang w:val="vi-VN"/>
        </w:rPr>
        <w:t xml:space="preserve">Thời gian thực hiện dự án: </w:t>
      </w:r>
      <w:r w:rsidRPr="001032B6">
        <w:rPr>
          <w:sz w:val="28"/>
          <w:szCs w:val="28"/>
          <w:lang w:val="vi-VN"/>
        </w:rPr>
        <w:t>202</w:t>
      </w:r>
      <w:r w:rsidRPr="007D1EE7">
        <w:rPr>
          <w:sz w:val="28"/>
          <w:szCs w:val="28"/>
          <w:lang w:val="it-IT"/>
        </w:rPr>
        <w:t>5</w:t>
      </w:r>
      <w:r w:rsidRPr="001032B6">
        <w:rPr>
          <w:sz w:val="28"/>
          <w:szCs w:val="28"/>
          <w:lang w:val="vi-VN"/>
        </w:rPr>
        <w:t>-2026.</w:t>
      </w:r>
    </w:p>
    <w:p w:rsidR="0011647F" w:rsidRPr="002D6956" w:rsidRDefault="0011647F" w:rsidP="0011647F">
      <w:pPr>
        <w:numPr>
          <w:ilvl w:val="0"/>
          <w:numId w:val="2"/>
        </w:numPr>
        <w:spacing w:after="60"/>
        <w:ind w:left="540" w:hanging="284"/>
        <w:jc w:val="left"/>
        <w:rPr>
          <w:sz w:val="28"/>
          <w:szCs w:val="28"/>
          <w:lang w:val="it-IT"/>
        </w:rPr>
      </w:pPr>
      <w:r w:rsidRPr="002D6956">
        <w:rPr>
          <w:b/>
          <w:sz w:val="28"/>
          <w:szCs w:val="28"/>
          <w:lang w:val="it-IT"/>
        </w:rPr>
        <w:t>Thời gian thực hiện hợp đồng:</w:t>
      </w:r>
      <w:r w:rsidRPr="002D6956">
        <w:rPr>
          <w:sz w:val="28"/>
          <w:szCs w:val="28"/>
          <w:lang w:val="it-IT"/>
        </w:rPr>
        <w:t xml:space="preserve"> </w:t>
      </w:r>
      <w:r w:rsidRPr="00FC640A">
        <w:rPr>
          <w:bCs/>
          <w:sz w:val="28"/>
          <w:szCs w:val="28"/>
          <w:lang w:val="it-IT"/>
        </w:rPr>
        <w:t>15</w:t>
      </w:r>
      <w:r w:rsidRPr="002D6956">
        <w:rPr>
          <w:bCs/>
          <w:sz w:val="28"/>
          <w:szCs w:val="28"/>
          <w:lang w:val="it-IT"/>
        </w:rPr>
        <w:t xml:space="preserve"> ngày </w:t>
      </w:r>
      <w:r w:rsidRPr="002D6956">
        <w:rPr>
          <w:bCs/>
          <w:iCs/>
          <w:spacing w:val="4"/>
          <w:sz w:val="28"/>
          <w:szCs w:val="28"/>
          <w:lang w:val="it-IT"/>
        </w:rPr>
        <w:t xml:space="preserve">(Phù hợp tiến độ dự án) </w:t>
      </w:r>
    </w:p>
    <w:p w:rsidR="0011647F" w:rsidRPr="002D6956" w:rsidRDefault="0011647F" w:rsidP="0011647F">
      <w:pPr>
        <w:numPr>
          <w:ilvl w:val="0"/>
          <w:numId w:val="2"/>
        </w:numPr>
        <w:spacing w:after="60"/>
        <w:ind w:left="568" w:hanging="284"/>
        <w:jc w:val="left"/>
        <w:rPr>
          <w:b/>
          <w:iCs/>
          <w:sz w:val="28"/>
          <w:szCs w:val="28"/>
          <w:lang w:val="it-IT"/>
        </w:rPr>
      </w:pPr>
      <w:r w:rsidRPr="002D6956">
        <w:rPr>
          <w:b/>
          <w:sz w:val="28"/>
          <w:szCs w:val="28"/>
          <w:lang w:val="it-IT"/>
        </w:rPr>
        <w:t>Hình thức lựa chọn nhà thầu:</w:t>
      </w:r>
      <w:r w:rsidRPr="002D6956">
        <w:rPr>
          <w:b/>
          <w:iCs/>
          <w:sz w:val="28"/>
          <w:szCs w:val="28"/>
          <w:lang w:val="it-IT"/>
        </w:rPr>
        <w:t xml:space="preserve"> </w:t>
      </w:r>
      <w:r w:rsidRPr="002D6956">
        <w:rPr>
          <w:iCs/>
          <w:sz w:val="28"/>
          <w:szCs w:val="28"/>
          <w:lang w:val="it-IT"/>
        </w:rPr>
        <w:t xml:space="preserve">Đấu thầu rộng rãi trong nước. </w:t>
      </w:r>
    </w:p>
    <w:p w:rsidR="0011647F" w:rsidRPr="002D6956" w:rsidRDefault="0011647F" w:rsidP="0011647F">
      <w:pPr>
        <w:numPr>
          <w:ilvl w:val="0"/>
          <w:numId w:val="2"/>
        </w:numPr>
        <w:spacing w:after="60"/>
        <w:ind w:left="568" w:hanging="284"/>
        <w:jc w:val="left"/>
        <w:rPr>
          <w:b/>
          <w:iCs/>
          <w:sz w:val="28"/>
          <w:szCs w:val="28"/>
          <w:lang w:val="it-IT"/>
        </w:rPr>
      </w:pPr>
      <w:r w:rsidRPr="002D6956">
        <w:rPr>
          <w:b/>
          <w:sz w:val="28"/>
          <w:szCs w:val="28"/>
          <w:lang w:val="it-IT"/>
        </w:rPr>
        <w:t>Phương thức lựa chọn nhà thầu:</w:t>
      </w:r>
      <w:r w:rsidRPr="002D6956">
        <w:rPr>
          <w:b/>
          <w:iCs/>
          <w:sz w:val="28"/>
          <w:szCs w:val="28"/>
          <w:lang w:val="it-IT"/>
        </w:rPr>
        <w:t xml:space="preserve"> </w:t>
      </w:r>
      <w:r w:rsidRPr="002D6956">
        <w:rPr>
          <w:iCs/>
          <w:sz w:val="28"/>
          <w:szCs w:val="28"/>
          <w:lang w:val="it-IT"/>
        </w:rPr>
        <w:t>1 giai đoạn, 2 túi hồ sơ.</w:t>
      </w:r>
    </w:p>
    <w:p w:rsidR="0011647F" w:rsidRPr="00E80A0D" w:rsidRDefault="0011647F" w:rsidP="0011647F">
      <w:pPr>
        <w:numPr>
          <w:ilvl w:val="0"/>
          <w:numId w:val="2"/>
        </w:numPr>
        <w:spacing w:after="60"/>
        <w:ind w:left="567" w:hanging="284"/>
        <w:jc w:val="left"/>
        <w:rPr>
          <w:sz w:val="28"/>
          <w:szCs w:val="28"/>
          <w:lang w:val="it-IT"/>
        </w:rPr>
      </w:pPr>
      <w:r w:rsidRPr="002D6956">
        <w:rPr>
          <w:b/>
          <w:sz w:val="28"/>
          <w:szCs w:val="28"/>
          <w:lang w:val="it-IT"/>
        </w:rPr>
        <w:t xml:space="preserve">Loại hợp đồng: </w:t>
      </w:r>
      <w:r w:rsidRPr="002D6956">
        <w:rPr>
          <w:sz w:val="28"/>
          <w:szCs w:val="28"/>
          <w:lang w:val="it-IT"/>
        </w:rPr>
        <w:t>Trọ</w:t>
      </w:r>
      <w:r>
        <w:rPr>
          <w:sz w:val="28"/>
          <w:szCs w:val="28"/>
          <w:lang w:val="it-IT"/>
        </w:rPr>
        <w:t>n gói.</w:t>
      </w:r>
    </w:p>
    <w:p w:rsidR="0011647F" w:rsidRPr="00E80A0D" w:rsidRDefault="0011647F" w:rsidP="0011647F">
      <w:pPr>
        <w:pStyle w:val="BodyTextlist1"/>
        <w:numPr>
          <w:ilvl w:val="0"/>
          <w:numId w:val="2"/>
        </w:numPr>
      </w:pPr>
      <w:r w:rsidRPr="00E80A0D">
        <w:t>Tóm tắt dự án:</w:t>
      </w:r>
    </w:p>
    <w:p w:rsidR="0011647F" w:rsidRPr="00DB1B69" w:rsidRDefault="0011647F" w:rsidP="0011647F">
      <w:pPr>
        <w:pStyle w:val="BodyTextlist1"/>
        <w:numPr>
          <w:ilvl w:val="0"/>
          <w:numId w:val="8"/>
        </w:numPr>
      </w:pPr>
      <w:r w:rsidRPr="00DB1B69">
        <w:t>Mục tiêu của dự án:</w:t>
      </w:r>
    </w:p>
    <w:p w:rsidR="0011647F" w:rsidRPr="00146093" w:rsidRDefault="0011647F" w:rsidP="0011647F">
      <w:pPr>
        <w:pStyle w:val="BodyTextlist1"/>
        <w:numPr>
          <w:ilvl w:val="0"/>
          <w:numId w:val="7"/>
        </w:numPr>
      </w:pPr>
      <w:r w:rsidRPr="00146093">
        <w:t>Tăng cường khả năng truyền tải cho đường dây hiện hữu đã vận hành lâu năm, hiện đang vận hành đầy tải không đáp ứng nhu cầu chuyển tải công suất;</w:t>
      </w:r>
    </w:p>
    <w:p w:rsidR="0011647F" w:rsidRPr="00146093" w:rsidRDefault="0011647F" w:rsidP="0011647F">
      <w:pPr>
        <w:pStyle w:val="BodyTextlist1"/>
        <w:numPr>
          <w:ilvl w:val="0"/>
          <w:numId w:val="7"/>
        </w:numPr>
      </w:pPr>
      <w:r w:rsidRPr="00146093">
        <w:t>Đáp ứng giải tỏa công suất cho dự án TBK LNG Hiệp Phước và truyền tải công suất nguồn năng lượng tái tạo của khu vực Tây Nam Bộ, đáp ứng nhu cầu tăng - trưởng phụ tải phục vụ phát triển kinh tế, xã hội khu vực;</w:t>
      </w:r>
    </w:p>
    <w:p w:rsidR="0011647F" w:rsidRPr="00146093" w:rsidRDefault="0011647F" w:rsidP="0011647F">
      <w:pPr>
        <w:pStyle w:val="BodyTextlist1"/>
        <w:numPr>
          <w:ilvl w:val="0"/>
          <w:numId w:val="7"/>
        </w:numPr>
      </w:pPr>
      <w:r w:rsidRPr="00146093">
        <w:t>Tăng cường tính ổn định cho hệ thống điện khu vực, đảm bảo vận hành trong chế độ N-1.</w:t>
      </w:r>
    </w:p>
    <w:p w:rsidR="0011647F" w:rsidRPr="00146093" w:rsidRDefault="0011647F" w:rsidP="0011647F">
      <w:pPr>
        <w:pStyle w:val="BodyTextlist1"/>
        <w:numPr>
          <w:ilvl w:val="0"/>
          <w:numId w:val="7"/>
        </w:numPr>
        <w:rPr>
          <w:rStyle w:val="fontstyle01"/>
          <w:rFonts w:ascii="Courier New" w:hAnsi="Courier New"/>
          <w:b/>
        </w:rPr>
      </w:pPr>
      <w:r w:rsidRPr="00146093">
        <w:lastRenderedPageBreak/>
        <w:t>Phù hợp với Quyết định số 768/QĐ-TTg ngày 15/4/2025 của Thủ tướng Chính phủ Quyết định phê duyệt điều chỉnh Quy hoạch phát triển điện lực quốc gia thời kỳ 2021 – 2030, tầm nhìn đến năm 2050 (QHĐ VIII hiệu chỉnh).</w:t>
      </w:r>
    </w:p>
    <w:p w:rsidR="0011647F" w:rsidRPr="002D6956" w:rsidRDefault="0011647F" w:rsidP="0011647F">
      <w:pPr>
        <w:pStyle w:val="BodyTextlist1"/>
        <w:numPr>
          <w:ilvl w:val="0"/>
          <w:numId w:val="8"/>
        </w:numPr>
      </w:pPr>
      <w:r w:rsidRPr="002D6956">
        <w:t>Địa điểm xây dựng:</w:t>
      </w:r>
    </w:p>
    <w:p w:rsidR="0011647F" w:rsidRPr="007D1EE7" w:rsidRDefault="0011647F" w:rsidP="0011647F">
      <w:pPr>
        <w:spacing w:after="120"/>
        <w:ind w:left="851"/>
        <w:rPr>
          <w:color w:val="000000"/>
          <w:sz w:val="28"/>
          <w:szCs w:val="28"/>
          <w:lang w:val="vi-VN"/>
        </w:rPr>
      </w:pPr>
      <w:bookmarkStart w:id="6" w:name="_Hlk206747141"/>
      <w:r w:rsidRPr="007D1EE7">
        <w:rPr>
          <w:color w:val="000000"/>
          <w:sz w:val="28"/>
          <w:szCs w:val="28"/>
          <w:lang w:val="vi-VN"/>
        </w:rPr>
        <w:t>Công trình “Nâng khả năng tải đường dây 220kV Phú Mỹ - Cần Đước – Mỹ Tho –Mỹ Tho 500kV” được đầu tư xây dựng trên:</w:t>
      </w:r>
    </w:p>
    <w:bookmarkEnd w:id="6"/>
    <w:p w:rsidR="0011647F" w:rsidRPr="007D1EE7" w:rsidRDefault="0011647F" w:rsidP="0011647F">
      <w:pPr>
        <w:numPr>
          <w:ilvl w:val="0"/>
          <w:numId w:val="5"/>
        </w:numPr>
        <w:spacing w:before="120" w:after="120" w:line="288" w:lineRule="auto"/>
        <w:ind w:hanging="454"/>
        <w:rPr>
          <w:color w:val="000000"/>
          <w:sz w:val="28"/>
          <w:szCs w:val="28"/>
          <w:lang w:val="vi-VN"/>
        </w:rPr>
      </w:pPr>
      <w:r w:rsidRPr="007D1EE7">
        <w:rPr>
          <w:color w:val="000000"/>
          <w:sz w:val="28"/>
          <w:szCs w:val="28"/>
          <w:lang w:val="vi-VN"/>
        </w:rPr>
        <w:t>TP Hồ Chí Minh: tuyến đi qua các xã Bình Khánh, xã Hiệp Phước; phường Phú Mỹ;</w:t>
      </w:r>
    </w:p>
    <w:p w:rsidR="0011647F" w:rsidRPr="007D1EE7" w:rsidRDefault="0011647F" w:rsidP="0011647F">
      <w:pPr>
        <w:numPr>
          <w:ilvl w:val="0"/>
          <w:numId w:val="5"/>
        </w:numPr>
        <w:spacing w:before="120" w:after="120" w:line="288" w:lineRule="auto"/>
        <w:ind w:hanging="454"/>
        <w:rPr>
          <w:color w:val="000000"/>
          <w:sz w:val="28"/>
          <w:szCs w:val="28"/>
          <w:lang w:val="vi-VN"/>
        </w:rPr>
      </w:pPr>
      <w:r w:rsidRPr="007D1EE7">
        <w:rPr>
          <w:color w:val="000000"/>
          <w:sz w:val="28"/>
          <w:szCs w:val="28"/>
          <w:lang w:val="vi-VN"/>
        </w:rPr>
        <w:t xml:space="preserve">Tỉnh Đồng Nai: tuyến đi qua các xã Phước An và xã Đại Phước; </w:t>
      </w:r>
    </w:p>
    <w:p w:rsidR="0011647F" w:rsidRPr="007D1EE7" w:rsidRDefault="0011647F" w:rsidP="0011647F">
      <w:pPr>
        <w:numPr>
          <w:ilvl w:val="0"/>
          <w:numId w:val="5"/>
        </w:numPr>
        <w:spacing w:before="120" w:after="120" w:line="288" w:lineRule="auto"/>
        <w:ind w:hanging="454"/>
        <w:rPr>
          <w:color w:val="000000"/>
          <w:sz w:val="28"/>
          <w:szCs w:val="28"/>
          <w:lang w:val="vi-VN"/>
        </w:rPr>
      </w:pPr>
      <w:r w:rsidRPr="007D1EE7">
        <w:rPr>
          <w:color w:val="000000"/>
          <w:sz w:val="28"/>
          <w:szCs w:val="28"/>
          <w:lang w:val="vi-VN"/>
        </w:rPr>
        <w:t>Tỉnh Tây Ninh: tuyến đi qua các xã Cần Giuộc, xã Mỹ Lộc, xã Mỹ Lệ, xã Nhựt Tảo, xã Tân Trụ, xã Vĩnh Công;</w:t>
      </w:r>
    </w:p>
    <w:p w:rsidR="0011647F" w:rsidRPr="007D1EE7" w:rsidRDefault="0011647F" w:rsidP="0011647F">
      <w:pPr>
        <w:numPr>
          <w:ilvl w:val="0"/>
          <w:numId w:val="5"/>
        </w:numPr>
        <w:spacing w:before="120" w:after="120" w:line="288" w:lineRule="auto"/>
        <w:ind w:hanging="454"/>
        <w:rPr>
          <w:color w:val="000000"/>
          <w:sz w:val="28"/>
          <w:szCs w:val="28"/>
          <w:lang w:val="vi-VN"/>
        </w:rPr>
      </w:pPr>
      <w:r w:rsidRPr="007D1EE7">
        <w:rPr>
          <w:color w:val="000000"/>
          <w:sz w:val="28"/>
          <w:szCs w:val="28"/>
          <w:lang w:val="vi-VN"/>
        </w:rPr>
        <w:t>Tỉnh</w:t>
      </w:r>
      <w:r w:rsidRPr="00146093">
        <w:rPr>
          <w:color w:val="000000"/>
          <w:sz w:val="28"/>
          <w:szCs w:val="28"/>
          <w:lang w:val="vi-VN"/>
        </w:rPr>
        <w:t xml:space="preserve">  Đồng Tháp:  tuyến  đi  qua  các  xã  Mỹ Tịnh An, xã Châu Thành, xã Long Hưng, xã Long Định, xã Bình Trưng, phường Trung An</w:t>
      </w:r>
      <w:r w:rsidRPr="007D1EE7">
        <w:rPr>
          <w:color w:val="000000"/>
          <w:sz w:val="28"/>
          <w:szCs w:val="28"/>
          <w:lang w:val="vi-VN"/>
        </w:rPr>
        <w:t>.</w:t>
      </w:r>
    </w:p>
    <w:p w:rsidR="0011647F" w:rsidRPr="002D6956" w:rsidRDefault="0011647F" w:rsidP="0011647F">
      <w:pPr>
        <w:pStyle w:val="ListParagraph"/>
        <w:numPr>
          <w:ilvl w:val="0"/>
          <w:numId w:val="8"/>
        </w:numPr>
        <w:spacing w:before="60" w:after="60"/>
        <w:contextualSpacing w:val="0"/>
        <w:rPr>
          <w:bCs/>
          <w:sz w:val="28"/>
          <w:szCs w:val="28"/>
          <w:lang w:val="it-IT"/>
        </w:rPr>
      </w:pPr>
      <w:r w:rsidRPr="008A2C68">
        <w:rPr>
          <w:b/>
          <w:bCs/>
          <w:sz w:val="28"/>
          <w:szCs w:val="28"/>
          <w:lang w:val="it-IT"/>
        </w:rPr>
        <w:t>Quy mô dự án:</w:t>
      </w:r>
    </w:p>
    <w:p w:rsidR="0011647F" w:rsidRPr="008402F9" w:rsidRDefault="0011647F" w:rsidP="0011647F">
      <w:pPr>
        <w:pStyle w:val="Heading3"/>
        <w:keepNext/>
        <w:suppressAutoHyphens w:val="0"/>
        <w:spacing w:before="120" w:after="120" w:line="240" w:lineRule="auto"/>
        <w:jc w:val="both"/>
        <w:rPr>
          <w:color w:val="000000"/>
        </w:rPr>
      </w:pPr>
      <w:bookmarkStart w:id="7" w:name="_Toc445848728"/>
      <w:bookmarkStart w:id="8" w:name="_Toc488416161"/>
      <w:bookmarkStart w:id="9" w:name="_Toc534446997"/>
      <w:bookmarkStart w:id="10" w:name="_Toc158047997"/>
      <w:bookmarkStart w:id="11" w:name="_Toc158048351"/>
      <w:bookmarkStart w:id="12" w:name="_Toc170135816"/>
      <w:bookmarkStart w:id="13" w:name="_Toc171111074"/>
      <w:bookmarkStart w:id="14" w:name="_Toc180062486"/>
      <w:bookmarkStart w:id="15" w:name="_Toc187942206"/>
      <w:r>
        <w:rPr>
          <w:color w:val="000000"/>
        </w:rPr>
        <w:tab/>
      </w:r>
      <w:r w:rsidRPr="008402F9">
        <w:rPr>
          <w:color w:val="000000"/>
        </w:rPr>
        <w:t>Phần đường dây</w:t>
      </w:r>
      <w:bookmarkEnd w:id="7"/>
      <w:bookmarkEnd w:id="8"/>
      <w:bookmarkEnd w:id="9"/>
      <w:r w:rsidRPr="008402F9">
        <w:rPr>
          <w:color w:val="000000"/>
        </w:rPr>
        <w:t xml:space="preserve"> 220 kV</w:t>
      </w:r>
      <w:bookmarkEnd w:id="10"/>
      <w:bookmarkEnd w:id="11"/>
      <w:bookmarkEnd w:id="12"/>
      <w:bookmarkEnd w:id="13"/>
      <w:bookmarkEnd w:id="14"/>
      <w:bookmarkEnd w:id="15"/>
    </w:p>
    <w:p w:rsidR="0011647F" w:rsidRPr="0011647F" w:rsidRDefault="0011647F" w:rsidP="0011647F">
      <w:pPr>
        <w:pStyle w:val="BodyTextlist1"/>
        <w:numPr>
          <w:ilvl w:val="0"/>
          <w:numId w:val="5"/>
        </w:numPr>
        <w:rPr>
          <w:lang w:val="en-US"/>
        </w:rPr>
      </w:pPr>
      <w:r w:rsidRPr="0011647F">
        <w:rPr>
          <w:lang w:val="en-US"/>
        </w:rPr>
        <w:t>Tháo dỡ, thu hồi dây dẫn đường dây 220 kV Phú Mỹ - Cần Đước - Mỹ Tho - Mỹ Tho 500 kV hiện hữu bằng dây dẫn nhiệt độ cao lõi tổng hợp sợi các bon có tiết diện phần nhôm không nhỏ hơn 400 mm</w:t>
      </w:r>
      <w:r w:rsidRPr="0011647F">
        <w:rPr>
          <w:vertAlign w:val="superscript"/>
          <w:lang w:val="en-US"/>
        </w:rPr>
        <w:t>2</w:t>
      </w:r>
      <w:r w:rsidRPr="0011647F">
        <w:rPr>
          <w:lang w:val="en-US"/>
        </w:rPr>
        <w:t xml:space="preserve"> và dòng điện làm việc lâu dài không nhỏ hơn 1510A. Các đoạn vượt sông lớn sử dụng dây dẫn nhiệt độ cao lõi tổng hợp sợi các bon tăng cường lực, đảm bảo khoảng cách tĩnh không theo quy định, </w:t>
      </w:r>
      <w:r w:rsidRPr="0011647F">
        <w:rPr>
          <w:vertAlign w:val="superscript"/>
          <w:lang w:val="en-US"/>
        </w:rPr>
        <w:t xml:space="preserve"> </w:t>
      </w:r>
      <w:r w:rsidRPr="0011647F">
        <w:rPr>
          <w:lang w:val="en-US"/>
        </w:rPr>
        <w:t>chiều dài tuyến khoảng 113 km.</w:t>
      </w:r>
    </w:p>
    <w:p w:rsidR="0011647F" w:rsidRPr="008402F9" w:rsidRDefault="0011647F" w:rsidP="0011647F">
      <w:pPr>
        <w:pStyle w:val="Heading3"/>
        <w:keepNext/>
        <w:suppressAutoHyphens w:val="0"/>
        <w:spacing w:before="120" w:after="120" w:line="240" w:lineRule="auto"/>
        <w:jc w:val="both"/>
        <w:rPr>
          <w:color w:val="000000"/>
        </w:rPr>
      </w:pPr>
      <w:bookmarkStart w:id="16" w:name="_Toc415497483"/>
      <w:bookmarkStart w:id="17" w:name="_Toc415553276"/>
      <w:bookmarkStart w:id="18" w:name="_Toc424743452"/>
      <w:bookmarkStart w:id="19" w:name="_Toc431975434"/>
      <w:bookmarkStart w:id="20" w:name="_Toc432623080"/>
      <w:bookmarkStart w:id="21" w:name="_Toc445848729"/>
      <w:bookmarkStart w:id="22" w:name="_Toc488416162"/>
      <w:bookmarkStart w:id="23" w:name="_Toc534446998"/>
      <w:bookmarkStart w:id="24" w:name="_Toc158047998"/>
      <w:bookmarkStart w:id="25" w:name="_Toc158048352"/>
      <w:bookmarkStart w:id="26" w:name="_Toc170135817"/>
      <w:bookmarkStart w:id="27" w:name="_Toc171111075"/>
      <w:bookmarkStart w:id="28" w:name="_Toc180062487"/>
      <w:bookmarkStart w:id="29" w:name="_Toc187942207"/>
      <w:r w:rsidRPr="007D1EE7">
        <w:rPr>
          <w:color w:val="000000"/>
          <w:lang w:val="vi-VN"/>
        </w:rPr>
        <w:tab/>
      </w:r>
      <w:r w:rsidRPr="008402F9">
        <w:rPr>
          <w:color w:val="000000"/>
        </w:rPr>
        <w:t>Phần ngăn lộ 220 kV</w:t>
      </w:r>
      <w:bookmarkEnd w:id="16"/>
      <w:bookmarkEnd w:id="17"/>
      <w:bookmarkEnd w:id="18"/>
      <w:bookmarkEnd w:id="19"/>
      <w:bookmarkEnd w:id="20"/>
      <w:bookmarkEnd w:id="21"/>
      <w:bookmarkEnd w:id="24"/>
      <w:bookmarkEnd w:id="25"/>
      <w:bookmarkEnd w:id="26"/>
      <w:bookmarkEnd w:id="27"/>
      <w:bookmarkEnd w:id="28"/>
      <w:bookmarkEnd w:id="29"/>
      <w:r w:rsidRPr="008402F9">
        <w:rPr>
          <w:color w:val="000000"/>
          <w:lang w:val="nl-NL"/>
        </w:rPr>
        <w:t xml:space="preserve"> </w:t>
      </w:r>
      <w:bookmarkEnd w:id="22"/>
      <w:bookmarkEnd w:id="23"/>
    </w:p>
    <w:p w:rsidR="0011647F" w:rsidRPr="0011647F" w:rsidRDefault="0011647F" w:rsidP="0011647F">
      <w:pPr>
        <w:pStyle w:val="BodyTextlist1"/>
        <w:numPr>
          <w:ilvl w:val="0"/>
          <w:numId w:val="5"/>
        </w:numPr>
        <w:rPr>
          <w:lang w:val="en-US"/>
        </w:rPr>
      </w:pPr>
      <w:r w:rsidRPr="0011647F">
        <w:rPr>
          <w:lang w:val="en-US"/>
        </w:rPr>
        <w:t>Kết nối, hoàn thiện hệ thống cáp quang vào các tủ thông tin; rà soát cài đặt, chỉnh định lại các rơ le sau khi thay dây mới.</w:t>
      </w:r>
    </w:p>
    <w:p w:rsidR="0011647F" w:rsidRPr="0011647F" w:rsidRDefault="0011647F" w:rsidP="0011647F">
      <w:pPr>
        <w:pStyle w:val="BodyTextlist1"/>
        <w:numPr>
          <w:ilvl w:val="0"/>
          <w:numId w:val="5"/>
        </w:numPr>
        <w:rPr>
          <w:lang w:val="en-US"/>
        </w:rPr>
      </w:pPr>
      <w:r w:rsidRPr="0011647F">
        <w:rPr>
          <w:lang w:val="en-US"/>
        </w:rPr>
        <w:t>Kiểm tra và đánh giá các thiết bị, vật liệu các ngăn lộ 220 kV tại SPP 220 kV NMĐ Phú Mỹ; TBA 220 kV Cần Đước; TBA 220 kV Mỹ Tho 2 và TBA 500 kV Mỹ Tho để phù hợp với khả năng tải của đường dây 220 kV sau khi thay dây</w:t>
      </w:r>
      <w:r w:rsidRPr="0011647F">
        <w:rPr>
          <w:bCs/>
          <w:lang w:val="en-US"/>
        </w:rPr>
        <w:t>.</w:t>
      </w:r>
    </w:p>
    <w:p w:rsidR="0011647F" w:rsidRPr="008F5562" w:rsidRDefault="0011647F" w:rsidP="0011647F">
      <w:pPr>
        <w:pStyle w:val="ListParagraph"/>
        <w:numPr>
          <w:ilvl w:val="0"/>
          <w:numId w:val="8"/>
        </w:numPr>
        <w:spacing w:before="60" w:after="60"/>
        <w:contextualSpacing w:val="0"/>
        <w:rPr>
          <w:b/>
          <w:bCs/>
          <w:sz w:val="28"/>
          <w:szCs w:val="28"/>
          <w:lang w:val="vi-VN"/>
        </w:rPr>
      </w:pPr>
      <w:r w:rsidRPr="00DB1B69">
        <w:rPr>
          <w:b/>
          <w:sz w:val="28"/>
          <w:szCs w:val="28"/>
          <w:lang w:val="vi-VN"/>
        </w:rPr>
        <w:t>C</w:t>
      </w:r>
      <w:r w:rsidRPr="008F5562">
        <w:rPr>
          <w:b/>
          <w:sz w:val="28"/>
          <w:szCs w:val="28"/>
          <w:lang w:val="vi-VN"/>
        </w:rPr>
        <w:t>ác giải pháp kỹ thuật khác</w:t>
      </w:r>
    </w:p>
    <w:p w:rsidR="0011647F" w:rsidRPr="008402F9" w:rsidRDefault="0011647F" w:rsidP="0011647F">
      <w:pPr>
        <w:pStyle w:val="Heading3"/>
        <w:keepNext/>
        <w:tabs>
          <w:tab w:val="num" w:pos="851"/>
        </w:tabs>
        <w:suppressAutoHyphens w:val="0"/>
        <w:spacing w:before="0" w:after="120" w:line="240" w:lineRule="auto"/>
        <w:ind w:left="851" w:firstLine="0"/>
        <w:jc w:val="both"/>
        <w:rPr>
          <w:color w:val="000000"/>
        </w:rPr>
      </w:pPr>
      <w:bookmarkStart w:id="30" w:name="_Toc445848732"/>
      <w:bookmarkStart w:id="31" w:name="_Toc488416165"/>
      <w:bookmarkStart w:id="32" w:name="_Toc534447002"/>
      <w:bookmarkStart w:id="33" w:name="_Toc158048002"/>
      <w:bookmarkStart w:id="34" w:name="_Toc158048356"/>
      <w:bookmarkStart w:id="35" w:name="_Toc170135821"/>
      <w:bookmarkStart w:id="36" w:name="_Toc171111079"/>
      <w:bookmarkStart w:id="37" w:name="_Toc180062491"/>
      <w:bookmarkStart w:id="38" w:name="_Toc187942211"/>
      <w:r w:rsidRPr="008402F9">
        <w:rPr>
          <w:color w:val="000000"/>
        </w:rPr>
        <w:t>Phần đường dây</w:t>
      </w:r>
      <w:bookmarkEnd w:id="30"/>
      <w:bookmarkEnd w:id="31"/>
      <w:bookmarkEnd w:id="32"/>
      <w:r w:rsidRPr="008402F9">
        <w:rPr>
          <w:color w:val="000000"/>
        </w:rPr>
        <w:t xml:space="preserve"> 220 kV</w:t>
      </w:r>
      <w:bookmarkEnd w:id="33"/>
      <w:bookmarkEnd w:id="34"/>
      <w:bookmarkEnd w:id="35"/>
      <w:bookmarkEnd w:id="36"/>
      <w:bookmarkEnd w:id="37"/>
      <w:bookmarkEnd w:id="38"/>
    </w:p>
    <w:p w:rsidR="0011647F" w:rsidRPr="00100DB0" w:rsidRDefault="0011647F" w:rsidP="0011647F">
      <w:pPr>
        <w:pStyle w:val="BodyTextlist1"/>
        <w:numPr>
          <w:ilvl w:val="0"/>
          <w:numId w:val="5"/>
        </w:numPr>
      </w:pPr>
      <w:r w:rsidRPr="00100DB0">
        <w:t>Cấp điện áp: 220 kV.</w:t>
      </w:r>
    </w:p>
    <w:p w:rsidR="0011647F" w:rsidRPr="00100DB0" w:rsidRDefault="0011647F" w:rsidP="0011647F">
      <w:pPr>
        <w:pStyle w:val="BodyTextlist1"/>
        <w:numPr>
          <w:ilvl w:val="0"/>
          <w:numId w:val="5"/>
        </w:numPr>
      </w:pPr>
      <w:r w:rsidRPr="00100DB0">
        <w:t>Số mạch: 02 mạch gồm treo dây 2 mạch trên cột 4 mạch (đoạn từ T01 đến T24: 8,6 km; đoạn đấu vào TBA 500 kV Mỹ Tho: từ T285 đến B2-02: 1,4 km</w:t>
      </w:r>
      <w:r>
        <w:t xml:space="preserve">; </w:t>
      </w:r>
      <w:r w:rsidRPr="00A50FCF">
        <w:rPr>
          <w:color w:val="000099"/>
        </w:rPr>
        <w:t xml:space="preserve">vị trí </w:t>
      </w:r>
      <w:r w:rsidRPr="00A50FCF">
        <w:rPr>
          <w:color w:val="000099"/>
        </w:rPr>
        <w:lastRenderedPageBreak/>
        <w:t>T01 đấu nối vào TBA 220kV Cần Đước</w:t>
      </w:r>
      <w:r w:rsidRPr="00100DB0">
        <w:t>) và cột 02 mạch (gồm các đoạn còn lại, chiều dài khoảng 103 km )</w:t>
      </w:r>
    </w:p>
    <w:p w:rsidR="0011647F" w:rsidRPr="00100DB0" w:rsidRDefault="0011647F" w:rsidP="0011647F">
      <w:pPr>
        <w:pStyle w:val="BodyTextlist1"/>
        <w:numPr>
          <w:ilvl w:val="0"/>
          <w:numId w:val="5"/>
        </w:numPr>
      </w:pPr>
      <w:r w:rsidRPr="00100DB0">
        <w:t>Điểm đầu: cột cổng SPP 220 kV NMĐ Phú Mỹ.</w:t>
      </w:r>
    </w:p>
    <w:p w:rsidR="0011647F" w:rsidRPr="00100DB0" w:rsidRDefault="0011647F" w:rsidP="0011647F">
      <w:pPr>
        <w:pStyle w:val="BodyTextlist1"/>
        <w:numPr>
          <w:ilvl w:val="0"/>
          <w:numId w:val="5"/>
        </w:numPr>
      </w:pPr>
      <w:r w:rsidRPr="00100DB0">
        <w:t>Điểm cuối: cột cổng 220</w:t>
      </w:r>
      <w:r>
        <w:t xml:space="preserve"> </w:t>
      </w:r>
      <w:r w:rsidRPr="00100DB0">
        <w:t>kV TBA 500 kV Mỹ Tho.</w:t>
      </w:r>
    </w:p>
    <w:p w:rsidR="0011647F" w:rsidRPr="00100DB0" w:rsidRDefault="0011647F" w:rsidP="0011647F">
      <w:pPr>
        <w:pStyle w:val="BodyTextlist1"/>
        <w:numPr>
          <w:ilvl w:val="0"/>
          <w:numId w:val="5"/>
        </w:numPr>
      </w:pPr>
      <w:r w:rsidRPr="00100DB0">
        <w:t>Chiều dài: khoảng 113 km.</w:t>
      </w:r>
    </w:p>
    <w:p w:rsidR="0011647F" w:rsidRPr="007D1EE7" w:rsidRDefault="0011647F" w:rsidP="0011647F">
      <w:pPr>
        <w:pStyle w:val="Dau-"/>
        <w:numPr>
          <w:ilvl w:val="0"/>
          <w:numId w:val="0"/>
        </w:numPr>
        <w:ind w:firstLine="567"/>
        <w:rPr>
          <w:szCs w:val="27"/>
          <w:lang w:val="vi-VN"/>
        </w:rPr>
      </w:pPr>
      <w:r w:rsidRPr="007D1EE7">
        <w:rPr>
          <w:szCs w:val="27"/>
          <w:lang w:val="vi-VN"/>
        </w:rPr>
        <w:t xml:space="preserve">Thông số và yêu cầu kỹ thuật của vật tư thiết bị tuân thủ theo quy định hiện hành của EVN và EVNNPT, với các thiết bị chính như sau: </w:t>
      </w:r>
    </w:p>
    <w:p w:rsidR="0011647F" w:rsidRPr="0011647F" w:rsidRDefault="0011647F" w:rsidP="0011647F">
      <w:pPr>
        <w:pStyle w:val="BodyTextlist1"/>
        <w:numPr>
          <w:ilvl w:val="0"/>
          <w:numId w:val="5"/>
        </w:numPr>
        <w:rPr>
          <w:lang w:val="vi-VN"/>
        </w:rPr>
      </w:pPr>
      <w:r w:rsidRPr="0011647F">
        <w:rPr>
          <w:lang w:val="vi-VN"/>
        </w:rPr>
        <w:t>Dây dẫn: Thay dây dẫn ACSR-795MCM hiện hữu bằng dây dẫn nhiệt độ cao lõi tổng hợp sợi các bon có tiết diện phần nhôm không nhỏ hơn 400 mm</w:t>
      </w:r>
      <w:r w:rsidRPr="0011647F">
        <w:rPr>
          <w:vertAlign w:val="superscript"/>
          <w:lang w:val="vi-VN"/>
        </w:rPr>
        <w:t>2</w:t>
      </w:r>
      <w:r w:rsidRPr="0011647F">
        <w:rPr>
          <w:lang w:val="vi-VN"/>
        </w:rPr>
        <w:t xml:space="preserve"> và dòng điện làm việc lâu dài không nhỏ hơn 1510A. Các đoạn vượt sông lớn sử dụng dây dẫn nhiệt độ cao lõi tổng hợp sợi các bon tăng cường lực, đảm bảo khoảng cách tĩnh không theo quy định.</w:t>
      </w:r>
    </w:p>
    <w:p w:rsidR="0011647F" w:rsidRPr="0011647F" w:rsidRDefault="0011647F" w:rsidP="0011647F">
      <w:pPr>
        <w:pStyle w:val="BodyTextlist1"/>
        <w:numPr>
          <w:ilvl w:val="0"/>
          <w:numId w:val="5"/>
        </w:numPr>
        <w:rPr>
          <w:lang w:val="vi-VN"/>
        </w:rPr>
      </w:pPr>
      <w:r w:rsidRPr="0011647F">
        <w:rPr>
          <w:lang w:val="vi-VN"/>
        </w:rPr>
        <w:t xml:space="preserve">Dây chống sét: thay dây chống sét GW hiện hữu thành dây OPGW-70; các đoạn vượt sông lớn sử dụng dây OPGW-90. Bổ sung thêm 01 dây chống sét Phlox94.1 cho các đoạn đầu vào trạm 220 kV NMĐ Phú Mỹ, trạm 500 kV Long An và trạm 500 kV Mỹ Tho để đảm bảo tải hết dòng ngắn mạch 1 pha gần thanh cái các trạm trên. </w:t>
      </w:r>
    </w:p>
    <w:p w:rsidR="0011647F" w:rsidRPr="0011647F" w:rsidRDefault="0011647F" w:rsidP="0011647F">
      <w:pPr>
        <w:pStyle w:val="BodyTextlist1"/>
        <w:numPr>
          <w:ilvl w:val="0"/>
          <w:numId w:val="5"/>
        </w:numPr>
        <w:rPr>
          <w:lang w:val="vi-VN"/>
        </w:rPr>
      </w:pPr>
      <w:r w:rsidRPr="0011647F">
        <w:rPr>
          <w:lang w:val="vi-VN"/>
        </w:rPr>
        <w:t>Dây cáp quang: sử dụng lại dây cáp quang OPGW-70 hiện có.</w:t>
      </w:r>
    </w:p>
    <w:p w:rsidR="0011647F" w:rsidRPr="0011647F" w:rsidRDefault="0011647F" w:rsidP="0011647F">
      <w:pPr>
        <w:pStyle w:val="BodyTextlist1"/>
        <w:numPr>
          <w:ilvl w:val="0"/>
          <w:numId w:val="5"/>
        </w:numPr>
        <w:rPr>
          <w:lang w:val="vi-VN"/>
        </w:rPr>
      </w:pPr>
      <w:r w:rsidRPr="0011647F">
        <w:rPr>
          <w:lang w:val="vi-VN"/>
        </w:rPr>
        <w:t xml:space="preserve">Cách điện: Sử dụng cách điện hiện hữu. Thay thế chuỗi cách điện đơn hiện hữu bằng chuỗi cách điện kép tại các khoảng cột vượt đường, sử dụng cách điện Thủy tinh, chế tạo theo tiêu chuẩn IEC. </w:t>
      </w:r>
    </w:p>
    <w:p w:rsidR="0011647F" w:rsidRPr="0011647F" w:rsidRDefault="0011647F" w:rsidP="0011647F">
      <w:pPr>
        <w:pStyle w:val="BodyTextlist1"/>
        <w:numPr>
          <w:ilvl w:val="0"/>
          <w:numId w:val="5"/>
        </w:numPr>
        <w:rPr>
          <w:lang w:val="vi-VN"/>
        </w:rPr>
      </w:pPr>
      <w:r w:rsidRPr="0011647F">
        <w:rPr>
          <w:lang w:val="vi-VN"/>
        </w:rPr>
        <w:t xml:space="preserve">Phụ kiện: Thay thế toàn bộ phần phụ kiện mang điện hiện hữu bằng phần phụ kiện mang điện mới cho đồng bộ với việc thay thế </w:t>
      </w:r>
      <w:r w:rsidRPr="0011647F">
        <w:rPr>
          <w:iCs/>
          <w:lang w:val="vi-VN"/>
        </w:rPr>
        <w:t>dây dẫn nhiệt độ cao lõi tổng hợp sợi các bon</w:t>
      </w:r>
      <w:r w:rsidRPr="0011647F">
        <w:rPr>
          <w:lang w:val="vi-VN"/>
        </w:rPr>
        <w:t>.</w:t>
      </w:r>
    </w:p>
    <w:p w:rsidR="0011647F" w:rsidRPr="0011647F" w:rsidRDefault="0011647F" w:rsidP="0011647F">
      <w:pPr>
        <w:pStyle w:val="BodyTextlist1"/>
        <w:numPr>
          <w:ilvl w:val="0"/>
          <w:numId w:val="5"/>
        </w:numPr>
        <w:rPr>
          <w:lang w:val="vi-VN"/>
        </w:rPr>
      </w:pPr>
      <w:r w:rsidRPr="0011647F">
        <w:rPr>
          <w:lang w:val="vi-VN"/>
        </w:rPr>
        <w:t>Móng, Cột: sử dụng lại móng cột hiện hữu.</w:t>
      </w:r>
    </w:p>
    <w:p w:rsidR="0011647F" w:rsidRPr="0011647F" w:rsidRDefault="0011647F" w:rsidP="0011647F">
      <w:pPr>
        <w:pStyle w:val="BodyTextlist1"/>
        <w:numPr>
          <w:ilvl w:val="0"/>
          <w:numId w:val="5"/>
        </w:numPr>
        <w:rPr>
          <w:lang w:val="vi-VN"/>
        </w:rPr>
      </w:pPr>
      <w:bookmarkStart w:id="39" w:name="_Hlk59110567"/>
      <w:r w:rsidRPr="0011647F">
        <w:rPr>
          <w:lang w:val="vi-VN"/>
        </w:rPr>
        <w:t>Nối đất chân cột</w:t>
      </w:r>
      <w:bookmarkEnd w:id="39"/>
      <w:r w:rsidRPr="0011647F">
        <w:rPr>
          <w:lang w:val="vi-VN"/>
        </w:rPr>
        <w:t>: sử dụng hệ thống nối đất chân cột hiện hữu.</w:t>
      </w:r>
    </w:p>
    <w:p w:rsidR="0011647F" w:rsidRPr="0011647F" w:rsidRDefault="0011647F" w:rsidP="0011647F">
      <w:pPr>
        <w:pStyle w:val="BodyTextlist1"/>
        <w:numPr>
          <w:ilvl w:val="0"/>
          <w:numId w:val="5"/>
        </w:numPr>
        <w:rPr>
          <w:lang w:val="vi-VN"/>
        </w:rPr>
      </w:pPr>
      <w:bookmarkStart w:id="40" w:name="_Hlk59110558"/>
      <w:r w:rsidRPr="0011647F">
        <w:rPr>
          <w:lang w:val="vi-VN"/>
        </w:rPr>
        <w:t>Nối đất phòng tránh cảm ứng điện: Thực hiện nối đất các công trình, kết cấu kim loại trong và ngoài hành lang theo đúng các quy định hiện hành.</w:t>
      </w:r>
      <w:bookmarkEnd w:id="40"/>
    </w:p>
    <w:p w:rsidR="0011647F" w:rsidRPr="007D1EE7" w:rsidRDefault="0011647F" w:rsidP="0011647F">
      <w:pPr>
        <w:pStyle w:val="Heading4"/>
        <w:keepNext w:val="0"/>
        <w:widowControl w:val="0"/>
        <w:numPr>
          <w:ilvl w:val="3"/>
          <w:numId w:val="0"/>
        </w:numPr>
        <w:spacing w:after="0" w:line="276" w:lineRule="auto"/>
        <w:ind w:right="0" w:firstLine="567"/>
        <w:rPr>
          <w:bCs w:val="0"/>
          <w:color w:val="000000"/>
          <w:sz w:val="28"/>
          <w:lang w:val="vi-VN"/>
        </w:rPr>
      </w:pPr>
      <w:bookmarkStart w:id="41" w:name="_Toc445848733"/>
      <w:bookmarkStart w:id="42" w:name="_Toc488416166"/>
      <w:bookmarkStart w:id="43" w:name="_Toc534447003"/>
      <w:bookmarkStart w:id="44" w:name="_Toc158048003"/>
      <w:bookmarkStart w:id="45" w:name="_Toc158048357"/>
      <w:bookmarkStart w:id="46" w:name="_Toc170135822"/>
      <w:bookmarkStart w:id="47" w:name="_Toc171111080"/>
      <w:bookmarkStart w:id="48" w:name="_Toc180062492"/>
      <w:bookmarkStart w:id="49" w:name="_Toc187942212"/>
      <w:r w:rsidRPr="007D1EE7">
        <w:rPr>
          <w:bCs w:val="0"/>
          <w:color w:val="000000"/>
          <w:sz w:val="28"/>
          <w:lang w:val="vi-VN"/>
        </w:rPr>
        <w:t>Các ngăn lộ 220 kV liên  quan 2 ngăn đường dây tại các trạm biến áp</w:t>
      </w:r>
    </w:p>
    <w:p w:rsidR="0011647F" w:rsidRPr="0011647F" w:rsidRDefault="0011647F" w:rsidP="0011647F">
      <w:pPr>
        <w:pStyle w:val="BodyTextlist1"/>
        <w:numPr>
          <w:ilvl w:val="0"/>
          <w:numId w:val="5"/>
        </w:numPr>
        <w:rPr>
          <w:lang w:val="vi-VN"/>
        </w:rPr>
      </w:pPr>
      <w:r w:rsidRPr="0011647F">
        <w:rPr>
          <w:lang w:val="vi-VN"/>
        </w:rPr>
        <w:t>Tại các Trạm biến áp 220 kV NMĐ Phú Mỹ; Trạm biến áp 220 kV Cần Đước; Trạm biến áp 220 kV Mỹ Tho; Trạm biến áp 500 kV Mỹ Tho: thiết bị, dây dẫn đấu nối nội bộ ngăn lộ hiện hữu có dòng định mức đảm bảo mang tải vận hành đến 2035. Đối với khả năng chịu dòng ngắn mạch của các thiết bị ngăn lộ sau năm 2030, sẽ được kiến nghị xem xét thực hiện giải pháp hạn chế dòng ngắn mạch hoặc thay thế thiết bị theo luận chứng sự cần thiết của dự án khác.</w:t>
      </w:r>
    </w:p>
    <w:bookmarkEnd w:id="0"/>
    <w:bookmarkEnd w:id="1"/>
    <w:bookmarkEnd w:id="2"/>
    <w:bookmarkEnd w:id="3"/>
    <w:bookmarkEnd w:id="4"/>
    <w:bookmarkEnd w:id="41"/>
    <w:bookmarkEnd w:id="42"/>
    <w:bookmarkEnd w:id="43"/>
    <w:bookmarkEnd w:id="44"/>
    <w:bookmarkEnd w:id="45"/>
    <w:bookmarkEnd w:id="46"/>
    <w:bookmarkEnd w:id="47"/>
    <w:bookmarkEnd w:id="48"/>
    <w:bookmarkEnd w:id="49"/>
    <w:p w:rsidR="0011647F" w:rsidRPr="009606FE" w:rsidRDefault="0011647F" w:rsidP="0011647F">
      <w:pPr>
        <w:spacing w:before="120" w:after="120"/>
        <w:ind w:firstLine="142"/>
        <w:rPr>
          <w:b/>
          <w:bCs/>
          <w:color w:val="000000" w:themeColor="text1"/>
          <w:sz w:val="28"/>
          <w:szCs w:val="28"/>
          <w:lang w:val="vi-VN"/>
        </w:rPr>
      </w:pPr>
      <w:r w:rsidRPr="009606FE">
        <w:rPr>
          <w:b/>
          <w:bCs/>
          <w:color w:val="000000" w:themeColor="text1"/>
          <w:sz w:val="28"/>
          <w:szCs w:val="28"/>
          <w:lang w:val="vi-VN"/>
        </w:rPr>
        <w:t>4. Mục đích tuyển chọn nhà thầu</w:t>
      </w:r>
    </w:p>
    <w:p w:rsidR="0011647F" w:rsidRPr="009606FE" w:rsidRDefault="0011647F" w:rsidP="0011647F">
      <w:pPr>
        <w:spacing w:after="60"/>
        <w:ind w:firstLine="720"/>
        <w:rPr>
          <w:bCs/>
          <w:color w:val="000000" w:themeColor="text1"/>
          <w:sz w:val="28"/>
          <w:szCs w:val="28"/>
          <w:lang w:val="vi-VN"/>
        </w:rPr>
      </w:pPr>
      <w:r w:rsidRPr="009606FE">
        <w:rPr>
          <w:color w:val="000000" w:themeColor="text1"/>
          <w:sz w:val="28"/>
          <w:szCs w:val="28"/>
          <w:lang w:val="vi-VN"/>
        </w:rPr>
        <w:lastRenderedPageBreak/>
        <w:t xml:space="preserve">Nhằm lựa chọn nhà thầu Cung cấp dịch vụ tư vấn thẩm tra </w:t>
      </w:r>
      <w:r w:rsidRPr="00496520">
        <w:rPr>
          <w:color w:val="000000" w:themeColor="text1"/>
          <w:sz w:val="28"/>
          <w:szCs w:val="28"/>
          <w:lang w:val="vi-VN"/>
        </w:rPr>
        <w:t>thẩm tra thiết kế bản vẽ thi công và dự toán xây dựng</w:t>
      </w:r>
      <w:r w:rsidRPr="009606FE">
        <w:rPr>
          <w:color w:val="000000" w:themeColor="text1"/>
          <w:sz w:val="28"/>
          <w:szCs w:val="28"/>
          <w:lang w:val="vi-VN"/>
        </w:rPr>
        <w:t xml:space="preserve"> công trình </w:t>
      </w:r>
      <w:r>
        <w:rPr>
          <w:color w:val="000000" w:themeColor="text1"/>
          <w:sz w:val="28"/>
          <w:szCs w:val="28"/>
          <w:lang w:val="vi-VN"/>
        </w:rPr>
        <w:t>dự án</w:t>
      </w:r>
      <w:r w:rsidRPr="009606FE">
        <w:rPr>
          <w:color w:val="000000" w:themeColor="text1"/>
          <w:sz w:val="28"/>
          <w:szCs w:val="28"/>
          <w:lang w:val="vi-VN"/>
        </w:rPr>
        <w:t>, có năng lực và kinh nghiệm, có giải pháp kỹ thuật phù hợp được quy định tại E-HSMT này để thực hiện gói thầu, dự án đảm bảo chất lượng và tiến độ công trình</w:t>
      </w:r>
      <w:r w:rsidRPr="009606FE">
        <w:rPr>
          <w:bCs/>
          <w:color w:val="000000" w:themeColor="text1"/>
          <w:sz w:val="28"/>
          <w:szCs w:val="28"/>
          <w:lang w:val="vi-VN"/>
        </w:rPr>
        <w:t>.</w:t>
      </w:r>
    </w:p>
    <w:p w:rsidR="0011647F" w:rsidRPr="009606FE" w:rsidRDefault="0011647F" w:rsidP="0011647F">
      <w:pPr>
        <w:tabs>
          <w:tab w:val="left" w:pos="720"/>
        </w:tabs>
        <w:spacing w:before="120" w:after="120"/>
        <w:ind w:left="460" w:hanging="284"/>
        <w:rPr>
          <w:b/>
          <w:bCs/>
          <w:color w:val="000000" w:themeColor="text1"/>
          <w:sz w:val="28"/>
          <w:szCs w:val="28"/>
          <w:lang w:val="vi-VN"/>
        </w:rPr>
      </w:pPr>
      <w:r w:rsidRPr="009606FE">
        <w:rPr>
          <w:b/>
          <w:color w:val="000000" w:themeColor="text1"/>
          <w:sz w:val="28"/>
          <w:szCs w:val="28"/>
          <w:lang w:val="vi-VN"/>
        </w:rPr>
        <w:t>II. Phạm vi công việc:</w:t>
      </w:r>
    </w:p>
    <w:p w:rsidR="0011647F" w:rsidRPr="009606FE" w:rsidRDefault="0011647F" w:rsidP="0011647F">
      <w:pPr>
        <w:tabs>
          <w:tab w:val="left" w:pos="720"/>
        </w:tabs>
        <w:spacing w:after="120"/>
        <w:ind w:left="460" w:hanging="284"/>
        <w:jc w:val="left"/>
        <w:rPr>
          <w:bCs/>
          <w:color w:val="000000" w:themeColor="text1"/>
          <w:sz w:val="28"/>
          <w:szCs w:val="28"/>
          <w:lang w:val="vi-VN"/>
        </w:rPr>
      </w:pPr>
      <w:r w:rsidRPr="009606FE">
        <w:rPr>
          <w:b/>
          <w:bCs/>
          <w:color w:val="000000" w:themeColor="text1"/>
          <w:sz w:val="28"/>
          <w:szCs w:val="28"/>
          <w:lang w:val="vi-VN"/>
        </w:rPr>
        <w:t>1.  Nội dung công việc chủ yếu của Gói thầu:</w:t>
      </w:r>
    </w:p>
    <w:p w:rsidR="0011647F" w:rsidRPr="0011647F" w:rsidRDefault="0011647F" w:rsidP="0011647F">
      <w:pPr>
        <w:pStyle w:val="BodyTextlist1"/>
        <w:numPr>
          <w:ilvl w:val="0"/>
          <w:numId w:val="3"/>
        </w:numPr>
        <w:rPr>
          <w:lang w:val="vi-VN"/>
        </w:rPr>
      </w:pPr>
      <w:r w:rsidRPr="0011647F">
        <w:rPr>
          <w:lang w:val="vi-VN"/>
        </w:rPr>
        <w:t>Thẩm tra hồ sơ thẩm tra thiết kế bản vẽ thi công và dự toán xây dựng.</w:t>
      </w:r>
    </w:p>
    <w:p w:rsidR="0011647F" w:rsidRPr="00F45E37" w:rsidRDefault="0011647F" w:rsidP="0011647F">
      <w:pPr>
        <w:spacing w:after="120"/>
        <w:rPr>
          <w:b/>
          <w:bCs/>
          <w:color w:val="000000" w:themeColor="text1"/>
          <w:sz w:val="28"/>
          <w:szCs w:val="28"/>
          <w:lang w:val="vi-VN"/>
        </w:rPr>
      </w:pPr>
      <w:r w:rsidRPr="00F45E37">
        <w:rPr>
          <w:b/>
          <w:bCs/>
          <w:color w:val="000000" w:themeColor="text1"/>
          <w:sz w:val="28"/>
          <w:szCs w:val="28"/>
          <w:lang w:val="vi-VN"/>
        </w:rPr>
        <w:t>2. Các nhiệm vụ cụ thể do nhà thầu phải tiến hành trong thời gian thực hiện hợp đồng tư vấn.</w:t>
      </w:r>
    </w:p>
    <w:p w:rsidR="0011647F" w:rsidRPr="006C40A2" w:rsidRDefault="0011647F" w:rsidP="0011647F">
      <w:pPr>
        <w:ind w:firstLine="720"/>
        <w:rPr>
          <w:rFonts w:ascii="Times" w:hAnsi="Times" w:cs="Times"/>
          <w:b/>
          <w:bCs/>
          <w:i/>
          <w:color w:val="000000" w:themeColor="text1"/>
          <w:sz w:val="28"/>
          <w:szCs w:val="28"/>
          <w:lang w:val="vi-VN"/>
        </w:rPr>
      </w:pPr>
      <w:r w:rsidRPr="006C40A2">
        <w:rPr>
          <w:b/>
          <w:bCs/>
          <w:i/>
          <w:color w:val="000000" w:themeColor="text1"/>
          <w:sz w:val="28"/>
          <w:szCs w:val="28"/>
          <w:lang w:val="vi-VN"/>
        </w:rPr>
        <w:t xml:space="preserve">Nhiệm vụ thẩm tra </w:t>
      </w:r>
      <w:r w:rsidRPr="008105DF">
        <w:rPr>
          <w:b/>
          <w:bCs/>
          <w:i/>
          <w:color w:val="000000" w:themeColor="text1"/>
          <w:sz w:val="28"/>
          <w:szCs w:val="28"/>
          <w:lang w:val="vi-VN"/>
        </w:rPr>
        <w:t>thẩm tra thiết kế bản vẽ thi công và dự toán xây dựng</w:t>
      </w:r>
      <w:r w:rsidRPr="006C40A2">
        <w:rPr>
          <w:b/>
          <w:bCs/>
          <w:i/>
          <w:color w:val="000000" w:themeColor="text1"/>
          <w:sz w:val="28"/>
          <w:szCs w:val="28"/>
          <w:lang w:val="vi-VN"/>
        </w:rPr>
        <w:t>:</w:t>
      </w:r>
    </w:p>
    <w:p w:rsidR="0011647F" w:rsidRPr="009735E0" w:rsidRDefault="0011647F" w:rsidP="0011647F">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735E0">
        <w:rPr>
          <w:sz w:val="28"/>
          <w:szCs w:val="28"/>
          <w:lang w:val="vi-VN"/>
        </w:rPr>
        <w:t>a. Thẩm tra phục vụ công tác thẩm định dự án, thiết kế và dự toán xây dựng theo quy định hiện hành của pháp luật, cụ thể thực hiện theo quy định tại Luật Xây dựng số 50/2014/QH13  và Luật số 62/2020/QH14 v/v sửa đổi, bổ sung một số điều của Luật Xây dựng; Điều 83 Luật Xây dựng 2014 và khoản 25 Điều 1 Luật sửa đổi, bổ sung một số điều của Luật Xây dựng 2020 đối với TKKT/TKBVTC; Điều 13 Nghị định 10/2021/NĐ-CP đối với DT; Nghị định 06/2021/NĐ-CP ngày 26/01/2021 của Chính phủ; Nghị định 15/2021/NĐ-CP ngày 3/3/2021, Thông tư 11/2021/TT-BXD ngày 31/8/2021 và các quy định pháp luật có liên quan.</w:t>
      </w:r>
    </w:p>
    <w:p w:rsidR="0011647F" w:rsidRPr="009735E0" w:rsidRDefault="0011647F" w:rsidP="0011647F">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735E0">
        <w:rPr>
          <w:sz w:val="28"/>
          <w:szCs w:val="28"/>
          <w:lang w:val="vi-VN"/>
        </w:rPr>
        <w:t>b.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rsidR="0011647F" w:rsidRPr="009606FE" w:rsidRDefault="0011647F" w:rsidP="0011647F">
      <w:pPr>
        <w:pStyle w:val="BodyTextIndent2"/>
        <w:tabs>
          <w:tab w:val="clear" w:pos="720"/>
        </w:tabs>
        <w:overflowPunct w:val="0"/>
        <w:autoSpaceDE w:val="0"/>
        <w:autoSpaceDN w:val="0"/>
        <w:adjustRightInd w:val="0"/>
        <w:spacing w:after="120"/>
        <w:ind w:left="0" w:firstLine="284"/>
        <w:jc w:val="both"/>
        <w:textAlignment w:val="baseline"/>
        <w:rPr>
          <w:rFonts w:ascii="Times" w:hAnsi="Times" w:cs="Times"/>
          <w:sz w:val="28"/>
          <w:szCs w:val="28"/>
          <w:lang w:val="vi-VN"/>
        </w:rPr>
      </w:pPr>
      <w:r w:rsidRPr="009735E0">
        <w:rPr>
          <w:sz w:val="28"/>
          <w:szCs w:val="28"/>
          <w:lang w:val="vi-VN"/>
        </w:rPr>
        <w:t>c.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w:t>
      </w:r>
      <w:r w:rsidRPr="009606FE">
        <w:rPr>
          <w:rFonts w:ascii="Times" w:hAnsi="Times" w:cs="Times"/>
          <w:sz w:val="28"/>
          <w:szCs w:val="28"/>
          <w:lang w:val="vi-VN"/>
        </w:rPr>
        <w:t>.</w:t>
      </w:r>
    </w:p>
    <w:p w:rsidR="0011647F" w:rsidRPr="009735E0" w:rsidRDefault="0011647F" w:rsidP="0011647F">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606FE">
        <w:rPr>
          <w:sz w:val="28"/>
          <w:szCs w:val="28"/>
          <w:lang w:val="vi-VN"/>
        </w:rPr>
        <w:t xml:space="preserve">d. </w:t>
      </w:r>
      <w:r w:rsidRPr="009735E0">
        <w:rPr>
          <w:sz w:val="28"/>
          <w:szCs w:val="28"/>
          <w:lang w:val="vi-VN"/>
        </w:rPr>
        <w:t>Có phương án kiến nghị, đề xuất cụ thể để đơn vị tư vấn thiết kế hoàn thiện hồ sơ dự án.</w:t>
      </w:r>
    </w:p>
    <w:p w:rsidR="0011647F" w:rsidRPr="009606FE" w:rsidRDefault="0011647F" w:rsidP="0011647F">
      <w:pPr>
        <w:pStyle w:val="BodyTextIndent2"/>
        <w:tabs>
          <w:tab w:val="clear" w:pos="720"/>
        </w:tabs>
        <w:overflowPunct w:val="0"/>
        <w:autoSpaceDE w:val="0"/>
        <w:autoSpaceDN w:val="0"/>
        <w:adjustRightInd w:val="0"/>
        <w:spacing w:after="120"/>
        <w:ind w:left="0" w:firstLine="284"/>
        <w:jc w:val="both"/>
        <w:textAlignment w:val="baseline"/>
        <w:rPr>
          <w:sz w:val="28"/>
          <w:szCs w:val="28"/>
          <w:lang w:val="vi-VN"/>
        </w:rPr>
      </w:pPr>
      <w:r w:rsidRPr="009606FE">
        <w:rPr>
          <w:sz w:val="28"/>
          <w:szCs w:val="28"/>
          <w:lang w:val="vi-VN"/>
        </w:rPr>
        <w:t xml:space="preserve">e. </w:t>
      </w:r>
      <w:r w:rsidRPr="009735E0">
        <w:rPr>
          <w:sz w:val="28"/>
          <w:szCs w:val="28"/>
          <w:lang w:val="vi-VN"/>
        </w:rPr>
        <w:t>Đơn vị tư vấn thẩm tra phải có đầy đủ các phần mềm tính toán liên quan để thực hiện tính toán đối chứng độc lập</w:t>
      </w:r>
      <w:r w:rsidRPr="009606FE">
        <w:rPr>
          <w:sz w:val="28"/>
          <w:szCs w:val="28"/>
          <w:lang w:val="vi-VN"/>
        </w:rPr>
        <w:t>.</w:t>
      </w:r>
    </w:p>
    <w:p w:rsidR="0011647F" w:rsidRPr="00F45E37" w:rsidRDefault="0011647F" w:rsidP="0011647F">
      <w:pPr>
        <w:spacing w:after="60"/>
        <w:rPr>
          <w:iCs/>
          <w:color w:val="000000" w:themeColor="text1"/>
          <w:spacing w:val="4"/>
          <w:sz w:val="28"/>
          <w:szCs w:val="28"/>
          <w:lang w:val="vi-VN"/>
        </w:rPr>
      </w:pPr>
      <w:r w:rsidRPr="009606FE">
        <w:rPr>
          <w:b/>
          <w:bCs/>
          <w:color w:val="000000" w:themeColor="text1"/>
          <w:spacing w:val="-12"/>
          <w:sz w:val="28"/>
          <w:szCs w:val="28"/>
          <w:lang w:val="vi-VN"/>
        </w:rPr>
        <w:t xml:space="preserve">3. </w:t>
      </w:r>
      <w:r w:rsidRPr="009606FE">
        <w:rPr>
          <w:b/>
          <w:bCs/>
          <w:color w:val="000000" w:themeColor="text1"/>
          <w:sz w:val="28"/>
          <w:szCs w:val="28"/>
          <w:lang w:val="vi-VN"/>
        </w:rPr>
        <w:t>Dự kiến thời gian chuyên gia bắt đầu thực hiện dịch vụ tư vấn:</w:t>
      </w:r>
      <w:r w:rsidRPr="009606FE">
        <w:rPr>
          <w:bCs/>
          <w:i/>
          <w:color w:val="000000" w:themeColor="text1"/>
          <w:sz w:val="28"/>
          <w:szCs w:val="28"/>
          <w:lang w:val="vi-VN"/>
        </w:rPr>
        <w:t xml:space="preserve"> </w:t>
      </w:r>
      <w:r w:rsidRPr="00F45E37">
        <w:rPr>
          <w:iCs/>
          <w:color w:val="000000" w:themeColor="text1"/>
          <w:spacing w:val="4"/>
          <w:sz w:val="28"/>
          <w:szCs w:val="28"/>
          <w:lang w:val="vi-VN"/>
        </w:rPr>
        <w:t>ngay sau khi hợp đồng tư vấn được ký kết.</w:t>
      </w:r>
    </w:p>
    <w:p w:rsidR="0011647F" w:rsidRPr="009606FE" w:rsidRDefault="0011647F" w:rsidP="0011647F">
      <w:pPr>
        <w:spacing w:before="60" w:after="60"/>
        <w:rPr>
          <w:b/>
          <w:bCs/>
          <w:color w:val="000000" w:themeColor="text1"/>
          <w:sz w:val="28"/>
          <w:szCs w:val="28"/>
          <w:lang w:val="vi-VN"/>
        </w:rPr>
      </w:pPr>
      <w:r w:rsidRPr="009606FE">
        <w:rPr>
          <w:b/>
          <w:color w:val="000000" w:themeColor="text1"/>
          <w:sz w:val="28"/>
          <w:szCs w:val="28"/>
          <w:lang w:val="vi-VN"/>
        </w:rPr>
        <w:t xml:space="preserve">III. Báo cáo và thời gian thực hiện: </w:t>
      </w:r>
    </w:p>
    <w:p w:rsidR="0011647F" w:rsidRPr="0011647F" w:rsidRDefault="0011647F" w:rsidP="0011647F">
      <w:pPr>
        <w:pStyle w:val="BodyTextlist1"/>
        <w:rPr>
          <w:lang w:val="vi-VN"/>
        </w:rPr>
      </w:pPr>
      <w:r w:rsidRPr="0011647F">
        <w:rPr>
          <w:lang w:val="vi-VN"/>
        </w:rPr>
        <w:lastRenderedPageBreak/>
        <w:t>Hồ sơ thẩm tra thẩm tra thiết kế bản vẽ thi công và dự toán xây dựng công trình dự án được biên chế thành 01 tập (thực hiện theo các quy định pháp luật đầu tư xây dựng hiện hành).</w:t>
      </w:r>
    </w:p>
    <w:p w:rsidR="0011647F" w:rsidRPr="0011647F" w:rsidRDefault="0011647F" w:rsidP="0011647F">
      <w:pPr>
        <w:pStyle w:val="BodyTextlist1"/>
        <w:rPr>
          <w:lang w:val="vi-VN"/>
        </w:rPr>
      </w:pPr>
      <w:r w:rsidRPr="0011647F">
        <w:rPr>
          <w:lang w:val="vi-VN"/>
        </w:rPr>
        <w:t xml:space="preserve">Báo cáo kết quả thẩm tra thẩm tra thiết kế bản vẽ thi công và dự toán xây dựng: 15 ngày kể từ ngày ký kết Hợp đồng và nhà thầu nhận được Hồ sơ </w:t>
      </w:r>
      <w:r w:rsidRPr="0011647F">
        <w:rPr>
          <w:iCs/>
          <w:lang w:val="vi-VN"/>
        </w:rPr>
        <w:t>thẩm tra thiết kế bản vẽ thi công và dự toán xây dựng.</w:t>
      </w:r>
    </w:p>
    <w:p w:rsidR="0011647F" w:rsidRPr="00DA70FB" w:rsidRDefault="0011647F" w:rsidP="0011647F">
      <w:pPr>
        <w:spacing w:before="60" w:after="60"/>
        <w:rPr>
          <w:b/>
          <w:color w:val="000000" w:themeColor="text1"/>
          <w:sz w:val="28"/>
          <w:szCs w:val="28"/>
          <w:lang w:val="vi-VN"/>
        </w:rPr>
      </w:pPr>
      <w:r w:rsidRPr="00DA70FB">
        <w:rPr>
          <w:b/>
          <w:color w:val="000000" w:themeColor="text1"/>
          <w:sz w:val="28"/>
          <w:szCs w:val="28"/>
          <w:lang w:val="vi-VN"/>
        </w:rPr>
        <w:t>IV. Kinh nghiệm và nhân sự của nhà thầu:</w:t>
      </w:r>
    </w:p>
    <w:p w:rsidR="0011647F" w:rsidRPr="00F45E37" w:rsidRDefault="0011647F" w:rsidP="0011647F">
      <w:pPr>
        <w:spacing w:after="60"/>
        <w:ind w:firstLine="720"/>
        <w:rPr>
          <w:color w:val="000000" w:themeColor="text1"/>
          <w:sz w:val="28"/>
          <w:szCs w:val="28"/>
          <w:lang w:val="nb-NO"/>
        </w:rPr>
      </w:pPr>
      <w:r w:rsidRPr="00F45E37">
        <w:rPr>
          <w:color w:val="000000" w:themeColor="text1"/>
          <w:sz w:val="28"/>
          <w:szCs w:val="28"/>
          <w:lang w:val="nb-NO"/>
        </w:rPr>
        <w:t>Nhà thầu phải bố trí nhân sự cần thiết cho gói thầu và cho từng vị trí đáp ứng yêu cầu quy định tại chương III.</w:t>
      </w:r>
    </w:p>
    <w:p w:rsidR="0011647F" w:rsidRPr="00DA70FB" w:rsidRDefault="0011647F" w:rsidP="0011647F">
      <w:pPr>
        <w:spacing w:before="60" w:after="60"/>
        <w:rPr>
          <w:b/>
          <w:color w:val="000000" w:themeColor="text1"/>
          <w:sz w:val="28"/>
          <w:szCs w:val="28"/>
          <w:lang w:val="nb-NO"/>
        </w:rPr>
      </w:pPr>
      <w:r w:rsidRPr="00DA70FB">
        <w:rPr>
          <w:b/>
          <w:color w:val="000000" w:themeColor="text1"/>
          <w:sz w:val="28"/>
          <w:szCs w:val="28"/>
          <w:lang w:val="nb-NO"/>
        </w:rPr>
        <w:t xml:space="preserve">V. Trách nhiệm của </w:t>
      </w:r>
      <w:r>
        <w:rPr>
          <w:b/>
          <w:color w:val="000000" w:themeColor="text1"/>
          <w:sz w:val="28"/>
          <w:szCs w:val="28"/>
          <w:lang w:val="nb-NO"/>
        </w:rPr>
        <w:t>Chủ đầu tư</w:t>
      </w:r>
      <w:r w:rsidRPr="00DA70FB">
        <w:rPr>
          <w:b/>
          <w:color w:val="000000" w:themeColor="text1"/>
          <w:sz w:val="28"/>
          <w:szCs w:val="28"/>
          <w:lang w:val="nb-NO"/>
        </w:rPr>
        <w:t>:</w:t>
      </w:r>
    </w:p>
    <w:p w:rsidR="0011647F" w:rsidRPr="00DA70FB" w:rsidRDefault="0011647F" w:rsidP="0011647F">
      <w:pPr>
        <w:numPr>
          <w:ilvl w:val="0"/>
          <w:numId w:val="2"/>
        </w:numPr>
        <w:spacing w:before="40" w:after="40"/>
        <w:ind w:left="851" w:hanging="284"/>
        <w:rPr>
          <w:color w:val="000000" w:themeColor="text1"/>
          <w:sz w:val="28"/>
          <w:szCs w:val="28"/>
          <w:lang w:val="nb-NO"/>
        </w:rPr>
      </w:pPr>
      <w:r w:rsidRPr="00DA70FB">
        <w:rPr>
          <w:color w:val="000000" w:themeColor="text1"/>
          <w:sz w:val="28"/>
          <w:szCs w:val="28"/>
          <w:lang w:val="nb-NO"/>
        </w:rPr>
        <w:t>Phối hợp chặt chẽ với Tư vấn trong quá trình thực hiện hợp đồng.</w:t>
      </w:r>
    </w:p>
    <w:p w:rsidR="0011647F" w:rsidRPr="00DA70FB" w:rsidRDefault="0011647F" w:rsidP="0011647F">
      <w:pPr>
        <w:numPr>
          <w:ilvl w:val="0"/>
          <w:numId w:val="2"/>
        </w:numPr>
        <w:spacing w:before="40" w:after="40"/>
        <w:ind w:left="851" w:hanging="284"/>
        <w:rPr>
          <w:color w:val="000000" w:themeColor="text1"/>
          <w:sz w:val="28"/>
          <w:szCs w:val="28"/>
          <w:lang w:val="nb-NO"/>
        </w:rPr>
      </w:pPr>
      <w:r w:rsidRPr="00DA70FB">
        <w:rPr>
          <w:color w:val="000000" w:themeColor="text1"/>
          <w:sz w:val="28"/>
          <w:szCs w:val="28"/>
          <w:lang w:val="nb-NO"/>
        </w:rPr>
        <w:t>Cung cấp cho Tư vấn những văn bản, tài liệu có liên quan đến dự án (nếu có).</w:t>
      </w:r>
    </w:p>
    <w:p w:rsidR="0011647F" w:rsidRPr="00DA70FB" w:rsidRDefault="0011647F" w:rsidP="0011647F">
      <w:pPr>
        <w:numPr>
          <w:ilvl w:val="0"/>
          <w:numId w:val="2"/>
        </w:numPr>
        <w:spacing w:before="40" w:after="40"/>
        <w:ind w:left="851" w:hanging="284"/>
        <w:rPr>
          <w:color w:val="000000" w:themeColor="text1"/>
          <w:sz w:val="28"/>
          <w:szCs w:val="28"/>
          <w:lang w:val="nb-NO"/>
        </w:rPr>
      </w:pPr>
      <w:r w:rsidRPr="00DA70FB">
        <w:rPr>
          <w:color w:val="000000" w:themeColor="text1"/>
          <w:sz w:val="28"/>
          <w:szCs w:val="28"/>
          <w:lang w:val="nb-NO"/>
        </w:rPr>
        <w:t>Giám sát, kiểm tra Tư vấn thực hiện Dịch vụ.</w:t>
      </w:r>
    </w:p>
    <w:p w:rsidR="0011647F" w:rsidRPr="00DA70FB" w:rsidRDefault="0011647F" w:rsidP="0011647F">
      <w:pPr>
        <w:numPr>
          <w:ilvl w:val="0"/>
          <w:numId w:val="2"/>
        </w:numPr>
        <w:spacing w:before="40" w:after="40"/>
        <w:ind w:left="851" w:hanging="284"/>
        <w:rPr>
          <w:color w:val="000000" w:themeColor="text1"/>
          <w:sz w:val="28"/>
          <w:szCs w:val="28"/>
          <w:lang w:val="nb-NO"/>
        </w:rPr>
      </w:pPr>
      <w:r w:rsidRPr="00DA70FB">
        <w:rPr>
          <w:color w:val="000000" w:themeColor="text1"/>
          <w:sz w:val="28"/>
          <w:szCs w:val="28"/>
          <w:lang w:val="nb-NO"/>
        </w:rPr>
        <w:t>Tổ chức thẩm tra, nghiệm thu và trình duyệt các sản phẩm tư vấn đầy đủ, kịp thời.</w:t>
      </w:r>
    </w:p>
    <w:p w:rsidR="0011647F" w:rsidRPr="00DA70FB" w:rsidRDefault="0011647F" w:rsidP="0011647F">
      <w:pPr>
        <w:numPr>
          <w:ilvl w:val="0"/>
          <w:numId w:val="2"/>
        </w:numPr>
        <w:spacing w:before="40" w:after="40"/>
        <w:ind w:left="851" w:hanging="284"/>
        <w:rPr>
          <w:color w:val="000000" w:themeColor="text1"/>
          <w:sz w:val="28"/>
          <w:szCs w:val="28"/>
          <w:lang w:val="nb-NO"/>
        </w:rPr>
      </w:pPr>
      <w:r w:rsidRPr="00DA70FB">
        <w:rPr>
          <w:color w:val="000000" w:themeColor="text1"/>
          <w:sz w:val="28"/>
          <w:szCs w:val="28"/>
          <w:lang w:val="nb-NO"/>
        </w:rPr>
        <w:t>Cam kết thanh toán cho nhà thầu tư vấn theo giá hợp đồng và phương thức nêu trong hợp đồng cũng như thực hiện đầy đủ nghĩa vụ và trách nhiệm khác được trong ĐKC và ĐKCT của hợp đồng.</w:t>
      </w:r>
    </w:p>
    <w:p w:rsidR="0021288D" w:rsidRPr="0011647F" w:rsidRDefault="0011647F">
      <w:pPr>
        <w:rPr>
          <w:lang w:val="nb-NO"/>
        </w:rPr>
      </w:pPr>
      <w:bookmarkStart w:id="50" w:name="_GoBack"/>
      <w:bookmarkEnd w:id="50"/>
    </w:p>
    <w:sectPr w:rsidR="0021288D" w:rsidRPr="00116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A25031"/>
    <w:multiLevelType w:val="hybridMultilevel"/>
    <w:tmpl w:val="520E6678"/>
    <w:lvl w:ilvl="0" w:tplc="E9B8CF04">
      <w:numFmt w:val="bullet"/>
      <w:lvlText w:val="-"/>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F42"/>
    <w:multiLevelType w:val="multilevel"/>
    <w:tmpl w:val="46744C88"/>
    <w:lvl w:ilvl="0">
      <w:numFmt w:val="bullet"/>
      <w:pStyle w:val="Dau-"/>
      <w:suff w:val="space"/>
      <w:lvlText w:val="-"/>
      <w:lvlJc w:val="left"/>
      <w:pPr>
        <w:ind w:left="0" w:firstLine="0"/>
      </w:pPr>
      <w:rPr>
        <w:rFonts w:ascii=".VnTime" w:hAnsi=".VnTime"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3" w15:restartNumberingAfterBreak="0">
    <w:nsid w:val="191D1E0B"/>
    <w:multiLevelType w:val="hybridMultilevel"/>
    <w:tmpl w:val="8696B10A"/>
    <w:lvl w:ilvl="0" w:tplc="297283B0">
      <w:start w:val="1"/>
      <w:numFmt w:val="lowerLetter"/>
      <w:lvlText w:val="%1)"/>
      <w:lvlJc w:val="left"/>
      <w:pPr>
        <w:ind w:left="1942" w:hanging="360"/>
      </w:pPr>
      <w:rPr>
        <w:b/>
      </w:rPr>
    </w:lvl>
    <w:lvl w:ilvl="1" w:tplc="042A0019" w:tentative="1">
      <w:start w:val="1"/>
      <w:numFmt w:val="lowerLetter"/>
      <w:lvlText w:val="%2."/>
      <w:lvlJc w:val="left"/>
      <w:pPr>
        <w:ind w:left="2662" w:hanging="360"/>
      </w:pPr>
    </w:lvl>
    <w:lvl w:ilvl="2" w:tplc="042A001B" w:tentative="1">
      <w:start w:val="1"/>
      <w:numFmt w:val="lowerRoman"/>
      <w:lvlText w:val="%3."/>
      <w:lvlJc w:val="right"/>
      <w:pPr>
        <w:ind w:left="3382" w:hanging="180"/>
      </w:pPr>
    </w:lvl>
    <w:lvl w:ilvl="3" w:tplc="042A000F" w:tentative="1">
      <w:start w:val="1"/>
      <w:numFmt w:val="decimal"/>
      <w:lvlText w:val="%4."/>
      <w:lvlJc w:val="left"/>
      <w:pPr>
        <w:ind w:left="4102" w:hanging="360"/>
      </w:pPr>
    </w:lvl>
    <w:lvl w:ilvl="4" w:tplc="042A0019" w:tentative="1">
      <w:start w:val="1"/>
      <w:numFmt w:val="lowerLetter"/>
      <w:lvlText w:val="%5."/>
      <w:lvlJc w:val="left"/>
      <w:pPr>
        <w:ind w:left="4822" w:hanging="360"/>
      </w:pPr>
    </w:lvl>
    <w:lvl w:ilvl="5" w:tplc="042A001B" w:tentative="1">
      <w:start w:val="1"/>
      <w:numFmt w:val="lowerRoman"/>
      <w:lvlText w:val="%6."/>
      <w:lvlJc w:val="right"/>
      <w:pPr>
        <w:ind w:left="5542" w:hanging="180"/>
      </w:pPr>
    </w:lvl>
    <w:lvl w:ilvl="6" w:tplc="042A000F" w:tentative="1">
      <w:start w:val="1"/>
      <w:numFmt w:val="decimal"/>
      <w:lvlText w:val="%7."/>
      <w:lvlJc w:val="left"/>
      <w:pPr>
        <w:ind w:left="6262" w:hanging="360"/>
      </w:pPr>
    </w:lvl>
    <w:lvl w:ilvl="7" w:tplc="042A0019" w:tentative="1">
      <w:start w:val="1"/>
      <w:numFmt w:val="lowerLetter"/>
      <w:lvlText w:val="%8."/>
      <w:lvlJc w:val="left"/>
      <w:pPr>
        <w:ind w:left="6982" w:hanging="360"/>
      </w:pPr>
    </w:lvl>
    <w:lvl w:ilvl="8" w:tplc="042A001B" w:tentative="1">
      <w:start w:val="1"/>
      <w:numFmt w:val="lowerRoman"/>
      <w:lvlText w:val="%9."/>
      <w:lvlJc w:val="right"/>
      <w:pPr>
        <w:ind w:left="7702" w:hanging="180"/>
      </w:pPr>
    </w:lvl>
  </w:abstractNum>
  <w:abstractNum w:abstractNumId="4" w15:restartNumberingAfterBreak="0">
    <w:nsid w:val="2C3230F3"/>
    <w:multiLevelType w:val="hybridMultilevel"/>
    <w:tmpl w:val="1E26086C"/>
    <w:lvl w:ilvl="0" w:tplc="AF083E74">
      <w:numFmt w:val="bullet"/>
      <w:lvlText w:val="-"/>
      <w:lvlJc w:val="left"/>
      <w:pPr>
        <w:ind w:left="720" w:hanging="360"/>
      </w:pPr>
      <w:rPr>
        <w:rFonts w:ascii="Courier New" w:eastAsia="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FF9280F"/>
    <w:multiLevelType w:val="hybridMultilevel"/>
    <w:tmpl w:val="BCB284C4"/>
    <w:lvl w:ilvl="0" w:tplc="F27C144C">
      <w:start w:val="1"/>
      <w:numFmt w:val="bullet"/>
      <w:pStyle w:val="BodyTextlist1"/>
      <w:lvlText w:val="+"/>
      <w:lvlJc w:val="left"/>
      <w:pPr>
        <w:ind w:left="1146" w:hanging="360"/>
      </w:pPr>
      <w:rPr>
        <w:rFonts w:ascii="Times New Roman" w:hAnsi="Times New Roman" w:cs="Times New Roman" w:hint="default"/>
        <w:b/>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FD31FEE"/>
    <w:multiLevelType w:val="hybridMultilevel"/>
    <w:tmpl w:val="38E045BC"/>
    <w:lvl w:ilvl="0" w:tplc="A4061F20">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265791"/>
    <w:multiLevelType w:val="multilevel"/>
    <w:tmpl w:val="FB76A7C4"/>
    <w:lvl w:ilvl="0">
      <w:numFmt w:val="bullet"/>
      <w:lvlText w:val="-"/>
      <w:lvlJc w:val="left"/>
      <w:pPr>
        <w:tabs>
          <w:tab w:val="num" w:pos="1134"/>
        </w:tabs>
        <w:ind w:left="1134" w:hanging="283"/>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7F"/>
    <w:rsid w:val="00020E11"/>
    <w:rsid w:val="0011647F"/>
    <w:rsid w:val="006424B1"/>
    <w:rsid w:val="006647B9"/>
    <w:rsid w:val="007B202A"/>
    <w:rsid w:val="00A31B8B"/>
    <w:rsid w:val="00DD37D4"/>
    <w:rsid w:val="00DE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7898B-40DC-43A4-A34C-EB69DDCA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7F"/>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11647F"/>
    <w:pPr>
      <w:suppressAutoHyphens/>
      <w:spacing w:before="60" w:after="60" w:line="288" w:lineRule="auto"/>
      <w:jc w:val="center"/>
      <w:outlineLvl w:val="0"/>
    </w:pPr>
    <w:rPr>
      <w:rFonts w:ascii="Times New Roman Bold" w:hAnsi="Times New Roman Bold"/>
      <w:b/>
      <w:sz w:val="28"/>
    </w:rPr>
  </w:style>
  <w:style w:type="paragraph" w:styleId="Heading3">
    <w:name w:val="heading 3"/>
    <w:aliases w:val="Level 3"/>
    <w:basedOn w:val="Normal"/>
    <w:next w:val="Normal"/>
    <w:link w:val="Heading3Char1"/>
    <w:qFormat/>
    <w:rsid w:val="0011647F"/>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11647F"/>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1647F"/>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semiHidden/>
    <w:rsid w:val="0011647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11647F"/>
    <w:rPr>
      <w:rFonts w:ascii="Times New Roman" w:eastAsia="Times New Roman" w:hAnsi="Times New Roman" w:cs="Times New Roman"/>
      <w:b/>
      <w:bCs/>
      <w:sz w:val="24"/>
      <w:szCs w:val="20"/>
    </w:rPr>
  </w:style>
  <w:style w:type="character" w:customStyle="1" w:styleId="Heading3Char1">
    <w:name w:val="Heading 3 Char1"/>
    <w:aliases w:val="Level 3 Char"/>
    <w:link w:val="Heading3"/>
    <w:rsid w:val="0011647F"/>
    <w:rPr>
      <w:rFonts w:ascii="Times New Roman" w:eastAsia="Times New Roman" w:hAnsi="Times New Roman" w:cs="Times New Roman"/>
      <w:b/>
      <w:sz w:val="28"/>
      <w:szCs w:val="20"/>
    </w:rPr>
  </w:style>
  <w:style w:type="paragraph" w:styleId="BodyTextIndent2">
    <w:name w:val="Body Text Indent 2"/>
    <w:basedOn w:val="Normal"/>
    <w:link w:val="BodyTextIndent2Char"/>
    <w:rsid w:val="0011647F"/>
    <w:pPr>
      <w:tabs>
        <w:tab w:val="num" w:pos="720"/>
      </w:tabs>
      <w:ind w:left="720" w:hanging="720"/>
      <w:jc w:val="left"/>
    </w:pPr>
  </w:style>
  <w:style w:type="character" w:customStyle="1" w:styleId="BodyTextIndent2Char">
    <w:name w:val="Body Text Indent 2 Char"/>
    <w:basedOn w:val="DefaultParagraphFont"/>
    <w:link w:val="BodyTextIndent2"/>
    <w:rsid w:val="0011647F"/>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11647F"/>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11647F"/>
    <w:rPr>
      <w:rFonts w:ascii="Times New Roman" w:eastAsia="Times New Roman" w:hAnsi="Times New Roman" w:cs="Times New Roman"/>
      <w:sz w:val="24"/>
      <w:szCs w:val="20"/>
    </w:rPr>
  </w:style>
  <w:style w:type="character" w:customStyle="1" w:styleId="fontstyle01">
    <w:name w:val="fontstyle01"/>
    <w:basedOn w:val="DefaultParagraphFont"/>
    <w:rsid w:val="0011647F"/>
    <w:rPr>
      <w:rFonts w:ascii="TimesNewRomanPSMT" w:hAnsi="TimesNewRomanPSMT" w:hint="default"/>
      <w:b w:val="0"/>
      <w:bCs w:val="0"/>
      <w:i w:val="0"/>
      <w:iCs w:val="0"/>
      <w:color w:val="000000"/>
      <w:sz w:val="24"/>
      <w:szCs w:val="24"/>
    </w:rPr>
  </w:style>
  <w:style w:type="paragraph" w:customStyle="1" w:styleId="BodyTextlist1">
    <w:name w:val="Body Text list 1"/>
    <w:link w:val="BodyTextlist1Char"/>
    <w:autoRedefine/>
    <w:qFormat/>
    <w:rsid w:val="0011647F"/>
    <w:pPr>
      <w:numPr>
        <w:numId w:val="4"/>
      </w:numPr>
      <w:spacing w:before="120" w:after="120" w:line="240" w:lineRule="auto"/>
      <w:ind w:left="720"/>
      <w:jc w:val="both"/>
    </w:pPr>
    <w:rPr>
      <w:rFonts w:ascii="Times New Roman" w:eastAsia="Times New Roman" w:hAnsi="Times New Roman" w:cs="Times New Roman"/>
      <w:sz w:val="26"/>
      <w:szCs w:val="26"/>
      <w:lang w:val="nl-NL" w:eastAsia="ar-SA"/>
    </w:rPr>
  </w:style>
  <w:style w:type="character" w:customStyle="1" w:styleId="BodyTextlist1Char">
    <w:name w:val="Body Text list 1 Char"/>
    <w:link w:val="BodyTextlist1"/>
    <w:rsid w:val="0011647F"/>
    <w:rPr>
      <w:rFonts w:ascii="Times New Roman" w:eastAsia="Times New Roman" w:hAnsi="Times New Roman" w:cs="Times New Roman"/>
      <w:sz w:val="26"/>
      <w:szCs w:val="26"/>
      <w:lang w:val="nl-NL" w:eastAsia="ar-SA"/>
    </w:rPr>
  </w:style>
  <w:style w:type="paragraph" w:customStyle="1" w:styleId="Dau-">
    <w:name w:val="Dau (-)"/>
    <w:basedOn w:val="Normal"/>
    <w:link w:val="Dau-Char"/>
    <w:qFormat/>
    <w:rsid w:val="0011647F"/>
    <w:pPr>
      <w:widowControl w:val="0"/>
      <w:numPr>
        <w:numId w:val="6"/>
      </w:numPr>
      <w:spacing w:before="60" w:after="60" w:line="300" w:lineRule="auto"/>
    </w:pPr>
    <w:rPr>
      <w:rFonts w:eastAsia="Calibri"/>
      <w:sz w:val="27"/>
      <w:szCs w:val="26"/>
    </w:rPr>
  </w:style>
  <w:style w:type="character" w:customStyle="1" w:styleId="Dau-Char">
    <w:name w:val="Dau (-) Char"/>
    <w:link w:val="Dau-"/>
    <w:qFormat/>
    <w:rsid w:val="0011647F"/>
    <w:rPr>
      <w:rFonts w:ascii="Times New Roman" w:eastAsia="Calibri" w:hAnsi="Times New Roman" w:cs="Times New Roman"/>
      <w:sz w:val="27"/>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9335</Characters>
  <Application>Microsoft Office Word</Application>
  <DocSecurity>0</DocSecurity>
  <Lines>77</Lines>
  <Paragraphs>21</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 HAI</dc:creator>
  <cp:keywords/>
  <dc:description/>
  <cp:lastModifiedBy>NGUYEN HO HAI</cp:lastModifiedBy>
  <cp:revision>1</cp:revision>
  <dcterms:created xsi:type="dcterms:W3CDTF">2025-12-18T07:19:00Z</dcterms:created>
  <dcterms:modified xsi:type="dcterms:W3CDTF">2025-12-18T07:20:00Z</dcterms:modified>
</cp:coreProperties>
</file>