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FD00" w14:textId="77777777" w:rsidR="0063295A" w:rsidRPr="008E7E69" w:rsidRDefault="0063295A" w:rsidP="0063295A">
      <w:pPr>
        <w:pStyle w:val="Heading1"/>
        <w:rPr>
          <w:rFonts w:ascii="Times New Roman" w:hAnsi="Times New Roman"/>
          <w:szCs w:val="28"/>
          <w:lang w:val="es-ES"/>
        </w:rPr>
      </w:pPr>
      <w:bookmarkStart w:id="0" w:name="_Toc154510932"/>
      <w:bookmarkStart w:id="1" w:name="_Hlk217372438"/>
      <w:r w:rsidRPr="008E7E69">
        <w:rPr>
          <w:rFonts w:ascii="Times New Roman" w:hAnsi="Times New Roman"/>
          <w:szCs w:val="28"/>
          <w:lang w:val="it-IT"/>
        </w:rPr>
        <w:t xml:space="preserve">PHẦN 2. ĐIỀU </w:t>
      </w:r>
      <w:r w:rsidRPr="008E7E69">
        <w:rPr>
          <w:rFonts w:ascii="Times New Roman" w:hAnsi="Times New Roman"/>
          <w:szCs w:val="28"/>
          <w:lang w:val="es-ES"/>
        </w:rPr>
        <w:t>KHOẢN THAM CHIẾU</w:t>
      </w:r>
      <w:bookmarkEnd w:id="0"/>
    </w:p>
    <w:p w14:paraId="3344C89C" w14:textId="77777777" w:rsidR="0063295A" w:rsidRPr="008E7E69" w:rsidRDefault="0063295A" w:rsidP="0063295A">
      <w:pPr>
        <w:pStyle w:val="Heading1"/>
        <w:rPr>
          <w:rFonts w:ascii="Times New Roman" w:hAnsi="Times New Roman"/>
          <w:szCs w:val="28"/>
          <w:lang w:val="es-ES"/>
        </w:rPr>
      </w:pPr>
      <w:bookmarkStart w:id="2" w:name="_Toc154510933"/>
      <w:r w:rsidRPr="008E7E69">
        <w:rPr>
          <w:rFonts w:ascii="Times New Roman" w:hAnsi="Times New Roman"/>
          <w:szCs w:val="28"/>
          <w:lang w:val="es-ES"/>
        </w:rPr>
        <w:t>CHƯƠNG V. ĐIỀU KHOẢN THAM CHIẾU</w:t>
      </w:r>
      <w:bookmarkEnd w:id="2"/>
    </w:p>
    <w:p w14:paraId="70D0D9D1" w14:textId="77777777" w:rsidR="0063295A" w:rsidRPr="008E7E69" w:rsidRDefault="0063295A" w:rsidP="0063295A">
      <w:pPr>
        <w:spacing w:before="60" w:after="60"/>
        <w:ind w:firstLine="720"/>
        <w:rPr>
          <w:bCs/>
          <w:i/>
          <w:iCs/>
          <w:sz w:val="28"/>
          <w:szCs w:val="28"/>
          <w:lang w:val="it-IT"/>
        </w:rPr>
      </w:pPr>
    </w:p>
    <w:p w14:paraId="17411C44" w14:textId="77777777" w:rsidR="0063295A" w:rsidRPr="008E7E69" w:rsidRDefault="0063295A" w:rsidP="0063295A">
      <w:pPr>
        <w:spacing w:before="60" w:after="60"/>
        <w:ind w:firstLine="720"/>
        <w:rPr>
          <w:i/>
          <w:iCs/>
          <w:sz w:val="28"/>
          <w:szCs w:val="28"/>
          <w:lang w:val="it-IT"/>
        </w:rPr>
      </w:pPr>
      <w:r w:rsidRPr="008E7E69">
        <w:rPr>
          <w:bCs/>
          <w:i/>
          <w:iCs/>
          <w:sz w:val="28"/>
          <w:szCs w:val="28"/>
          <w:lang w:val="it-IT"/>
        </w:rPr>
        <w:t>“Điều khoản tham chiếu" bao gồm những nội dung chủ yếu sau:</w:t>
      </w:r>
    </w:p>
    <w:p w14:paraId="37E62190" w14:textId="77777777" w:rsidR="0063295A" w:rsidRPr="008E7E69" w:rsidRDefault="0063295A" w:rsidP="0063295A">
      <w:pPr>
        <w:spacing w:before="60" w:after="60" w:line="276" w:lineRule="auto"/>
        <w:ind w:firstLine="720"/>
        <w:rPr>
          <w:b/>
          <w:bCs/>
          <w:color w:val="000000"/>
          <w:sz w:val="28"/>
          <w:szCs w:val="28"/>
          <w:lang w:val="it-IT"/>
        </w:rPr>
      </w:pPr>
      <w:bookmarkStart w:id="3" w:name="_Toc248136578"/>
      <w:bookmarkStart w:id="4" w:name="_Toc248137063"/>
      <w:bookmarkStart w:id="5" w:name="_Toc397006918"/>
      <w:bookmarkStart w:id="6" w:name="_Toc397008987"/>
      <w:bookmarkStart w:id="7" w:name="_Toc397009073"/>
      <w:r w:rsidRPr="008E7E69">
        <w:rPr>
          <w:b/>
          <w:color w:val="000000"/>
          <w:sz w:val="28"/>
          <w:szCs w:val="28"/>
          <w:lang w:val="it-IT"/>
        </w:rPr>
        <w:t>I. Giới thiệu:</w:t>
      </w:r>
    </w:p>
    <w:p w14:paraId="12A26862" w14:textId="77777777" w:rsidR="0063295A" w:rsidRPr="008E7E69" w:rsidRDefault="0063295A" w:rsidP="0063295A">
      <w:pPr>
        <w:spacing w:before="60" w:after="60" w:line="276" w:lineRule="auto"/>
        <w:ind w:firstLine="720"/>
        <w:rPr>
          <w:bCs/>
          <w:i/>
          <w:color w:val="000000"/>
          <w:sz w:val="28"/>
          <w:szCs w:val="28"/>
          <w:lang w:val="it-IT"/>
        </w:rPr>
      </w:pPr>
      <w:r w:rsidRPr="008E7E69">
        <w:rPr>
          <w:bCs/>
          <w:i/>
          <w:color w:val="000000"/>
          <w:sz w:val="28"/>
          <w:szCs w:val="28"/>
          <w:lang w:val="it-IT"/>
        </w:rPr>
        <w:t xml:space="preserve">1. </w:t>
      </w:r>
      <w:r w:rsidRPr="008E7E69">
        <w:rPr>
          <w:b/>
          <w:bCs/>
          <w:i/>
          <w:color w:val="000000"/>
          <w:sz w:val="28"/>
          <w:szCs w:val="28"/>
          <w:lang w:val="it-IT"/>
        </w:rPr>
        <w:t>Mô tả khái quát về dự án:</w:t>
      </w:r>
    </w:p>
    <w:p w14:paraId="7B8B2D9F" w14:textId="77777777" w:rsidR="0063295A" w:rsidRPr="008E7E69" w:rsidRDefault="0063295A" w:rsidP="0063295A">
      <w:pPr>
        <w:tabs>
          <w:tab w:val="left" w:pos="851"/>
          <w:tab w:val="left" w:pos="1260"/>
        </w:tabs>
        <w:spacing w:line="276" w:lineRule="auto"/>
        <w:rPr>
          <w:iCs/>
          <w:sz w:val="28"/>
          <w:szCs w:val="28"/>
          <w:lang w:val="it-IT"/>
        </w:rPr>
      </w:pPr>
      <w:r w:rsidRPr="008E7E69">
        <w:rPr>
          <w:iCs/>
          <w:sz w:val="28"/>
          <w:szCs w:val="28"/>
          <w:lang w:val="it-IT"/>
        </w:rPr>
        <w:tab/>
        <w:t xml:space="preserve">Tên dự án: </w:t>
      </w:r>
      <w:bookmarkStart w:id="8" w:name="_Hlk217465322"/>
      <w:r w:rsidRPr="00D67F41">
        <w:rPr>
          <w:spacing w:val="-8"/>
          <w:sz w:val="28"/>
          <w:szCs w:val="28"/>
        </w:rPr>
        <w:t>Trang bị bổ sung xe nâng người phục vụ công tác quản lý vận hành</w:t>
      </w:r>
      <w:bookmarkEnd w:id="8"/>
      <w:r w:rsidRPr="00D67F41">
        <w:rPr>
          <w:spacing w:val="-8"/>
          <w:sz w:val="28"/>
          <w:szCs w:val="28"/>
        </w:rPr>
        <w:t>, sửa chữa và xử lý sự cố cho PTC4</w:t>
      </w:r>
      <w:r>
        <w:rPr>
          <w:spacing w:val="-8"/>
          <w:sz w:val="28"/>
          <w:szCs w:val="28"/>
        </w:rPr>
        <w:t>.</w:t>
      </w:r>
    </w:p>
    <w:p w14:paraId="25622B8B" w14:textId="77777777" w:rsidR="0063295A" w:rsidRPr="008E7E69" w:rsidRDefault="0063295A" w:rsidP="0063295A">
      <w:pPr>
        <w:tabs>
          <w:tab w:val="left" w:pos="900"/>
          <w:tab w:val="left" w:pos="993"/>
        </w:tabs>
        <w:spacing w:before="120" w:line="276" w:lineRule="auto"/>
        <w:ind w:left="539"/>
        <w:rPr>
          <w:b/>
          <w:bCs/>
          <w:sz w:val="28"/>
          <w:szCs w:val="28"/>
          <w:lang w:val="nl-NL"/>
        </w:rPr>
      </w:pPr>
      <w:r w:rsidRPr="008E7E69">
        <w:rPr>
          <w:sz w:val="28"/>
          <w:szCs w:val="28"/>
          <w:lang w:val="nl-NL"/>
        </w:rPr>
        <w:tab/>
      </w:r>
      <w:r w:rsidRPr="008E7E69">
        <w:rPr>
          <w:b/>
          <w:bCs/>
          <w:sz w:val="28"/>
          <w:szCs w:val="28"/>
          <w:lang w:val="nl-NL"/>
        </w:rPr>
        <w:t xml:space="preserve">* Mục tiêu đầu tư dự án: </w:t>
      </w:r>
    </w:p>
    <w:p w14:paraId="422D33DC" w14:textId="77777777" w:rsidR="0063295A" w:rsidRPr="008F5437" w:rsidRDefault="0063295A" w:rsidP="0063295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F5437">
        <w:rPr>
          <w:sz w:val="28"/>
          <w:szCs w:val="28"/>
          <w:lang w:val="nl-NL"/>
        </w:rPr>
        <w:t>Đáp ứng nhu cầu cấp thiết trang bị xe phục vụ vận hành, sửa chữa, xử lý sự cố và các công tác chung như điều chuyển VTTB, kiểm tra, hỗ trợ công việc tại các TBA/đường dây trong các đơn vị thuộc PTC4 quản lý trên địa bàn rộng lớn khắp các tỉnh phía Nam. Chủ động phục vụ trong công tác quản lý vận hành, bảo dưỡng, sửa chữa và đảm bảo xử lý nhanh sự cố lưới truyền tải điện Quốc gia, sớm đưa các thiết bị vào vận hành.</w:t>
      </w:r>
    </w:p>
    <w:p w14:paraId="5B2B59E2" w14:textId="77777777" w:rsidR="0063295A" w:rsidRPr="008F5437" w:rsidRDefault="0063295A" w:rsidP="0063295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F5437">
        <w:rPr>
          <w:sz w:val="28"/>
          <w:szCs w:val="28"/>
          <w:lang w:val="nl-NL"/>
        </w:rPr>
        <w:t xml:space="preserve">Nâng cao khả năng đáp ứng tương đương về khối lượng công việc, địa bàn quản lý, công năng sử dụng, tăng năng suất lao động và an toàn cho CBCNV trong PTC4. Tăng khả năng sẵn sàng hỗ trợ các đơn vị trực thuộc EVNNPT (PTCs, các Ban QLDA) hoàn thành nhiệm vụ chung của EVNNPT và EVN giao. </w:t>
      </w:r>
    </w:p>
    <w:p w14:paraId="29242093" w14:textId="77777777" w:rsidR="0063295A" w:rsidRPr="008F5437" w:rsidRDefault="0063295A" w:rsidP="0063295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F5437">
        <w:rPr>
          <w:sz w:val="28"/>
          <w:szCs w:val="28"/>
          <w:lang w:val="nl-NL"/>
        </w:rPr>
        <w:t xml:space="preserve">Tăng tính linh hoạt trong công tác quản lý vận hành cũng như vận chuyển, điều chuyển VTTB giữa các đơn vị, giảm chi phí và sự phụ thuộc trong việc thuê xe của đơn vị bên ngoài. </w:t>
      </w:r>
    </w:p>
    <w:p w14:paraId="6A026956" w14:textId="77777777" w:rsidR="0063295A" w:rsidRPr="008F5437" w:rsidRDefault="0063295A" w:rsidP="0063295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F5437">
        <w:rPr>
          <w:sz w:val="28"/>
          <w:szCs w:val="28"/>
          <w:lang w:val="nl-NL"/>
        </w:rPr>
        <w:t>Bổ sung, thay thế các xe cẩu đã lắp rổ nâng người không đủ điều kiện vận hành nâng người theo quy định của Thông tư số 85/2014/TT-BGTVT ngày 31/12/2014 và Thông tư số 23/2020/TT-BGTVT ngày 01/10/2020 của Bộ Giao thông Vận tải.</w:t>
      </w:r>
    </w:p>
    <w:p w14:paraId="79900272" w14:textId="77777777" w:rsidR="0063295A" w:rsidRPr="008E7E69" w:rsidRDefault="0063295A" w:rsidP="0063295A">
      <w:pPr>
        <w:tabs>
          <w:tab w:val="left" w:pos="810"/>
          <w:tab w:val="left" w:pos="990"/>
        </w:tabs>
        <w:suppressAutoHyphens/>
        <w:spacing w:before="120" w:line="276" w:lineRule="auto"/>
        <w:ind w:left="539"/>
        <w:rPr>
          <w:sz w:val="28"/>
          <w:szCs w:val="28"/>
        </w:rPr>
      </w:pPr>
      <w:r w:rsidRPr="008E7E69">
        <w:rPr>
          <w:sz w:val="28"/>
          <w:szCs w:val="28"/>
        </w:rPr>
        <w:t>*</w:t>
      </w:r>
      <w:r w:rsidRPr="008E7E69">
        <w:rPr>
          <w:b/>
          <w:sz w:val="28"/>
          <w:szCs w:val="28"/>
        </w:rPr>
        <w:t>Quy mô dự án</w:t>
      </w:r>
      <w:r w:rsidRPr="008E7E69">
        <w:rPr>
          <w:sz w:val="28"/>
          <w:szCs w:val="28"/>
        </w:rPr>
        <w:t xml:space="preserve">: </w:t>
      </w:r>
    </w:p>
    <w:p w14:paraId="24BAD96F" w14:textId="77777777" w:rsidR="0063295A" w:rsidRPr="00506C6D" w:rsidRDefault="0063295A" w:rsidP="0063295A">
      <w:pPr>
        <w:pStyle w:val="Indent3"/>
        <w:numPr>
          <w:ilvl w:val="0"/>
          <w:numId w:val="0"/>
        </w:numPr>
        <w:tabs>
          <w:tab w:val="clear" w:pos="1191"/>
          <w:tab w:val="left" w:pos="0"/>
          <w:tab w:val="left" w:pos="567"/>
        </w:tabs>
        <w:spacing w:before="0" w:after="0" w:line="312" w:lineRule="auto"/>
        <w:ind w:left="142" w:firstLine="218"/>
        <w:rPr>
          <w:rFonts w:eastAsia="Calibri"/>
          <w:sz w:val="28"/>
          <w:szCs w:val="28"/>
          <w:lang w:val="pl-PL"/>
        </w:rPr>
      </w:pPr>
      <w:r>
        <w:rPr>
          <w:rFonts w:eastAsia="Calibri"/>
          <w:sz w:val="28"/>
          <w:szCs w:val="28"/>
          <w:lang w:val="pl-PL"/>
        </w:rPr>
        <w:tab/>
      </w:r>
      <w:r w:rsidRPr="00506C6D">
        <w:rPr>
          <w:rFonts w:eastAsia="Calibri"/>
          <w:sz w:val="28"/>
          <w:szCs w:val="28"/>
          <w:lang w:val="pl-PL"/>
        </w:rPr>
        <w:t xml:space="preserve">Dự án </w:t>
      </w:r>
      <w:r>
        <w:rPr>
          <w:rFonts w:eastAsia="Calibri"/>
          <w:sz w:val="28"/>
          <w:szCs w:val="28"/>
          <w:lang w:val="pl-PL"/>
        </w:rPr>
        <w:t xml:space="preserve">mua sắm </w:t>
      </w:r>
      <w:r w:rsidRPr="00506C6D">
        <w:rPr>
          <w:rFonts w:eastAsia="Calibri"/>
          <w:sz w:val="28"/>
          <w:szCs w:val="28"/>
          <w:lang w:val="pl-PL"/>
        </w:rPr>
        <w:t>trang bị</w:t>
      </w:r>
      <w:r>
        <w:rPr>
          <w:rFonts w:eastAsia="Calibri"/>
          <w:sz w:val="28"/>
          <w:szCs w:val="28"/>
          <w:lang w:val="pl-PL"/>
        </w:rPr>
        <w:t xml:space="preserve">: </w:t>
      </w:r>
      <w:r w:rsidRPr="00506C6D">
        <w:rPr>
          <w:rFonts w:eastAsia="Calibri"/>
          <w:sz w:val="28"/>
          <w:szCs w:val="28"/>
          <w:lang w:val="pl-PL"/>
        </w:rPr>
        <w:t xml:space="preserve">07 xe chuyên dụng gồm 05 xe tải lắp </w:t>
      </w:r>
      <w:r>
        <w:rPr>
          <w:rFonts w:eastAsia="Calibri"/>
          <w:sz w:val="28"/>
          <w:szCs w:val="28"/>
          <w:lang w:val="pl-PL"/>
        </w:rPr>
        <w:t xml:space="preserve">cẩu 8 tấn có </w:t>
      </w:r>
      <w:r w:rsidRPr="00506C6D">
        <w:rPr>
          <w:rFonts w:eastAsia="Calibri"/>
          <w:sz w:val="28"/>
          <w:szCs w:val="28"/>
          <w:lang w:val="pl-PL"/>
        </w:rPr>
        <w:t xml:space="preserve">rổ nâng người </w:t>
      </w:r>
      <w:r>
        <w:rPr>
          <w:rFonts w:eastAsia="Calibri"/>
          <w:sz w:val="28"/>
          <w:szCs w:val="28"/>
          <w:lang w:val="pl-PL"/>
        </w:rPr>
        <w:t xml:space="preserve">làm việc trên cao </w:t>
      </w:r>
      <w:r w:rsidRPr="00506C6D">
        <w:rPr>
          <w:rFonts w:eastAsia="Calibri"/>
          <w:sz w:val="28"/>
          <w:szCs w:val="28"/>
          <w:lang w:val="pl-PL"/>
        </w:rPr>
        <w:t>và 02 xe chuyên d</w:t>
      </w:r>
      <w:r>
        <w:rPr>
          <w:rFonts w:eastAsia="Calibri"/>
          <w:sz w:val="28"/>
          <w:szCs w:val="28"/>
          <w:lang w:val="pl-PL"/>
        </w:rPr>
        <w:t>ụ</w:t>
      </w:r>
      <w:r w:rsidRPr="00506C6D">
        <w:rPr>
          <w:rFonts w:eastAsia="Calibri"/>
          <w:sz w:val="28"/>
          <w:szCs w:val="28"/>
          <w:lang w:val="pl-PL"/>
        </w:rPr>
        <w:t>ng nâng người</w:t>
      </w:r>
      <w:r>
        <w:rPr>
          <w:rFonts w:eastAsia="Calibri"/>
          <w:sz w:val="28"/>
          <w:szCs w:val="28"/>
          <w:lang w:val="pl-PL"/>
        </w:rPr>
        <w:t>.</w:t>
      </w:r>
      <w:r w:rsidRPr="00506C6D">
        <w:rPr>
          <w:rFonts w:eastAsia="Calibri"/>
          <w:sz w:val="28"/>
          <w:szCs w:val="28"/>
          <w:lang w:val="pl-PL"/>
        </w:rPr>
        <w:t xml:space="preserve"> </w:t>
      </w:r>
    </w:p>
    <w:p w14:paraId="2F344148" w14:textId="77777777" w:rsidR="0063295A" w:rsidRDefault="0063295A" w:rsidP="0063295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F5437">
        <w:rPr>
          <w:sz w:val="28"/>
          <w:szCs w:val="28"/>
          <w:lang w:val="nl-NL"/>
        </w:rPr>
        <w:t>T</w:t>
      </w:r>
      <w:r w:rsidRPr="00506C6D">
        <w:rPr>
          <w:sz w:val="28"/>
          <w:szCs w:val="28"/>
          <w:lang w:val="nl-NL"/>
        </w:rPr>
        <w:t>rang bị: 05 xe ô tô tải</w:t>
      </w:r>
      <w:r>
        <w:rPr>
          <w:sz w:val="28"/>
          <w:szCs w:val="28"/>
          <w:lang w:val="nl-NL"/>
        </w:rPr>
        <w:t xml:space="preserve"> </w:t>
      </w:r>
      <w:r w:rsidRPr="00506C6D">
        <w:rPr>
          <w:sz w:val="28"/>
          <w:szCs w:val="28"/>
          <w:lang w:val="nl-NL"/>
        </w:rPr>
        <w:t xml:space="preserve">lắp cẩu </w:t>
      </w:r>
      <w:r>
        <w:rPr>
          <w:sz w:val="28"/>
          <w:szCs w:val="28"/>
          <w:lang w:val="nl-NL"/>
        </w:rPr>
        <w:t>8 tấn có</w:t>
      </w:r>
      <w:r w:rsidRPr="00506C6D">
        <w:rPr>
          <w:sz w:val="28"/>
          <w:szCs w:val="28"/>
          <w:lang w:val="nl-NL"/>
        </w:rPr>
        <w:t xml:space="preserve"> rổ nâng người</w:t>
      </w:r>
      <w:r>
        <w:rPr>
          <w:sz w:val="28"/>
          <w:szCs w:val="28"/>
          <w:lang w:val="nl-NL"/>
        </w:rPr>
        <w:t>,</w:t>
      </w:r>
      <w:r w:rsidRPr="00506C6D">
        <w:rPr>
          <w:sz w:val="28"/>
          <w:szCs w:val="28"/>
          <w:lang w:val="nl-NL"/>
        </w:rPr>
        <w:t xml:space="preserve"> </w:t>
      </w:r>
      <w:r>
        <w:rPr>
          <w:sz w:val="28"/>
          <w:szCs w:val="28"/>
          <w:lang w:val="nl-NL"/>
        </w:rPr>
        <w:t xml:space="preserve">chiều cao </w:t>
      </w:r>
      <w:r w:rsidRPr="00506C6D">
        <w:rPr>
          <w:sz w:val="28"/>
          <w:szCs w:val="28"/>
          <w:lang w:val="nl-NL"/>
        </w:rPr>
        <w:t>làm việc</w:t>
      </w:r>
      <w:r>
        <w:rPr>
          <w:sz w:val="28"/>
          <w:szCs w:val="28"/>
          <w:lang w:val="nl-NL"/>
        </w:rPr>
        <w:t xml:space="preserve">: 24m </w:t>
      </w:r>
      <w:r w:rsidRPr="008F5437">
        <w:rPr>
          <w:sz w:val="28"/>
          <w:szCs w:val="28"/>
          <w:lang w:val="nl-NL"/>
        </w:rPr>
        <w:t>÷ 26m</w:t>
      </w:r>
      <w:r>
        <w:rPr>
          <w:sz w:val="28"/>
          <w:szCs w:val="28"/>
          <w:lang w:val="nl-NL"/>
        </w:rPr>
        <w:t>.</w:t>
      </w:r>
      <w:r w:rsidRPr="00506C6D">
        <w:rPr>
          <w:sz w:val="28"/>
          <w:szCs w:val="28"/>
          <w:lang w:val="nl-NL"/>
        </w:rPr>
        <w:t xml:space="preserve"> </w:t>
      </w:r>
    </w:p>
    <w:p w14:paraId="02B9255A" w14:textId="77777777" w:rsidR="0063295A" w:rsidRPr="00506C6D" w:rsidRDefault="0063295A" w:rsidP="0063295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Pr>
          <w:sz w:val="28"/>
          <w:szCs w:val="28"/>
          <w:lang w:val="nl-NL"/>
        </w:rPr>
        <w:t>T</w:t>
      </w:r>
      <w:r w:rsidRPr="00506C6D">
        <w:rPr>
          <w:sz w:val="28"/>
          <w:szCs w:val="28"/>
          <w:lang w:val="nl-NL"/>
        </w:rPr>
        <w:t>rang bị: 02 xe nâng người chuyên d</w:t>
      </w:r>
      <w:r>
        <w:rPr>
          <w:sz w:val="28"/>
          <w:szCs w:val="28"/>
          <w:lang w:val="nl-NL"/>
        </w:rPr>
        <w:t>ụ</w:t>
      </w:r>
      <w:r w:rsidRPr="00506C6D">
        <w:rPr>
          <w:sz w:val="28"/>
          <w:szCs w:val="28"/>
          <w:lang w:val="nl-NL"/>
        </w:rPr>
        <w:t>ng</w:t>
      </w:r>
      <w:r>
        <w:rPr>
          <w:sz w:val="28"/>
          <w:szCs w:val="28"/>
          <w:lang w:val="nl-NL"/>
        </w:rPr>
        <w:t>,</w:t>
      </w:r>
      <w:r w:rsidRPr="00506C6D">
        <w:rPr>
          <w:sz w:val="28"/>
          <w:szCs w:val="28"/>
          <w:lang w:val="nl-NL"/>
        </w:rPr>
        <w:t xml:space="preserve"> chiều cao </w:t>
      </w:r>
      <w:r>
        <w:rPr>
          <w:sz w:val="28"/>
          <w:szCs w:val="28"/>
          <w:lang w:val="nl-NL"/>
        </w:rPr>
        <w:t xml:space="preserve">làm việc </w:t>
      </w:r>
      <w:r w:rsidRPr="002967A7">
        <w:rPr>
          <w:sz w:val="28"/>
          <w:szCs w:val="28"/>
          <w:lang w:val="nl-NL"/>
        </w:rPr>
        <w:t>3</w:t>
      </w:r>
      <w:r>
        <w:rPr>
          <w:sz w:val="28"/>
          <w:szCs w:val="28"/>
          <w:lang w:val="nl-NL"/>
        </w:rPr>
        <w:t>0</w:t>
      </w:r>
      <w:r w:rsidRPr="002967A7">
        <w:rPr>
          <w:sz w:val="28"/>
          <w:szCs w:val="28"/>
          <w:lang w:val="nl-NL"/>
        </w:rPr>
        <w:t>m</w:t>
      </w:r>
      <w:r w:rsidRPr="008F5437">
        <w:rPr>
          <w:sz w:val="28"/>
          <w:szCs w:val="28"/>
          <w:lang w:val="nl-NL"/>
        </w:rPr>
        <w:t>÷32m</w:t>
      </w:r>
      <w:r w:rsidRPr="002967A7">
        <w:rPr>
          <w:sz w:val="28"/>
          <w:szCs w:val="28"/>
          <w:lang w:val="nl-NL"/>
        </w:rPr>
        <w:t>.</w:t>
      </w:r>
    </w:p>
    <w:p w14:paraId="13DA9808" w14:textId="77777777" w:rsidR="0063295A" w:rsidRPr="00045FE4" w:rsidRDefault="0063295A" w:rsidP="0063295A">
      <w:pPr>
        <w:tabs>
          <w:tab w:val="left" w:pos="810"/>
          <w:tab w:val="left" w:pos="990"/>
        </w:tabs>
        <w:suppressAutoHyphens/>
        <w:spacing w:before="120" w:line="276" w:lineRule="auto"/>
        <w:ind w:left="539"/>
        <w:rPr>
          <w:b/>
          <w:sz w:val="28"/>
          <w:szCs w:val="28"/>
        </w:rPr>
      </w:pPr>
      <w:r w:rsidRPr="00045FE4">
        <w:rPr>
          <w:b/>
          <w:sz w:val="28"/>
          <w:szCs w:val="28"/>
        </w:rPr>
        <w:t>* Tóm tắt về gói thầu:</w:t>
      </w:r>
    </w:p>
    <w:p w14:paraId="44073670" w14:textId="77777777" w:rsidR="0063295A" w:rsidRPr="008A5DB2" w:rsidRDefault="0063295A" w:rsidP="0063295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 xml:space="preserve">Tên gói thầu: </w:t>
      </w:r>
      <w:r w:rsidRPr="00D67F41">
        <w:rPr>
          <w:iCs/>
          <w:sz w:val="28"/>
          <w:szCs w:val="28"/>
        </w:rPr>
        <w:t xml:space="preserve">Gói thầu số </w:t>
      </w:r>
      <w:r>
        <w:rPr>
          <w:iCs/>
          <w:sz w:val="28"/>
          <w:szCs w:val="28"/>
        </w:rPr>
        <w:t>2</w:t>
      </w:r>
      <w:r w:rsidRPr="00D67F41">
        <w:rPr>
          <w:iCs/>
          <w:sz w:val="28"/>
          <w:szCs w:val="28"/>
        </w:rPr>
        <w:t xml:space="preserve">: </w:t>
      </w:r>
      <w:r w:rsidRPr="00A91FFA">
        <w:rPr>
          <w:iCs/>
          <w:sz w:val="28"/>
          <w:szCs w:val="28"/>
        </w:rPr>
        <w:t>Kiểm toán báo cáo quyết toán dự án hoàn thành</w:t>
      </w:r>
    </w:p>
    <w:p w14:paraId="63C034C3" w14:textId="77777777" w:rsidR="0063295A" w:rsidRPr="008A5DB2" w:rsidRDefault="0063295A" w:rsidP="0063295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lastRenderedPageBreak/>
        <w:t>Chủ đầu tư: Công ty Truyền tải điện 4</w:t>
      </w:r>
      <w:r>
        <w:rPr>
          <w:sz w:val="28"/>
          <w:szCs w:val="28"/>
        </w:rPr>
        <w:t xml:space="preserve"> - Chi nhánh Tổng công ty Truyền tải điện Quốc gia.</w:t>
      </w:r>
    </w:p>
    <w:p w14:paraId="5FB50104" w14:textId="77777777" w:rsidR="0063295A" w:rsidRPr="008A5DB2" w:rsidRDefault="0063295A" w:rsidP="0063295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Đơn vị được giao làm chủ đầu tư: Công ty Truyền tải điện 4</w:t>
      </w:r>
      <w:r>
        <w:rPr>
          <w:sz w:val="28"/>
          <w:szCs w:val="28"/>
        </w:rPr>
        <w:t xml:space="preserve"> - Chi nhánh Tổng công ty Truyền tải điện Quốc gia</w:t>
      </w:r>
    </w:p>
    <w:p w14:paraId="3DF4F109" w14:textId="77777777" w:rsidR="0063295A" w:rsidRPr="008A5DB2" w:rsidRDefault="0063295A" w:rsidP="0063295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Nguồn vốn: EVNNPT</w:t>
      </w:r>
    </w:p>
    <w:p w14:paraId="78CFC666" w14:textId="77777777" w:rsidR="0063295A" w:rsidRPr="004D0132" w:rsidRDefault="0063295A" w:rsidP="0063295A">
      <w:pPr>
        <w:numPr>
          <w:ilvl w:val="0"/>
          <w:numId w:val="1"/>
        </w:numPr>
        <w:tabs>
          <w:tab w:val="left" w:pos="0"/>
        </w:tabs>
        <w:spacing w:beforeLines="60" w:before="144" w:afterLines="60" w:after="144" w:line="276" w:lineRule="auto"/>
        <w:ind w:left="0" w:firstLine="360"/>
        <w:rPr>
          <w:sz w:val="28"/>
          <w:szCs w:val="28"/>
        </w:rPr>
      </w:pPr>
      <w:r w:rsidRPr="004D0132">
        <w:rPr>
          <w:sz w:val="28"/>
          <w:szCs w:val="28"/>
        </w:rPr>
        <w:t xml:space="preserve">Giá gói thầu: </w:t>
      </w:r>
      <w:r>
        <w:rPr>
          <w:sz w:val="28"/>
          <w:szCs w:val="28"/>
        </w:rPr>
        <w:t>116.531.215</w:t>
      </w:r>
      <w:r w:rsidRPr="004D0132">
        <w:rPr>
          <w:sz w:val="28"/>
          <w:szCs w:val="28"/>
        </w:rPr>
        <w:t xml:space="preserve"> đồng (bao gồm VAT 10%)</w:t>
      </w:r>
    </w:p>
    <w:p w14:paraId="55FB38FB" w14:textId="77777777" w:rsidR="0063295A" w:rsidRPr="008A5DB2" w:rsidRDefault="0063295A" w:rsidP="0063295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Thời gian thực hiện</w:t>
      </w:r>
      <w:r>
        <w:rPr>
          <w:sz w:val="28"/>
          <w:szCs w:val="28"/>
        </w:rPr>
        <w:t xml:space="preserve"> gói thầu</w:t>
      </w:r>
      <w:r w:rsidRPr="008A5DB2">
        <w:rPr>
          <w:sz w:val="28"/>
          <w:szCs w:val="28"/>
        </w:rPr>
        <w:t>: 10 ngày</w:t>
      </w:r>
    </w:p>
    <w:p w14:paraId="21C5CDD3" w14:textId="77777777" w:rsidR="0063295A" w:rsidRPr="008A5DB2" w:rsidRDefault="0063295A" w:rsidP="0063295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Loại hợp đồng: Trọn gói</w:t>
      </w:r>
    </w:p>
    <w:p w14:paraId="3C75ECEC" w14:textId="77777777" w:rsidR="0063295A" w:rsidRPr="008A5DB2" w:rsidRDefault="0063295A" w:rsidP="0063295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Chi phí kiểm toán của dự án/hạng mục/gói thầu được thanh quyết toán theo quy định tại Hợp đồng.</w:t>
      </w:r>
    </w:p>
    <w:p w14:paraId="130EE856" w14:textId="77777777" w:rsidR="0063295A" w:rsidRPr="008A5DB2" w:rsidRDefault="0063295A" w:rsidP="0063295A">
      <w:pPr>
        <w:spacing w:before="60" w:after="60" w:line="276" w:lineRule="auto"/>
        <w:ind w:firstLine="720"/>
        <w:rPr>
          <w:b/>
          <w:bCs/>
          <w:i/>
          <w:color w:val="000000"/>
          <w:sz w:val="28"/>
          <w:szCs w:val="28"/>
          <w:lang w:val="it-IT"/>
        </w:rPr>
      </w:pPr>
      <w:r w:rsidRPr="008A5DB2">
        <w:rPr>
          <w:b/>
          <w:bCs/>
          <w:i/>
          <w:color w:val="000000"/>
          <w:sz w:val="28"/>
          <w:szCs w:val="28"/>
          <w:lang w:val="it-IT"/>
        </w:rPr>
        <w:t>2. Mô tả mục đích tuyển chọn nhà thầu:</w:t>
      </w:r>
    </w:p>
    <w:p w14:paraId="3DF3F379" w14:textId="77777777" w:rsidR="0063295A" w:rsidRPr="007F69A7" w:rsidRDefault="0063295A" w:rsidP="0063295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 xml:space="preserve">Trên cơ sở nhiệm vụ của dự án và các thông tin đã nêu ở mục </w:t>
      </w:r>
      <w:r>
        <w:rPr>
          <w:sz w:val="28"/>
          <w:szCs w:val="28"/>
        </w:rPr>
        <w:t>1</w:t>
      </w:r>
      <w:r w:rsidRPr="007F69A7">
        <w:rPr>
          <w:sz w:val="28"/>
          <w:szCs w:val="28"/>
        </w:rPr>
        <w:t xml:space="preserve">, mục đích của tuyển chọn tư vấn là: Lựa chọn một nhà thầu tư vấn có kinh nghiệm và khả năng thực hiện các nội dung sau đây với chi phí thấp nhất và tiêu chuẩn chất lượng đảm bảo, hoàn thành hợp đồng đúng hạn. Nhà thầu kiểm toán khi thực hiện kiểm toán quyết toán dự án này phải tuân thủ </w:t>
      </w:r>
      <w:r w:rsidRPr="00BE673D">
        <w:rPr>
          <w:sz w:val="28"/>
          <w:szCs w:val="28"/>
        </w:rPr>
        <w:t>Chuẩn mực Kiểm toán Việt Nam số 1000 Kiểm toán báo cáo quyết toán dự án hoàn thành ban hành kèm theo thông tư số 67/2015/TT-BTC ngày 08/05/2015 của Bộ Tài chính</w:t>
      </w:r>
      <w:r w:rsidRPr="007F69A7">
        <w:rPr>
          <w:sz w:val="28"/>
          <w:szCs w:val="28"/>
        </w:rPr>
        <w:t>.</w:t>
      </w:r>
    </w:p>
    <w:p w14:paraId="52D046B1" w14:textId="77777777" w:rsidR="0063295A" w:rsidRPr="007F69A7" w:rsidRDefault="0063295A" w:rsidP="0063295A">
      <w:pPr>
        <w:numPr>
          <w:ilvl w:val="0"/>
          <w:numId w:val="1"/>
        </w:numPr>
        <w:tabs>
          <w:tab w:val="left" w:pos="0"/>
        </w:tabs>
        <w:spacing w:beforeLines="60" w:before="144" w:afterLines="60" w:after="144" w:line="276" w:lineRule="auto"/>
        <w:ind w:left="0" w:firstLine="360"/>
        <w:rPr>
          <w:sz w:val="28"/>
          <w:szCs w:val="28"/>
          <w:lang w:val="it-IT"/>
        </w:rPr>
      </w:pPr>
      <w:r w:rsidRPr="007F69A7">
        <w:rPr>
          <w:sz w:val="28"/>
          <w:szCs w:val="28"/>
        </w:rPr>
        <w:t>Kiểm toán Dự án theo các hướng dẫn hiện hành của các cơ quan có thẩm quyền và các quy định của Nhà nước.</w:t>
      </w:r>
    </w:p>
    <w:p w14:paraId="1B34D70F" w14:textId="77777777" w:rsidR="0063295A" w:rsidRDefault="0063295A" w:rsidP="0063295A">
      <w:pPr>
        <w:spacing w:before="60" w:after="60" w:line="276" w:lineRule="auto"/>
        <w:ind w:firstLine="720"/>
        <w:rPr>
          <w:b/>
          <w:bCs/>
          <w:color w:val="000000"/>
          <w:sz w:val="28"/>
          <w:szCs w:val="28"/>
          <w:lang w:val="it-IT"/>
        </w:rPr>
      </w:pPr>
      <w:r>
        <w:rPr>
          <w:b/>
          <w:color w:val="000000"/>
          <w:sz w:val="28"/>
          <w:szCs w:val="28"/>
          <w:lang w:val="it-IT"/>
        </w:rPr>
        <w:t>II. Phạm vi công việc:</w:t>
      </w:r>
    </w:p>
    <w:p w14:paraId="552B1D5C" w14:textId="77777777" w:rsidR="0063295A" w:rsidRPr="007F69A7" w:rsidRDefault="0063295A" w:rsidP="0063295A">
      <w:pPr>
        <w:spacing w:before="60" w:after="60" w:line="276" w:lineRule="auto"/>
        <w:ind w:firstLine="360"/>
        <w:rPr>
          <w:sz w:val="28"/>
          <w:szCs w:val="28"/>
        </w:rPr>
      </w:pPr>
      <w:r w:rsidRPr="007F69A7">
        <w:rPr>
          <w:sz w:val="28"/>
          <w:szCs w:val="28"/>
        </w:rPr>
        <w:t xml:space="preserve">Việc kiểm </w:t>
      </w:r>
      <w:r w:rsidRPr="007F69A7">
        <w:rPr>
          <w:sz w:val="28"/>
          <w:szCs w:val="28"/>
          <w:lang w:val="en-GB"/>
        </w:rPr>
        <w:t>toán</w:t>
      </w:r>
      <w:r w:rsidRPr="007F69A7">
        <w:rPr>
          <w:sz w:val="28"/>
          <w:szCs w:val="28"/>
        </w:rPr>
        <w:t xml:space="preserve"> báo cáo quyết toán vốn đầu tư dự án hoàn thành được thực hiện </w:t>
      </w:r>
      <w:r>
        <w:rPr>
          <w:sz w:val="28"/>
          <w:szCs w:val="28"/>
        </w:rPr>
        <w:t>theo quy định của Thông tư số 99/2021/NĐ-CP</w:t>
      </w:r>
      <w:r w:rsidRPr="007F69A7">
        <w:rPr>
          <w:sz w:val="28"/>
          <w:szCs w:val="28"/>
        </w:rPr>
        <w:t xml:space="preserve"> ngày </w:t>
      </w:r>
      <w:r>
        <w:rPr>
          <w:sz w:val="28"/>
          <w:szCs w:val="28"/>
        </w:rPr>
        <w:t>11</w:t>
      </w:r>
      <w:r w:rsidRPr="007F69A7">
        <w:rPr>
          <w:sz w:val="28"/>
          <w:szCs w:val="28"/>
        </w:rPr>
        <w:t>/</w:t>
      </w:r>
      <w:r>
        <w:rPr>
          <w:sz w:val="28"/>
          <w:szCs w:val="28"/>
        </w:rPr>
        <w:t>11</w:t>
      </w:r>
      <w:r w:rsidRPr="007F69A7">
        <w:rPr>
          <w:sz w:val="28"/>
          <w:szCs w:val="28"/>
        </w:rPr>
        <w:t>/202</w:t>
      </w:r>
      <w:r>
        <w:rPr>
          <w:sz w:val="28"/>
          <w:szCs w:val="28"/>
        </w:rPr>
        <w:t>1</w:t>
      </w:r>
      <w:r w:rsidRPr="007F69A7">
        <w:rPr>
          <w:sz w:val="28"/>
          <w:szCs w:val="28"/>
        </w:rPr>
        <w:t xml:space="preserve"> của Bộ Tài Chính về việc hướng dẫn Quyết toán dự án hoàn thành thuộc nguồn vốn Nhà nước; và điều 13,14 của Quyết định 756/QĐ-EVN ngày 07/11/2014 của Tập đoàn Điện lực Việt Nam về việc Quy định về quyết toán dự án hoàn thành trong </w:t>
      </w:r>
      <w:r>
        <w:rPr>
          <w:sz w:val="28"/>
          <w:szCs w:val="28"/>
        </w:rPr>
        <w:t>toàn Tập đoàn và Văn bản số 1197/EVNNPT-TCKT+PC+ĐT</w:t>
      </w:r>
      <w:r w:rsidRPr="007F69A7">
        <w:rPr>
          <w:sz w:val="28"/>
          <w:szCs w:val="28"/>
        </w:rPr>
        <w:t xml:space="preserve"> ngày </w:t>
      </w:r>
      <w:r>
        <w:rPr>
          <w:sz w:val="28"/>
          <w:szCs w:val="28"/>
        </w:rPr>
        <w:t>07/04/2022</w:t>
      </w:r>
      <w:r w:rsidRPr="007F69A7">
        <w:rPr>
          <w:sz w:val="28"/>
          <w:szCs w:val="28"/>
        </w:rPr>
        <w:t xml:space="preserve"> của </w:t>
      </w:r>
      <w:r w:rsidRPr="007F69A7">
        <w:rPr>
          <w:bCs/>
          <w:sz w:val="28"/>
          <w:szCs w:val="28"/>
        </w:rPr>
        <w:t>EVNNPT</w:t>
      </w:r>
      <w:r w:rsidRPr="007F69A7">
        <w:rPr>
          <w:bCs/>
          <w:i/>
          <w:sz w:val="28"/>
          <w:szCs w:val="28"/>
        </w:rPr>
        <w:t xml:space="preserve"> </w:t>
      </w:r>
      <w:r w:rsidRPr="007F69A7">
        <w:rPr>
          <w:sz w:val="28"/>
          <w:szCs w:val="28"/>
        </w:rPr>
        <w:t>về việc công tác kiểm toán, thẩm tra phê duyệt quyết toán dự án ĐTXD hoàn thành.</w:t>
      </w:r>
    </w:p>
    <w:p w14:paraId="72123420" w14:textId="77777777" w:rsidR="0063295A" w:rsidRPr="007F69A7" w:rsidRDefault="0063295A" w:rsidP="0063295A">
      <w:pPr>
        <w:tabs>
          <w:tab w:val="num" w:pos="720"/>
        </w:tabs>
        <w:spacing w:before="60" w:after="60" w:line="276" w:lineRule="auto"/>
        <w:ind w:left="360"/>
        <w:rPr>
          <w:sz w:val="28"/>
          <w:szCs w:val="28"/>
        </w:rPr>
      </w:pPr>
      <w:r w:rsidRPr="007F69A7">
        <w:rPr>
          <w:sz w:val="28"/>
          <w:szCs w:val="28"/>
        </w:rPr>
        <w:tab/>
        <w:t>Nội dung công việc cụ thể của báo cáo kiểm toán bao gồm:</w:t>
      </w:r>
    </w:p>
    <w:p w14:paraId="3F66AA6F" w14:textId="77777777" w:rsidR="0063295A" w:rsidRPr="007F69A7" w:rsidRDefault="0063295A" w:rsidP="0063295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Kiểm tra hồ sơ pháp lý của dự án;</w:t>
      </w:r>
    </w:p>
    <w:p w14:paraId="60A53312" w14:textId="77777777" w:rsidR="0063295A" w:rsidRPr="007F69A7" w:rsidRDefault="0063295A" w:rsidP="0063295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lastRenderedPageBreak/>
        <w:t xml:space="preserve">Kiểm tra nguồn vốn đầu tư theo KH; nguồn vốn đầu tư dự án </w:t>
      </w:r>
      <w:r w:rsidRPr="008A5DB2">
        <w:rPr>
          <w:sz w:val="28"/>
          <w:szCs w:val="28"/>
        </w:rPr>
        <w:t>đã được cấp, được vay; và Nguồn vốn đầu tư thực hiện</w:t>
      </w:r>
      <w:r w:rsidRPr="007F69A7">
        <w:rPr>
          <w:sz w:val="28"/>
          <w:szCs w:val="28"/>
        </w:rPr>
        <w:t>;</w:t>
      </w:r>
    </w:p>
    <w:p w14:paraId="3CA53612" w14:textId="77777777" w:rsidR="0063295A" w:rsidRPr="007F69A7" w:rsidRDefault="0063295A" w:rsidP="0063295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Kiểm tra giá trị khối lượng xây lắp hoàn thành các hạng mục công trình và toàn bộ dự án;</w:t>
      </w:r>
    </w:p>
    <w:p w14:paraId="29182609" w14:textId="77777777" w:rsidR="0063295A" w:rsidRPr="007F69A7" w:rsidRDefault="0063295A" w:rsidP="0063295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Kiểm tra giá trị khối lượng thiết bị hoàn thành;</w:t>
      </w:r>
    </w:p>
    <w:p w14:paraId="1E77E46A" w14:textId="77777777" w:rsidR="0063295A" w:rsidRPr="007F69A7" w:rsidRDefault="0063295A" w:rsidP="0063295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Kiểm tra các khoản chi phí khác, việc phân bổ chi phí này cho các hạng mục công trình;</w:t>
      </w:r>
    </w:p>
    <w:p w14:paraId="7882725F" w14:textId="77777777" w:rsidR="0063295A" w:rsidRPr="007F69A7" w:rsidRDefault="0063295A" w:rsidP="0063295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 xml:space="preserve">Kiểm tra chi phí đầu tư không tính vào giá trị tài sản bàn giao; </w:t>
      </w:r>
    </w:p>
    <w:p w14:paraId="3F6AABBC" w14:textId="77777777" w:rsidR="0063295A" w:rsidRPr="007F69A7" w:rsidRDefault="0063295A" w:rsidP="0063295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Kiểm tra giá trị tài sản bàn giao cho đơn vị sử dụng;</w:t>
      </w:r>
    </w:p>
    <w:p w14:paraId="7A4B23A2" w14:textId="77777777" w:rsidR="0063295A" w:rsidRPr="007F69A7" w:rsidRDefault="0063295A" w:rsidP="0063295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Kiểm tra tình hình công nợ, giá trị vật tư, thiết bị tồn đọng.</w:t>
      </w:r>
    </w:p>
    <w:p w14:paraId="2FA303F9" w14:textId="77777777" w:rsidR="0063295A" w:rsidRPr="007F69A7" w:rsidRDefault="0063295A" w:rsidP="0063295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Kiểm tra xác định số lượng, giá trị còn lại của các tài sản của PTC4, tiền mặt, tiền gửi Ngân hàng.</w:t>
      </w:r>
    </w:p>
    <w:p w14:paraId="1BDC46B2" w14:textId="77777777" w:rsidR="0063295A" w:rsidRPr="008A5DB2" w:rsidRDefault="0063295A" w:rsidP="0063295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Kiểm tra xác định số lượng, giá trị còn lại các tài sản của PTC4.</w:t>
      </w:r>
    </w:p>
    <w:p w14:paraId="6C90C8F8" w14:textId="77777777" w:rsidR="0063295A" w:rsidRPr="008A5DB2" w:rsidRDefault="0063295A" w:rsidP="0063295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Nêu ý kiến ngoại trừ trong Báo cáo Kiểm toán trong trường hợp phát hiện còn có các nội dung ảnh hưởng đến kết quả kiểm toán.</w:t>
      </w:r>
    </w:p>
    <w:p w14:paraId="097AB5AD" w14:textId="77777777" w:rsidR="0063295A" w:rsidRPr="008A5DB2" w:rsidRDefault="0063295A" w:rsidP="0063295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Có nhận xét về các công việc thực hiện theo hợp đồng kiểm toán kể cả các công việc EVNNPT quy định bổ sung.</w:t>
      </w:r>
    </w:p>
    <w:p w14:paraId="439870C2" w14:textId="77777777" w:rsidR="0063295A" w:rsidRPr="008A5DB2" w:rsidRDefault="0063295A" w:rsidP="0063295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Khi nhận xét về kết quả kiểm toán nếu có thiếu sót kiểm toán nêu các ý kiến ngoại trừ thì kiểm toán độc lập phải xác định mức độ ảnh hưởng đến kết quả kiểm toán và nêu quan điểm của kiểm toán về phương án khắc phục.</w:t>
      </w:r>
    </w:p>
    <w:p w14:paraId="4A2AA42F" w14:textId="77777777" w:rsidR="0063295A" w:rsidRDefault="0063295A" w:rsidP="0063295A">
      <w:pPr>
        <w:spacing w:before="60" w:after="60" w:line="276" w:lineRule="auto"/>
        <w:ind w:firstLine="720"/>
        <w:rPr>
          <w:b/>
          <w:bCs/>
          <w:color w:val="000000"/>
          <w:sz w:val="28"/>
          <w:szCs w:val="28"/>
          <w:lang w:val="it-IT"/>
        </w:rPr>
      </w:pPr>
      <w:r>
        <w:rPr>
          <w:b/>
          <w:color w:val="000000"/>
          <w:sz w:val="28"/>
          <w:szCs w:val="28"/>
          <w:lang w:val="it-IT"/>
        </w:rPr>
        <w:t>III. Báo cáo và thời gian thực hiện:</w:t>
      </w:r>
    </w:p>
    <w:p w14:paraId="60E97384" w14:textId="77777777" w:rsidR="0063295A" w:rsidRPr="007F69A7" w:rsidRDefault="0063295A" w:rsidP="0063295A">
      <w:pPr>
        <w:numPr>
          <w:ilvl w:val="0"/>
          <w:numId w:val="1"/>
        </w:numPr>
        <w:tabs>
          <w:tab w:val="left" w:pos="0"/>
        </w:tabs>
        <w:spacing w:beforeLines="60" w:before="144" w:afterLines="60" w:after="144" w:line="276" w:lineRule="auto"/>
        <w:rPr>
          <w:sz w:val="28"/>
          <w:szCs w:val="28"/>
        </w:rPr>
      </w:pPr>
      <w:r w:rsidRPr="007F69A7">
        <w:rPr>
          <w:sz w:val="28"/>
          <w:szCs w:val="28"/>
        </w:rPr>
        <w:t xml:space="preserve">Nhà thầu phải nộp các báo cáo Kiểm toán đã thực hiện hằng tuần cho </w:t>
      </w:r>
      <w:r>
        <w:rPr>
          <w:sz w:val="28"/>
          <w:szCs w:val="28"/>
        </w:rPr>
        <w:t>Chủ đầu tư</w:t>
      </w:r>
      <w:r w:rsidRPr="007F69A7">
        <w:rPr>
          <w:sz w:val="28"/>
          <w:szCs w:val="28"/>
        </w:rPr>
        <w:t xml:space="preserve">. Thời gian nộp báo cáo là thứ sáu hằng tuần. Ngoài ra, tùy theo tình hình công việc đột xuất liên quan đến kiểm toán, </w:t>
      </w:r>
      <w:r>
        <w:rPr>
          <w:sz w:val="28"/>
          <w:szCs w:val="28"/>
        </w:rPr>
        <w:t>Chủ đầu tư</w:t>
      </w:r>
      <w:r w:rsidRPr="007F69A7">
        <w:rPr>
          <w:sz w:val="28"/>
          <w:szCs w:val="28"/>
        </w:rPr>
        <w:t xml:space="preserve"> có quyền yêu cầu nhà thầu báo cáo các công việc liên quan mà không đòi hỏi bất kỳ quyền lợi nào.</w:t>
      </w:r>
    </w:p>
    <w:p w14:paraId="770183FD" w14:textId="77777777" w:rsidR="0063295A" w:rsidRPr="007F69A7" w:rsidRDefault="0063295A" w:rsidP="0063295A">
      <w:pPr>
        <w:numPr>
          <w:ilvl w:val="0"/>
          <w:numId w:val="1"/>
        </w:numPr>
        <w:tabs>
          <w:tab w:val="left" w:pos="0"/>
        </w:tabs>
        <w:spacing w:beforeLines="60" w:before="144" w:afterLines="60" w:after="144" w:line="276" w:lineRule="auto"/>
        <w:rPr>
          <w:sz w:val="28"/>
          <w:szCs w:val="28"/>
        </w:rPr>
      </w:pPr>
      <w:r>
        <w:rPr>
          <w:sz w:val="28"/>
          <w:szCs w:val="28"/>
        </w:rPr>
        <w:t>Thời gian thực hiện: 10</w:t>
      </w:r>
      <w:r w:rsidRPr="007F69A7">
        <w:rPr>
          <w:sz w:val="28"/>
          <w:szCs w:val="28"/>
        </w:rPr>
        <w:t xml:space="preserve"> ngày.</w:t>
      </w:r>
    </w:p>
    <w:p w14:paraId="1031767A" w14:textId="77777777" w:rsidR="0063295A" w:rsidRDefault="0063295A" w:rsidP="0063295A">
      <w:pPr>
        <w:spacing w:before="60" w:after="60" w:line="276" w:lineRule="auto"/>
        <w:ind w:firstLine="720"/>
        <w:rPr>
          <w:b/>
          <w:color w:val="000000"/>
          <w:sz w:val="28"/>
          <w:szCs w:val="28"/>
          <w:lang w:val="it-IT"/>
        </w:rPr>
      </w:pPr>
      <w:r>
        <w:rPr>
          <w:b/>
          <w:color w:val="000000"/>
          <w:sz w:val="28"/>
          <w:szCs w:val="28"/>
          <w:lang w:val="it-IT"/>
        </w:rPr>
        <w:t>IV. Kinh nghiệm và nhân sự của nhà thầu:</w:t>
      </w:r>
    </w:p>
    <w:p w14:paraId="549AD9A5" w14:textId="77777777" w:rsidR="0063295A" w:rsidRPr="008058E9" w:rsidRDefault="0063295A" w:rsidP="0063295A">
      <w:pPr>
        <w:tabs>
          <w:tab w:val="left" w:pos="0"/>
        </w:tabs>
        <w:spacing w:beforeLines="60" w:before="144" w:afterLines="60" w:after="144" w:line="276" w:lineRule="auto"/>
        <w:ind w:left="720"/>
        <w:rPr>
          <w:sz w:val="28"/>
          <w:szCs w:val="28"/>
          <w:lang w:val="it-IT"/>
        </w:rPr>
      </w:pPr>
      <w:r w:rsidRPr="008058E9">
        <w:rPr>
          <w:sz w:val="28"/>
          <w:szCs w:val="28"/>
          <w:lang w:val="it-IT"/>
        </w:rPr>
        <w:t>Quy định chi tiết tại chương III. Tiêu chuẩn đánh giá E-HSDT</w:t>
      </w:r>
    </w:p>
    <w:p w14:paraId="539C790A" w14:textId="77777777" w:rsidR="0063295A" w:rsidRDefault="0063295A" w:rsidP="0063295A">
      <w:pPr>
        <w:spacing w:before="60" w:after="60" w:line="276" w:lineRule="auto"/>
        <w:ind w:firstLine="720"/>
        <w:rPr>
          <w:b/>
          <w:bCs/>
          <w:color w:val="000000"/>
          <w:sz w:val="28"/>
          <w:szCs w:val="28"/>
          <w:lang w:val="it-IT"/>
        </w:rPr>
      </w:pPr>
      <w:r>
        <w:rPr>
          <w:b/>
          <w:color w:val="000000"/>
          <w:sz w:val="28"/>
          <w:szCs w:val="28"/>
          <w:lang w:val="it-IT"/>
        </w:rPr>
        <w:lastRenderedPageBreak/>
        <w:t>V. Trách nhiệm của Chủ đầu tư:</w:t>
      </w:r>
    </w:p>
    <w:p w14:paraId="34DC5644" w14:textId="77777777" w:rsidR="0063295A" w:rsidRPr="007F69A7" w:rsidRDefault="0063295A" w:rsidP="0063295A">
      <w:pPr>
        <w:numPr>
          <w:ilvl w:val="0"/>
          <w:numId w:val="1"/>
        </w:numPr>
        <w:tabs>
          <w:tab w:val="left" w:pos="0"/>
        </w:tabs>
        <w:spacing w:beforeLines="60" w:before="144" w:afterLines="60" w:after="144" w:line="276" w:lineRule="auto"/>
        <w:rPr>
          <w:sz w:val="28"/>
          <w:szCs w:val="28"/>
          <w:lang w:val="es-ES"/>
        </w:rPr>
      </w:pPr>
      <w:r w:rsidRPr="007F69A7">
        <w:rPr>
          <w:sz w:val="28"/>
          <w:szCs w:val="28"/>
          <w:lang w:val="es-ES"/>
        </w:rPr>
        <w:t>Tạo điều kiện, giúp đỡ đơn vị Tư vấn trong quá trình kiểm toán dự án.</w:t>
      </w:r>
    </w:p>
    <w:p w14:paraId="03E63C2F" w14:textId="77777777" w:rsidR="0063295A" w:rsidRPr="007F69A7" w:rsidRDefault="0063295A" w:rsidP="0063295A">
      <w:pPr>
        <w:numPr>
          <w:ilvl w:val="0"/>
          <w:numId w:val="1"/>
        </w:numPr>
        <w:tabs>
          <w:tab w:val="left" w:pos="0"/>
        </w:tabs>
        <w:spacing w:beforeLines="60" w:before="144" w:afterLines="60" w:after="144" w:line="276" w:lineRule="auto"/>
        <w:rPr>
          <w:sz w:val="28"/>
          <w:szCs w:val="28"/>
          <w:lang w:val="nl-NL"/>
        </w:rPr>
      </w:pPr>
      <w:r w:rsidRPr="007F69A7">
        <w:rPr>
          <w:sz w:val="28"/>
          <w:szCs w:val="28"/>
          <w:lang w:val="es-ES"/>
        </w:rPr>
        <w:t>Cung cấp các tài liệu liên quan của dự án hiện có.</w:t>
      </w:r>
    </w:p>
    <w:p w14:paraId="329F8382" w14:textId="77777777" w:rsidR="0063295A" w:rsidRPr="007F69A7" w:rsidRDefault="0063295A" w:rsidP="0063295A">
      <w:pPr>
        <w:spacing w:before="60" w:after="60" w:line="276" w:lineRule="auto"/>
        <w:ind w:firstLine="720"/>
        <w:rPr>
          <w:b/>
          <w:sz w:val="28"/>
          <w:szCs w:val="28"/>
          <w:lang w:val="it-IT"/>
        </w:rPr>
      </w:pPr>
      <w:r w:rsidRPr="007F69A7">
        <w:rPr>
          <w:b/>
          <w:sz w:val="28"/>
          <w:szCs w:val="28"/>
          <w:lang w:val="it-IT"/>
        </w:rPr>
        <w:t>VI. Trách nhiệm của nhà thầu kiểm toán</w:t>
      </w:r>
    </w:p>
    <w:p w14:paraId="2C84E10D" w14:textId="77777777" w:rsidR="0063295A" w:rsidRPr="007F69A7" w:rsidRDefault="0063295A" w:rsidP="0063295A">
      <w:pPr>
        <w:numPr>
          <w:ilvl w:val="0"/>
          <w:numId w:val="1"/>
        </w:numPr>
        <w:tabs>
          <w:tab w:val="left" w:pos="0"/>
        </w:tabs>
        <w:spacing w:beforeLines="60" w:before="144" w:afterLines="60" w:after="144" w:line="276" w:lineRule="auto"/>
        <w:rPr>
          <w:sz w:val="28"/>
          <w:szCs w:val="28"/>
          <w:lang w:val="nl-NL"/>
        </w:rPr>
      </w:pPr>
      <w:r w:rsidRPr="007F69A7">
        <w:rPr>
          <w:sz w:val="28"/>
          <w:szCs w:val="28"/>
          <w:lang w:val="nl-NL"/>
        </w:rPr>
        <w:t>Bảo đảm tuân thủ các chuẩn mực kiểm toán hiện hành.</w:t>
      </w:r>
    </w:p>
    <w:p w14:paraId="00BA8CDD" w14:textId="77777777" w:rsidR="0063295A" w:rsidRPr="007F69A7" w:rsidRDefault="0063295A" w:rsidP="0063295A">
      <w:pPr>
        <w:numPr>
          <w:ilvl w:val="0"/>
          <w:numId w:val="1"/>
        </w:numPr>
        <w:tabs>
          <w:tab w:val="left" w:pos="0"/>
        </w:tabs>
        <w:spacing w:beforeLines="60" w:before="144" w:afterLines="60" w:after="144" w:line="276" w:lineRule="auto"/>
        <w:rPr>
          <w:sz w:val="28"/>
          <w:szCs w:val="28"/>
          <w:lang w:val="nl-NL"/>
        </w:rPr>
      </w:pPr>
      <w:r w:rsidRPr="007F69A7">
        <w:rPr>
          <w:sz w:val="28"/>
          <w:szCs w:val="28"/>
        </w:rPr>
        <w:t>Chịu trách nhiệm trước pháp luật và chủ đầu tư về nội dung và tính đúng đắn của số liệu trong báo cáo kiểm toán trên cơ sở hồ sơ quyết toán do chủ đầu tư cung cấp.</w:t>
      </w:r>
    </w:p>
    <w:p w14:paraId="0FBAA54C" w14:textId="77777777" w:rsidR="0063295A" w:rsidRPr="008E7E69" w:rsidRDefault="0063295A" w:rsidP="0063295A">
      <w:pPr>
        <w:numPr>
          <w:ilvl w:val="0"/>
          <w:numId w:val="1"/>
        </w:numPr>
        <w:tabs>
          <w:tab w:val="left" w:pos="0"/>
        </w:tabs>
        <w:spacing w:beforeLines="60" w:before="144" w:afterLines="60" w:after="144" w:line="276" w:lineRule="auto"/>
        <w:rPr>
          <w:sz w:val="28"/>
          <w:szCs w:val="28"/>
        </w:rPr>
      </w:pPr>
      <w:r w:rsidRPr="007F69A7">
        <w:rPr>
          <w:sz w:val="28"/>
          <w:szCs w:val="28"/>
        </w:rPr>
        <w:t xml:space="preserve">Cùng </w:t>
      </w:r>
      <w:r>
        <w:rPr>
          <w:sz w:val="28"/>
          <w:szCs w:val="28"/>
        </w:rPr>
        <w:t>Chủ đầu tư</w:t>
      </w:r>
      <w:r w:rsidRPr="007F69A7">
        <w:rPr>
          <w:sz w:val="28"/>
          <w:szCs w:val="28"/>
        </w:rPr>
        <w:t xml:space="preserve"> làm việc với các bên hữu quan, với cơ quan thẩm tra phê duyệt báo cáo quyết toán (khi có yêu cầu của </w:t>
      </w:r>
      <w:r>
        <w:rPr>
          <w:sz w:val="28"/>
          <w:szCs w:val="28"/>
        </w:rPr>
        <w:t>chủ đầu tư</w:t>
      </w:r>
      <w:r w:rsidRPr="007F69A7">
        <w:rPr>
          <w:sz w:val="28"/>
          <w:szCs w:val="28"/>
        </w:rPr>
        <w:t>) và đề xuất các giải pháp liên quan đến kết quả của cuộc kiểm toán.</w:t>
      </w:r>
    </w:p>
    <w:p w14:paraId="06641221" w14:textId="77777777" w:rsidR="0063295A" w:rsidRDefault="0063295A" w:rsidP="0063295A">
      <w:pPr>
        <w:spacing w:before="60" w:after="60"/>
        <w:ind w:firstLine="720"/>
        <w:rPr>
          <w:i/>
          <w:iCs/>
          <w:color w:val="000000"/>
          <w:sz w:val="28"/>
          <w:szCs w:val="28"/>
          <w:lang w:val="it-IT"/>
        </w:rPr>
      </w:pPr>
    </w:p>
    <w:bookmarkEnd w:id="1"/>
    <w:bookmarkEnd w:id="3"/>
    <w:bookmarkEnd w:id="4"/>
    <w:bookmarkEnd w:id="5"/>
    <w:bookmarkEnd w:id="6"/>
    <w:bookmarkEnd w:id="7"/>
    <w:p w14:paraId="48183FD6" w14:textId="5B81C9A5" w:rsidR="0063295A" w:rsidRPr="00F11555" w:rsidRDefault="0063295A" w:rsidP="0063295A">
      <w:pPr>
        <w:pStyle w:val="Heading1"/>
        <w:jc w:val="both"/>
        <w:rPr>
          <w:rFonts w:ascii="Times New Roman" w:hAnsi="Times New Roman"/>
          <w:lang w:val="it-IT"/>
        </w:rPr>
      </w:pPr>
    </w:p>
    <w:sectPr w:rsidR="0063295A" w:rsidRPr="00F11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635D2"/>
    <w:multiLevelType w:val="hybridMultilevel"/>
    <w:tmpl w:val="29D2B4FE"/>
    <w:lvl w:ilvl="0" w:tplc="FFFFFFFF">
      <w:start w:val="1"/>
      <w:numFmt w:val="bullet"/>
      <w:pStyle w:val="Indent3"/>
      <w:lvlText w:val=""/>
      <w:lvlJc w:val="left"/>
      <w:pPr>
        <w:ind w:left="720" w:hanging="360"/>
      </w:pPr>
      <w:rPr>
        <w:rFonts w:ascii="Symbol" w:hAnsi="Symbol" w:hint="default"/>
        <w:b w:val="0"/>
        <w:i w:val="0"/>
        <w:caps w:val="0"/>
        <w:strike w:val="0"/>
        <w:dstrike w:val="0"/>
        <w:vanish w:val="0"/>
        <w:color w:val="auto"/>
        <w:sz w:val="22"/>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2FB7A5A"/>
    <w:multiLevelType w:val="hybridMultilevel"/>
    <w:tmpl w:val="67EE757A"/>
    <w:lvl w:ilvl="0" w:tplc="40123C12">
      <w:start w:val="1"/>
      <w:numFmt w:val="bullet"/>
      <w:lvlText w:val="-"/>
      <w:lvlJc w:val="left"/>
      <w:pPr>
        <w:ind w:left="720" w:hanging="360"/>
      </w:pPr>
      <w:rPr>
        <w:rFonts w:ascii="Times New Roman" w:eastAsia="Calibri" w:hAnsi="Times New Roman" w:cs="Times New Roman" w:hint="default"/>
      </w:rPr>
    </w:lvl>
    <w:lvl w:ilvl="1" w:tplc="9DD4705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C328FA"/>
    <w:multiLevelType w:val="hybridMultilevel"/>
    <w:tmpl w:val="2B70C7DC"/>
    <w:lvl w:ilvl="0" w:tplc="7C0C66E8">
      <w:start w:val="1"/>
      <w:numFmt w:val="bullet"/>
      <w:lvlText w:val="­"/>
      <w:lvlJc w:val="left"/>
      <w:pPr>
        <w:tabs>
          <w:tab w:val="num" w:pos="1494"/>
        </w:tabs>
        <w:ind w:left="1494" w:hanging="567"/>
      </w:pPr>
      <w:rPr>
        <w:rFonts w:ascii="Times New Roman" w:hAnsi="Times New Roman" w:cs="Times New Roman" w:hint="default"/>
        <w:color w:val="auto"/>
      </w:rPr>
    </w:lvl>
    <w:lvl w:ilvl="1" w:tplc="128CFB3E">
      <w:start w:val="1"/>
      <w:numFmt w:val="bullet"/>
      <w:lvlText w:val=""/>
      <w:lvlJc w:val="left"/>
      <w:pPr>
        <w:ind w:left="2007" w:hanging="360"/>
      </w:pPr>
      <w:rPr>
        <w:rFonts w:ascii="Symbol" w:hAnsi="Symbol" w:hint="default"/>
      </w:rPr>
    </w:lvl>
    <w:lvl w:ilvl="2" w:tplc="0409001B">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5A"/>
    <w:rsid w:val="003607F5"/>
    <w:rsid w:val="0063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5B51"/>
  <w15:chartTrackingRefBased/>
  <w15:docId w15:val="{48792742-1CB2-4FCB-96A2-FD719E94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95A"/>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63295A"/>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63295A"/>
    <w:rPr>
      <w:rFonts w:ascii="Times New Roman Bold" w:eastAsia="Times New Roman" w:hAnsi="Times New Roman Bold" w:cs="Times New Roman"/>
      <w:b/>
      <w:sz w:val="28"/>
      <w:szCs w:val="20"/>
    </w:rPr>
  </w:style>
  <w:style w:type="paragraph" w:customStyle="1" w:styleId="Indent3">
    <w:name w:val="Indent3"/>
    <w:basedOn w:val="Normal"/>
    <w:uiPriority w:val="99"/>
    <w:qFormat/>
    <w:rsid w:val="0063295A"/>
    <w:pPr>
      <w:numPr>
        <w:numId w:val="3"/>
      </w:numPr>
      <w:tabs>
        <w:tab w:val="left" w:pos="1191"/>
      </w:tabs>
      <w:spacing w:before="40" w:after="60"/>
    </w:pPr>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2025-12-24T03:41:00Z</dcterms:created>
  <dcterms:modified xsi:type="dcterms:W3CDTF">2025-12-24T04:07:00Z</dcterms:modified>
</cp:coreProperties>
</file>