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F543B" w14:textId="77777777" w:rsidR="00326D26" w:rsidRPr="00FE1639" w:rsidRDefault="00326D26" w:rsidP="00326D26">
      <w:pPr>
        <w:spacing w:before="60" w:after="60"/>
        <w:ind w:firstLine="567"/>
        <w:rPr>
          <w:bCs/>
          <w:i/>
          <w:sz w:val="28"/>
          <w:szCs w:val="28"/>
          <w:lang w:val="es-ES"/>
        </w:rPr>
      </w:pPr>
      <w:bookmarkStart w:id="0" w:name="_GoBack"/>
    </w:p>
    <w:p w14:paraId="1EAC849C" w14:textId="77777777" w:rsidR="006A28F5" w:rsidRPr="00FE1639" w:rsidRDefault="006A28F5" w:rsidP="006A28F5">
      <w:pPr>
        <w:rPr>
          <w:bCs/>
          <w:i/>
          <w:sz w:val="28"/>
          <w:szCs w:val="28"/>
          <w:lang w:val="es-ES"/>
        </w:rPr>
      </w:pPr>
    </w:p>
    <w:p w14:paraId="07AF7705" w14:textId="50171461" w:rsidR="00326D26" w:rsidRPr="00FE1639" w:rsidRDefault="006A28F5" w:rsidP="006A28F5">
      <w:pPr>
        <w:tabs>
          <w:tab w:val="left" w:pos="2581"/>
        </w:tabs>
        <w:rPr>
          <w:bCs/>
          <w:sz w:val="28"/>
          <w:szCs w:val="28"/>
        </w:rPr>
      </w:pPr>
      <w:r w:rsidRPr="00FE1639">
        <w:rPr>
          <w:bCs/>
          <w:i/>
          <w:sz w:val="28"/>
          <w:szCs w:val="28"/>
          <w:lang w:val="es-ES"/>
        </w:rPr>
        <w:tab/>
      </w:r>
      <w:r w:rsidR="00326D26" w:rsidRPr="00FE1639">
        <w:rPr>
          <w:bCs/>
          <w:sz w:val="28"/>
          <w:szCs w:val="28"/>
        </w:rPr>
        <w:t>CHƯƠNG V - PHẦN II -  YÊU CẦU VỀ KỸ THUẬT</w:t>
      </w:r>
    </w:p>
    <w:p w14:paraId="7175A29A" w14:textId="77777777" w:rsidR="00326D26" w:rsidRPr="00FE1639" w:rsidRDefault="00326D26" w:rsidP="00326D26">
      <w:pPr>
        <w:spacing w:before="40" w:after="40"/>
        <w:ind w:firstLine="567"/>
        <w:rPr>
          <w:sz w:val="28"/>
          <w:szCs w:val="28"/>
        </w:rPr>
      </w:pPr>
      <w:r w:rsidRPr="00FE1639">
        <w:rPr>
          <w:sz w:val="28"/>
          <w:szCs w:val="28"/>
        </w:rPr>
        <w:t>I. PHẠM VI CÔNG VIỆC CỦA GÓI THẦU:</w:t>
      </w:r>
    </w:p>
    <w:p w14:paraId="48EBD918" w14:textId="77777777" w:rsidR="00326D26" w:rsidRPr="00FE1639" w:rsidRDefault="00326D26" w:rsidP="00326D26">
      <w:pPr>
        <w:spacing w:before="120" w:after="120"/>
        <w:ind w:firstLine="567"/>
        <w:rPr>
          <w:sz w:val="28"/>
          <w:szCs w:val="28"/>
          <w:lang w:val="en-GB"/>
        </w:rPr>
      </w:pPr>
      <w:r w:rsidRPr="00FE1639">
        <w:rPr>
          <w:sz w:val="28"/>
          <w:szCs w:val="28"/>
          <w:lang w:val="en-GB"/>
        </w:rPr>
        <w:t>I. Phạm vi công việc của gó</w:t>
      </w:r>
      <w:bookmarkStart w:id="1" w:name="_Hlk45898232"/>
      <w:bookmarkStart w:id="2" w:name="_Hlk42496468"/>
      <w:r w:rsidRPr="00FE1639">
        <w:rPr>
          <w:sz w:val="28"/>
          <w:szCs w:val="28"/>
          <w:lang w:val="en-GB"/>
        </w:rPr>
        <w:t>i thầu:</w:t>
      </w:r>
    </w:p>
    <w:p w14:paraId="1AF43DF8" w14:textId="20332801" w:rsidR="00326D26" w:rsidRPr="00FE1639" w:rsidRDefault="00326D26" w:rsidP="00326D26">
      <w:pPr>
        <w:spacing w:before="120"/>
        <w:ind w:firstLine="567"/>
        <w:rPr>
          <w:sz w:val="28"/>
          <w:szCs w:val="28"/>
        </w:rPr>
      </w:pPr>
      <w:r w:rsidRPr="00FE1639">
        <w:rPr>
          <w:sz w:val="28"/>
          <w:szCs w:val="28"/>
        </w:rPr>
        <w:t xml:space="preserve">- Chủ đầu tư: Ban quản lý dự án đầu tư xây dựng </w:t>
      </w:r>
      <w:r w:rsidR="00227E13" w:rsidRPr="00FE1639">
        <w:rPr>
          <w:sz w:val="28"/>
          <w:szCs w:val="28"/>
        </w:rPr>
        <w:t>khu vực</w:t>
      </w:r>
      <w:r w:rsidRPr="00FE1639">
        <w:rPr>
          <w:sz w:val="28"/>
          <w:szCs w:val="28"/>
        </w:rPr>
        <w:t xml:space="preserve"> Bảo Lộc.</w:t>
      </w:r>
    </w:p>
    <w:p w14:paraId="26FA1B2D" w14:textId="70C11F32" w:rsidR="00326D26" w:rsidRPr="00FE1639" w:rsidRDefault="00326D26" w:rsidP="00326D26">
      <w:pPr>
        <w:adjustRightInd w:val="0"/>
        <w:snapToGrid w:val="0"/>
        <w:spacing w:before="80"/>
        <w:ind w:firstLine="567"/>
        <w:rPr>
          <w:sz w:val="28"/>
          <w:szCs w:val="28"/>
          <w:lang w:val="pt-BR"/>
        </w:rPr>
      </w:pPr>
      <w:r w:rsidRPr="00FE1639">
        <w:rPr>
          <w:bCs/>
          <w:sz w:val="28"/>
          <w:szCs w:val="28"/>
        </w:rPr>
        <w:t xml:space="preserve">- </w:t>
      </w:r>
      <w:r w:rsidRPr="00FE1639">
        <w:rPr>
          <w:sz w:val="28"/>
          <w:szCs w:val="28"/>
        </w:rPr>
        <w:t xml:space="preserve">Tên dự án: </w:t>
      </w:r>
      <w:r w:rsidR="00227E13" w:rsidRPr="00FE1639">
        <w:rPr>
          <w:bCs/>
          <w:iCs/>
          <w:sz w:val="28"/>
          <w:szCs w:val="28"/>
        </w:rPr>
        <w:t xml:space="preserve">Xây dựng khu dân cư phục vụ tái định cư dự án đường bộ cao tốc Tân Phú - Bảo Lộc và Bảo Lộc - Liên Khương (đoạn qua địa bàn thành phố Bảo Lộc) tại khu đất thuộc quy hoạch chi tiết xây dựng Trường Tiểu học Lộc Sơn 1, phường Lộc Sơn, thành phố Bảo Lộc </w:t>
      </w:r>
    </w:p>
    <w:p w14:paraId="63F15D25" w14:textId="6D655D7F" w:rsidR="00326D26" w:rsidRPr="00FE1639" w:rsidRDefault="00326D26" w:rsidP="00326D26">
      <w:pPr>
        <w:tabs>
          <w:tab w:val="left" w:pos="851"/>
        </w:tabs>
        <w:spacing w:before="40" w:after="40"/>
        <w:ind w:left="567"/>
        <w:rPr>
          <w:sz w:val="28"/>
          <w:szCs w:val="28"/>
        </w:rPr>
      </w:pPr>
      <w:r w:rsidRPr="00FE1639">
        <w:rPr>
          <w:sz w:val="28"/>
          <w:szCs w:val="28"/>
        </w:rPr>
        <w:t>- Tên gói thầu số 0</w:t>
      </w:r>
      <w:r w:rsidR="00227E13" w:rsidRPr="00FE1639">
        <w:rPr>
          <w:sz w:val="28"/>
          <w:szCs w:val="28"/>
        </w:rPr>
        <w:t>1</w:t>
      </w:r>
      <w:r w:rsidRPr="00FE1639">
        <w:rPr>
          <w:sz w:val="28"/>
          <w:szCs w:val="28"/>
        </w:rPr>
        <w:t xml:space="preserve">: </w:t>
      </w:r>
      <w:r w:rsidR="00227E13" w:rsidRPr="00FE1639">
        <w:rPr>
          <w:sz w:val="28"/>
          <w:szCs w:val="28"/>
        </w:rPr>
        <w:t>Gói thầu số 01: Chi phí xây dựng CSHT khu tái định cư phục vụ dự án cao tốc</w:t>
      </w:r>
    </w:p>
    <w:p w14:paraId="3D8F3F71" w14:textId="75C34137" w:rsidR="00326D26" w:rsidRPr="00FE1639" w:rsidRDefault="00326D26" w:rsidP="00326D26">
      <w:pPr>
        <w:numPr>
          <w:ilvl w:val="0"/>
          <w:numId w:val="2"/>
        </w:numPr>
        <w:tabs>
          <w:tab w:val="clear" w:pos="1070"/>
          <w:tab w:val="left" w:pos="0"/>
        </w:tabs>
        <w:spacing w:before="120"/>
        <w:ind w:left="0" w:firstLine="630"/>
        <w:rPr>
          <w:sz w:val="28"/>
          <w:szCs w:val="28"/>
          <w:lang w:val="vi-VN"/>
        </w:rPr>
      </w:pPr>
      <w:r w:rsidRPr="00FE1639">
        <w:rPr>
          <w:sz w:val="28"/>
          <w:szCs w:val="28"/>
          <w:lang w:val="vi-VN"/>
        </w:rPr>
        <w:t xml:space="preserve"> Thời gian thực hiện hợp đồng: </w:t>
      </w:r>
      <w:r w:rsidR="00227E13" w:rsidRPr="00FE1639">
        <w:rPr>
          <w:sz w:val="28"/>
          <w:szCs w:val="28"/>
        </w:rPr>
        <w:t>06</w:t>
      </w:r>
      <w:r w:rsidRPr="00FE1639">
        <w:rPr>
          <w:sz w:val="28"/>
          <w:szCs w:val="28"/>
        </w:rPr>
        <w:t xml:space="preserve"> tháng</w:t>
      </w:r>
      <w:r w:rsidRPr="00FE1639">
        <w:rPr>
          <w:sz w:val="28"/>
          <w:szCs w:val="28"/>
          <w:lang w:val="vi-VN"/>
        </w:rPr>
        <w:t>.</w:t>
      </w:r>
    </w:p>
    <w:p w14:paraId="3B819437" w14:textId="7930E933" w:rsidR="00326D26" w:rsidRPr="00FE1639" w:rsidRDefault="00326D26" w:rsidP="00326D26">
      <w:pPr>
        <w:numPr>
          <w:ilvl w:val="0"/>
          <w:numId w:val="2"/>
        </w:numPr>
        <w:tabs>
          <w:tab w:val="clear" w:pos="1070"/>
          <w:tab w:val="left" w:pos="0"/>
        </w:tabs>
        <w:spacing w:before="120"/>
        <w:ind w:left="0" w:firstLine="630"/>
        <w:rPr>
          <w:sz w:val="28"/>
          <w:szCs w:val="28"/>
          <w:lang w:val="vi-VN"/>
        </w:rPr>
      </w:pPr>
      <w:r w:rsidRPr="00FE1639">
        <w:rPr>
          <w:sz w:val="28"/>
          <w:szCs w:val="28"/>
          <w:lang w:val="de-DE"/>
        </w:rPr>
        <w:t xml:space="preserve"> Địa điểm xây dựng: Phường </w:t>
      </w:r>
      <w:r w:rsidR="00227E13" w:rsidRPr="00FE1639">
        <w:rPr>
          <w:sz w:val="28"/>
          <w:szCs w:val="28"/>
          <w:lang w:val="de-DE"/>
        </w:rPr>
        <w:t>B‘Lao</w:t>
      </w:r>
      <w:r w:rsidRPr="00FE1639">
        <w:rPr>
          <w:sz w:val="28"/>
          <w:szCs w:val="28"/>
        </w:rPr>
        <w:t>, tỉnh Lâm Đồng</w:t>
      </w:r>
    </w:p>
    <w:p w14:paraId="751FC45D" w14:textId="7C11FA05" w:rsidR="00326D26" w:rsidRPr="00FE1639" w:rsidRDefault="00326D26" w:rsidP="00326D26">
      <w:pPr>
        <w:spacing w:before="120"/>
        <w:ind w:firstLine="567"/>
        <w:rPr>
          <w:sz w:val="28"/>
          <w:szCs w:val="28"/>
        </w:rPr>
      </w:pPr>
      <w:r w:rsidRPr="00FE1639">
        <w:rPr>
          <w:sz w:val="28"/>
          <w:szCs w:val="28"/>
        </w:rPr>
        <w:t xml:space="preserve">- Loại, cấp công trình chính: </w:t>
      </w:r>
      <w:r w:rsidRPr="00FE1639">
        <w:rPr>
          <w:rFonts w:eastAsia="Calibri"/>
          <w:sz w:val="28"/>
          <w:szCs w:val="28"/>
        </w:rPr>
        <w:t xml:space="preserve">Công trình </w:t>
      </w:r>
      <w:r w:rsidR="00227E13" w:rsidRPr="00FE1639">
        <w:rPr>
          <w:rFonts w:eastAsia="Calibri"/>
          <w:sz w:val="28"/>
          <w:szCs w:val="28"/>
        </w:rPr>
        <w:t>hạ tầng kỹ thuật</w:t>
      </w:r>
      <w:r w:rsidRPr="00FE1639">
        <w:rPr>
          <w:rFonts w:eastAsia="Calibri"/>
          <w:sz w:val="28"/>
          <w:szCs w:val="28"/>
        </w:rPr>
        <w:t>, cấp IV</w:t>
      </w:r>
    </w:p>
    <w:p w14:paraId="5EBD2170" w14:textId="77777777" w:rsidR="00326D26" w:rsidRPr="00FE1639" w:rsidRDefault="00326D26" w:rsidP="00326D26">
      <w:pPr>
        <w:spacing w:before="120"/>
        <w:ind w:firstLine="567"/>
        <w:rPr>
          <w:sz w:val="28"/>
          <w:szCs w:val="28"/>
        </w:rPr>
      </w:pPr>
      <w:r w:rsidRPr="00FE1639">
        <w:rPr>
          <w:sz w:val="28"/>
          <w:szCs w:val="28"/>
        </w:rPr>
        <w:t>* Quy mô:</w:t>
      </w:r>
    </w:p>
    <w:bookmarkEnd w:id="1"/>
    <w:bookmarkEnd w:id="2"/>
    <w:p w14:paraId="18B8B70F" w14:textId="77777777" w:rsidR="00326D26" w:rsidRPr="00FE1639" w:rsidRDefault="00326D26" w:rsidP="00326D26">
      <w:pPr>
        <w:spacing w:before="120"/>
        <w:ind w:right="140"/>
        <w:jc w:val="center"/>
        <w:rPr>
          <w:i/>
          <w:sz w:val="28"/>
          <w:szCs w:val="28"/>
          <w:lang w:val="es-ES"/>
        </w:rPr>
      </w:pPr>
      <w:r w:rsidRPr="00FE1639">
        <w:rPr>
          <w:i/>
          <w:sz w:val="28"/>
          <w:szCs w:val="28"/>
          <w:lang w:val="es-ES"/>
        </w:rPr>
        <w:t>(Quy mô gói thầu: Chi tiết xem hồ sơ thiết kế)</w:t>
      </w:r>
    </w:p>
    <w:p w14:paraId="0153671C" w14:textId="77777777" w:rsidR="00326D26" w:rsidRPr="00FE1639" w:rsidRDefault="00326D26" w:rsidP="00326D26">
      <w:pPr>
        <w:widowControl w:val="0"/>
        <w:spacing w:before="60" w:line="350" w:lineRule="exact"/>
        <w:ind w:firstLine="567"/>
        <w:rPr>
          <w:sz w:val="28"/>
          <w:szCs w:val="28"/>
          <w:lang w:val="en-GB"/>
        </w:rPr>
      </w:pPr>
      <w:r w:rsidRPr="00FE1639">
        <w:rPr>
          <w:sz w:val="28"/>
          <w:szCs w:val="28"/>
          <w:lang w:val="en-GB"/>
        </w:rPr>
        <w:t xml:space="preserve">Khối lượng công việc thực hiện theo hồ sơ thiết kế Bản vẽ thi công được duyệt (thuyết minh, khối lượng và bản vẽ thi công) được đính kèm lên hệ thống. </w:t>
      </w:r>
    </w:p>
    <w:p w14:paraId="77A75A89" w14:textId="77777777" w:rsidR="00326D26" w:rsidRPr="00FE1639" w:rsidRDefault="00326D26" w:rsidP="00326D26">
      <w:pPr>
        <w:widowControl w:val="0"/>
        <w:spacing w:before="60" w:line="350" w:lineRule="exact"/>
        <w:ind w:firstLine="567"/>
        <w:rPr>
          <w:i/>
          <w:sz w:val="28"/>
          <w:szCs w:val="28"/>
          <w:lang w:val="en-GB"/>
        </w:rPr>
      </w:pPr>
      <w:r w:rsidRPr="00FE1639">
        <w:rPr>
          <w:bCs/>
          <w:i/>
          <w:sz w:val="28"/>
          <w:szCs w:val="28"/>
          <w:lang w:val="it-IT"/>
        </w:rPr>
        <w:t xml:space="preserve">- </w:t>
      </w:r>
      <w:r w:rsidRPr="00FE1639">
        <w:rPr>
          <w:i/>
          <w:sz w:val="28"/>
          <w:szCs w:val="28"/>
          <w:u w:val="single"/>
          <w:lang w:val="en-GB"/>
        </w:rPr>
        <w:t>Về thuế giá trị gia tăng (VAT):</w:t>
      </w:r>
      <w:r w:rsidRPr="00FE1639">
        <w:rPr>
          <w:i/>
          <w:sz w:val="28"/>
          <w:szCs w:val="28"/>
          <w:lang w:val="en-GB"/>
        </w:rPr>
        <w:t xml:space="preserve"> Giá gói thầu được phê duyệt áp dụng mức thuế VAT là 10%. Trong quá trình thực hiện hợp đồng, các bên sẽ căn cứ chế độ chính sách hiện hành để điều chỉnh hoặc trình cấp có thẩm quyền điều chỉnh mức thuế VAT theo quy định.</w:t>
      </w:r>
    </w:p>
    <w:p w14:paraId="6A4930E8" w14:textId="5FF62CBB" w:rsidR="00326D26" w:rsidRPr="00FE1639" w:rsidRDefault="00326D26" w:rsidP="00326D26">
      <w:pPr>
        <w:spacing w:before="120" w:after="120"/>
        <w:ind w:firstLine="567"/>
        <w:rPr>
          <w:sz w:val="28"/>
          <w:szCs w:val="28"/>
        </w:rPr>
      </w:pPr>
      <w:r w:rsidRPr="00FE1639">
        <w:rPr>
          <w:sz w:val="28"/>
          <w:szCs w:val="28"/>
          <w:u w:val="single"/>
        </w:rPr>
        <w:t>* Thời hạn hoàn thành</w:t>
      </w:r>
      <w:r w:rsidRPr="00FE1639">
        <w:rPr>
          <w:sz w:val="28"/>
          <w:szCs w:val="28"/>
        </w:rPr>
        <w:t xml:space="preserve">: Tổng tiến độ thực hiện yêu cầu tối đa không quá </w:t>
      </w:r>
      <w:r w:rsidR="00227E13" w:rsidRPr="00FE1639">
        <w:rPr>
          <w:sz w:val="28"/>
          <w:szCs w:val="28"/>
        </w:rPr>
        <w:t>06</w:t>
      </w:r>
      <w:r w:rsidRPr="00FE1639">
        <w:rPr>
          <w:sz w:val="28"/>
          <w:szCs w:val="28"/>
        </w:rPr>
        <w:t xml:space="preserve"> tháng </w:t>
      </w:r>
      <w:r w:rsidRPr="00FE1639">
        <w:rPr>
          <w:spacing w:val="-4"/>
          <w:sz w:val="28"/>
          <w:szCs w:val="28"/>
          <w:lang w:val="en-GB"/>
        </w:rPr>
        <w:t xml:space="preserve">(bao gồm cả ngày lễ, tết và ngày nghỉ) </w:t>
      </w:r>
      <w:r w:rsidRPr="00FE1639">
        <w:rPr>
          <w:sz w:val="28"/>
          <w:szCs w:val="28"/>
        </w:rPr>
        <w:t xml:space="preserve">có tính điều kiện thời tiết kể từ ngày khởi công. Trong đó thời gian thi công hoàn thành tất cả các hạng mục thuộc gói thầu tối đa </w:t>
      </w:r>
      <w:r w:rsidR="00227E13" w:rsidRPr="00FE1639">
        <w:rPr>
          <w:sz w:val="28"/>
          <w:szCs w:val="28"/>
        </w:rPr>
        <w:t>04</w:t>
      </w:r>
      <w:r w:rsidRPr="00FE1639">
        <w:rPr>
          <w:sz w:val="28"/>
          <w:szCs w:val="28"/>
        </w:rPr>
        <w:t xml:space="preserve"> tháng và thời gian hoàn thành công trình bàn giao đưa vào sử dụng là 02 tháng.</w:t>
      </w:r>
    </w:p>
    <w:p w14:paraId="14E61252" w14:textId="77777777" w:rsidR="00326D26" w:rsidRPr="00FE1639" w:rsidRDefault="00326D26" w:rsidP="00326D26">
      <w:pPr>
        <w:spacing w:before="40" w:after="40"/>
        <w:ind w:firstLine="567"/>
        <w:rPr>
          <w:sz w:val="28"/>
          <w:szCs w:val="28"/>
          <w:u w:val="single"/>
        </w:rPr>
      </w:pPr>
    </w:p>
    <w:p w14:paraId="595985B1" w14:textId="77777777" w:rsidR="00326D26" w:rsidRPr="00FE1639" w:rsidRDefault="00326D26" w:rsidP="00326D26">
      <w:pPr>
        <w:spacing w:after="160" w:line="259" w:lineRule="auto"/>
        <w:jc w:val="left"/>
        <w:rPr>
          <w:sz w:val="28"/>
          <w:szCs w:val="28"/>
        </w:rPr>
      </w:pPr>
      <w:r w:rsidRPr="00FE1639">
        <w:rPr>
          <w:sz w:val="28"/>
          <w:szCs w:val="28"/>
        </w:rPr>
        <w:br w:type="page"/>
      </w:r>
    </w:p>
    <w:p w14:paraId="5A6AB017" w14:textId="77777777" w:rsidR="00326D26" w:rsidRPr="00FE1639" w:rsidRDefault="00326D26" w:rsidP="00326D26">
      <w:pPr>
        <w:spacing w:before="40" w:after="40"/>
        <w:ind w:firstLine="567"/>
        <w:rPr>
          <w:sz w:val="28"/>
          <w:szCs w:val="28"/>
        </w:rPr>
      </w:pPr>
      <w:r w:rsidRPr="00FE1639">
        <w:rPr>
          <w:sz w:val="28"/>
          <w:szCs w:val="28"/>
        </w:rPr>
        <w:lastRenderedPageBreak/>
        <w:t>II. YÊU CẦU VỀ KỸ THUẬT/CHỈ DẪN KỸ THUẬT</w:t>
      </w:r>
    </w:p>
    <w:p w14:paraId="49F2458F"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1. Quy trình, quy phạm áp dụng cho việc thi công, nghiệm thu công trình:</w:t>
      </w:r>
    </w:p>
    <w:p w14:paraId="6E636BAB" w14:textId="77777777" w:rsidR="00326D26" w:rsidRPr="00FE1639" w:rsidRDefault="00326D26" w:rsidP="00326D26">
      <w:pPr>
        <w:widowControl w:val="0"/>
        <w:tabs>
          <w:tab w:val="left" w:pos="360"/>
        </w:tabs>
        <w:spacing w:before="120"/>
        <w:ind w:firstLine="540"/>
        <w:rPr>
          <w:sz w:val="28"/>
          <w:szCs w:val="28"/>
          <w:lang w:val="es-ES"/>
        </w:rPr>
      </w:pPr>
      <w:r w:rsidRPr="00FE1639">
        <w:rPr>
          <w:sz w:val="28"/>
          <w:szCs w:val="28"/>
          <w:lang w:val="es-ES"/>
        </w:rPr>
        <w:t>Nhà thầu phải áp dụng các tiêu chuẩn trong hồ sơ thiết kế</w:t>
      </w:r>
      <w:r w:rsidRPr="00FE1639">
        <w:rPr>
          <w:spacing w:val="-8"/>
          <w:sz w:val="28"/>
          <w:szCs w:val="28"/>
          <w:lang w:val="es-ES"/>
        </w:rPr>
        <w:t xml:space="preserve"> đã được phê duyệt được phát hành đính kèm Hồ sơ mời thầu.</w:t>
      </w:r>
    </w:p>
    <w:p w14:paraId="77266E76" w14:textId="77777777" w:rsidR="00326D26" w:rsidRPr="00FE1639" w:rsidRDefault="00326D26" w:rsidP="00326D26">
      <w:pPr>
        <w:widowControl w:val="0"/>
        <w:tabs>
          <w:tab w:val="left" w:pos="288"/>
        </w:tabs>
        <w:spacing w:before="120"/>
        <w:ind w:firstLine="567"/>
        <w:rPr>
          <w:sz w:val="28"/>
          <w:szCs w:val="28"/>
          <w:lang w:val="es-ES"/>
        </w:rPr>
      </w:pPr>
      <w:r w:rsidRPr="00FE1639">
        <w:rPr>
          <w:sz w:val="28"/>
          <w:szCs w:val="28"/>
          <w:lang w:val="es-ES"/>
        </w:rPr>
        <w:t>Trong quá trình thực hiện hợp đồng ngoài việc tuân theo các yêu cầu nêu trong hồ sơ thiết kế đã được phê duyệt, Nhà thầu còn phải có trách nhiệm tham khảo và tuân thủ các tiêu chuẩn xây dựng xây dựng hiện hành</w:t>
      </w:r>
    </w:p>
    <w:p w14:paraId="1868A213" w14:textId="77777777" w:rsidR="00326D26" w:rsidRPr="00FE1639" w:rsidRDefault="00326D26" w:rsidP="00326D26">
      <w:pPr>
        <w:widowControl w:val="0"/>
        <w:tabs>
          <w:tab w:val="left" w:pos="288"/>
        </w:tabs>
        <w:spacing w:before="120"/>
        <w:ind w:firstLine="567"/>
        <w:rPr>
          <w:i/>
          <w:sz w:val="28"/>
          <w:szCs w:val="28"/>
          <w:lang w:val="en-GB"/>
        </w:rPr>
      </w:pPr>
      <w:r w:rsidRPr="00FE1639">
        <w:rPr>
          <w:sz w:val="28"/>
          <w:szCs w:val="28"/>
          <w:lang w:val="es-ES"/>
        </w:rPr>
        <w:t xml:space="preserve">Các quy trình, tiêu chuẩn áp dụng: </w:t>
      </w:r>
      <w:r w:rsidRPr="00FE1639">
        <w:rPr>
          <w:i/>
          <w:sz w:val="28"/>
          <w:szCs w:val="28"/>
        </w:rPr>
        <w:t>“</w:t>
      </w:r>
      <w:r w:rsidRPr="00FE1639">
        <w:rPr>
          <w:i/>
          <w:sz w:val="28"/>
          <w:szCs w:val="28"/>
          <w:lang w:val="en-GB"/>
        </w:rPr>
        <w:t>Các Quy trình, quy phạm áp dụng cho việc thi công, nghiệm thu công trình được quy định cụ thể trong tập chỉ dẫn kỹ thuật của dự án đã được phê duyệt”</w:t>
      </w:r>
    </w:p>
    <w:p w14:paraId="011E7A77"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2. Yêu cầu về tổ chức kỹ thuật thi công, giám sát</w:t>
      </w:r>
    </w:p>
    <w:p w14:paraId="094CC641"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Hồ sơ dự thầu phải thể hiện rõ các nội dung chủ yếu sau:</w:t>
      </w:r>
    </w:p>
    <w:p w14:paraId="615E66BB"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Tất cả các nội dung yêu cầu về Tiêu chuẩn đánh giá về kỹ thuật được quy định trong E-HSMT (chương III – tiêu chuẩn đánh giá kỹ thuật).</w:t>
      </w:r>
    </w:p>
    <w:p w14:paraId="7D980556" w14:textId="77777777" w:rsidR="00326D26" w:rsidRPr="00FE1639" w:rsidRDefault="00326D26" w:rsidP="00326D26">
      <w:pPr>
        <w:widowControl w:val="0"/>
        <w:autoSpaceDE w:val="0"/>
        <w:autoSpaceDN w:val="0"/>
        <w:adjustRightInd w:val="0"/>
        <w:spacing w:before="120"/>
        <w:ind w:right="-14" w:firstLine="567"/>
        <w:rPr>
          <w:sz w:val="28"/>
          <w:szCs w:val="28"/>
          <w:lang w:val="vi-VN"/>
        </w:rPr>
      </w:pPr>
      <w:r w:rsidRPr="00FE1639">
        <w:rPr>
          <w:sz w:val="28"/>
          <w:szCs w:val="28"/>
          <w:lang w:eastAsia="vi-VN"/>
        </w:rPr>
        <w:t xml:space="preserve">- </w:t>
      </w:r>
      <w:r w:rsidRPr="00FE1639">
        <w:rPr>
          <w:sz w:val="28"/>
          <w:szCs w:val="28"/>
          <w:lang w:val="vi-VN" w:eastAsia="vi-VN"/>
        </w:rPr>
        <w:t>Nhà thầu phải tổ chức một bộ phận máy kỹ thuật để kiểm soát công tác thi công của mình. Cán bộ giám sát của nhà thầu có trách nhiệm kiểm tra công việc xây dựng hoàn thành, công tác xuất nhập vật tư mời giám sát của Chủ đầu tư nghiệm thu công việc xây dựng, nghiệm thu vật liệu.</w:t>
      </w:r>
    </w:p>
    <w:p w14:paraId="4C119DE4"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Quy trình quản lý chất lượng thi công trong qua trình xây lắp, kiểm tra và nghiệm thu:</w:t>
      </w:r>
    </w:p>
    <w:p w14:paraId="5AE31229"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Nhà thầu phải thi công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về mọi vấn đề nêu hay không nêu trong hợp đồng.</w:t>
      </w:r>
    </w:p>
    <w:p w14:paraId="543CA308"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Nhà thầu phải chịu hoàn toàn trách nhiệm về tính chất ổn định, an toàn của tất cả các hoạt động của công trường trong suốt thời gian thi công, hoàn thiện công trình và trong giai đoạn bảo hành công trình.</w:t>
      </w:r>
    </w:p>
    <w:p w14:paraId="35475894"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w:t>
      </w:r>
    </w:p>
    <w:p w14:paraId="0D1DE41C"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14:paraId="4EC4BE71"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Cung cấp toàn bộ nguyên vật liệu đúng yêu cầu kỹ thuật theo thiết kế đưa vào thi công công trình.</w:t>
      </w:r>
    </w:p>
    <w:p w14:paraId="6CCADEB2"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lastRenderedPageBreak/>
        <w:t>- Tổ chức thực hiện thi công công trình đạt yêu cầu kỹ thuật và theo đúng thời hạn hoàn thành công trình đã nêu trong hồ sơ dự thầu được chấp thuận.</w:t>
      </w:r>
    </w:p>
    <w:p w14:paraId="3DCE5736"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Cung cấp cán bộ lãnh đạo, cán bộ kỹ thuật, trợ lý kỹ thuật lành nghề có kinh nghiệm và đủ năng lực bảo đảm thực hiện đúng đắn và đúng thời hạn nghĩa vụ của nhà thầu theo hợp đồng.</w:t>
      </w:r>
    </w:p>
    <w:p w14:paraId="2FF498E5"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Giám sát theo dõi những khối lượng do mình thực hiện trong công trường trong thời gian thi công và ngay cả trong thời gian bảo hành công trình.</w:t>
      </w:r>
    </w:p>
    <w:p w14:paraId="559A60B5"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nên thay thế càng sớm càng tốt.</w:t>
      </w:r>
    </w:p>
    <w:p w14:paraId="1E7CDF97"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Nhà thầu phải báo cáo chi tiết về bất kỳ tai nạn, hư hỏng nào trong hoặc ngoài công trường. Trong trường hợp có tai nạn nghiêm trọng, hư hỏng, chết người, nhà thầu phải báo cáo ngày lập tức bằng các phương tiện nhanh nhất sẳn có.</w:t>
      </w:r>
    </w:p>
    <w:p w14:paraId="379A638C"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Sau khi thi công hoàn thiện công trình và trước khi nghiệm thu công trình, nhà thầu phải thu dọn, san trả hiên trường và làm cho khu vực công trường được sạch sẽ.</w:t>
      </w:r>
    </w:p>
    <w:p w14:paraId="38E9B479"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Nhà thầu phải chịu trách nhiệm lập đầy đủ hồ sơ hoàn công công trình theo đúng yêu cầu của chủ đầu tư và các tiêu chuẩn nghiệm thu công trình.</w:t>
      </w:r>
    </w:p>
    <w:p w14:paraId="78BD4BC9"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3. Yêu cầu về chủng loại, chất lượng vật tư, máy móc, thiết bị (kèm theo các tiêu chuẩn về phương pháp thử);</w:t>
      </w:r>
    </w:p>
    <w:p w14:paraId="11116950" w14:textId="77777777" w:rsidR="00326D26" w:rsidRPr="00FE1639" w:rsidRDefault="00326D26" w:rsidP="00326D26">
      <w:pPr>
        <w:spacing w:before="120"/>
        <w:ind w:right="-23" w:firstLine="567"/>
        <w:rPr>
          <w:sz w:val="28"/>
          <w:szCs w:val="28"/>
        </w:rPr>
      </w:pPr>
      <w:r w:rsidRPr="00FE1639">
        <w:rPr>
          <w:sz w:val="28"/>
          <w:szCs w:val="28"/>
        </w:rPr>
        <w:t xml:space="preserve">- Có danh mục thể hiện toàn bộ các vật tư chủ yếu. </w:t>
      </w:r>
      <w:r w:rsidRPr="00FE1639">
        <w:rPr>
          <w:sz w:val="28"/>
          <w:szCs w:val="28"/>
          <w:lang w:val="nl-NL"/>
        </w:rPr>
        <w:t xml:space="preserve">Kê khai đầy đủ, chi tiết </w:t>
      </w:r>
      <w:r w:rsidRPr="00FE1639">
        <w:rPr>
          <w:bCs/>
          <w:sz w:val="28"/>
          <w:szCs w:val="28"/>
        </w:rPr>
        <w:t>rõ ràng nguồn gốc, xuất xứ vật liệu, hàng hóa của các vật liệu chính, thiết bị lắp đặt</w:t>
      </w:r>
      <w:r w:rsidRPr="00FE1639">
        <w:rPr>
          <w:sz w:val="28"/>
          <w:szCs w:val="28"/>
          <w:lang w:val="nl-NL"/>
        </w:rPr>
        <w:t xml:space="preserve"> và phải phù hợp với các tài liệu kèm theo hồ sơ mời thầu (E-HSMT, hồ sơ thiết kế, các tiêu chuẩn, quy chuẩn, chỉ dẫn kỹ thuật...). </w:t>
      </w:r>
      <w:r w:rsidRPr="00FE1639">
        <w:rPr>
          <w:rFonts w:eastAsia="Calibri"/>
          <w:sz w:val="28"/>
          <w:szCs w:val="28"/>
          <w:shd w:val="clear" w:color="auto" w:fill="FFFFFF"/>
          <w:lang w:val="vi-VN" w:eastAsia="vi-VN"/>
        </w:rPr>
        <w:t>Trong “</w:t>
      </w:r>
      <w:r w:rsidRPr="00FE1639">
        <w:rPr>
          <w:rFonts w:eastAsia="Calibri"/>
          <w:sz w:val="28"/>
          <w:szCs w:val="28"/>
          <w:u w:val="single"/>
          <w:shd w:val="clear" w:color="auto" w:fill="FFFFFF"/>
          <w:lang w:val="vi-VN" w:eastAsia="vi-VN"/>
        </w:rPr>
        <w:t>bảng danh mục chủng lọai vật tư, thiết bị chủ yếu dùng cho công trình</w:t>
      </w:r>
      <w:r w:rsidRPr="00FE1639">
        <w:rPr>
          <w:rFonts w:eastAsia="Calibri"/>
          <w:sz w:val="28"/>
          <w:szCs w:val="28"/>
          <w:shd w:val="clear" w:color="auto" w:fill="FFFFFF"/>
          <w:lang w:val="vi-VN" w:eastAsia="vi-VN"/>
        </w:rPr>
        <w:t>” có nêu nhãn mác hàng hóa thì khi dự thầu nhà thầu có thể dự thầu loại tương đương hoặc tốt hơn.</w:t>
      </w:r>
      <w:r w:rsidRPr="00FE1639">
        <w:rPr>
          <w:rFonts w:eastAsia="Calibri"/>
          <w:sz w:val="28"/>
          <w:szCs w:val="28"/>
          <w:shd w:val="clear" w:color="auto" w:fill="FFFFFF"/>
          <w:lang w:eastAsia="vi-VN"/>
        </w:rPr>
        <w:t xml:space="preserve"> </w:t>
      </w:r>
      <w:r w:rsidRPr="00FE1639">
        <w:rPr>
          <w:rFonts w:eastAsia="Calibri"/>
          <w:sz w:val="28"/>
          <w:szCs w:val="28"/>
          <w:shd w:val="clear" w:color="auto" w:fill="FFFFFF"/>
          <w:lang w:val="vi-VN" w:eastAsia="vi-VN"/>
        </w:rPr>
        <w:t xml:space="preserve">Khái niệm “tương đương” nghĩa là các </w:t>
      </w:r>
      <w:r w:rsidRPr="00FE1639">
        <w:rPr>
          <w:rFonts w:eastAsia="Calibri"/>
          <w:sz w:val="28"/>
          <w:szCs w:val="28"/>
          <w:shd w:val="clear" w:color="auto" w:fill="FFFFFF"/>
          <w:lang w:eastAsia="vi-VN"/>
        </w:rPr>
        <w:t xml:space="preserve">vật tư, </w:t>
      </w:r>
      <w:r w:rsidRPr="00FE1639">
        <w:rPr>
          <w:rFonts w:eastAsia="Calibri"/>
          <w:sz w:val="28"/>
          <w:szCs w:val="28"/>
          <w:shd w:val="clear" w:color="auto" w:fill="FFFFFF"/>
          <w:lang w:val="vi-VN" w:eastAsia="vi-VN"/>
        </w:rPr>
        <w:t>thiết bị có đặc tính kỹ thuật tương tự</w:t>
      </w:r>
      <w:r w:rsidRPr="00FE1639">
        <w:rPr>
          <w:rFonts w:eastAsia="Calibri"/>
          <w:sz w:val="28"/>
          <w:szCs w:val="28"/>
          <w:shd w:val="clear" w:color="auto" w:fill="FFFFFF"/>
          <w:lang w:eastAsia="vi-VN"/>
        </w:rPr>
        <w:t xml:space="preserve"> </w:t>
      </w:r>
      <w:r w:rsidRPr="00FE1639">
        <w:rPr>
          <w:rFonts w:eastAsia="Calibri"/>
          <w:sz w:val="28"/>
          <w:szCs w:val="28"/>
          <w:shd w:val="clear" w:color="auto" w:fill="FFFFFF"/>
          <w:lang w:val="vi-VN" w:eastAsia="vi-VN"/>
        </w:rPr>
        <w:t>(hoặc tốt hơn), có tính năng sử dụng là tương đương (hoặc tốt hơn).</w:t>
      </w:r>
    </w:p>
    <w:p w14:paraId="6401EF50" w14:textId="77777777" w:rsidR="00326D26" w:rsidRPr="00FE1639" w:rsidRDefault="00326D26" w:rsidP="00326D26">
      <w:pPr>
        <w:spacing w:before="120"/>
        <w:ind w:right="-23" w:firstLine="567"/>
        <w:rPr>
          <w:sz w:val="28"/>
          <w:szCs w:val="28"/>
        </w:rPr>
      </w:pPr>
      <w:r w:rsidRPr="00FE1639">
        <w:rPr>
          <w:sz w:val="28"/>
          <w:szCs w:val="28"/>
        </w:rPr>
        <w:t>- Trước khi đưa vật tư, vật liệu, thiết bị vào công trường, nhà thầu phải trình chủ đầu tư, tư vấn giám sát danh mục vật tư, vật liệu, thiết bị theo hồ sơ thiết kế, chỉ dẫn kỹ thuật đã được chủ đầu tư phê duyệt hoặc hợp đồng xây dựng.</w:t>
      </w:r>
    </w:p>
    <w:p w14:paraId="3946B451" w14:textId="77777777" w:rsidR="00326D26" w:rsidRPr="00FE1639" w:rsidRDefault="00326D26" w:rsidP="00326D26">
      <w:pPr>
        <w:spacing w:before="120"/>
        <w:ind w:right="-23" w:firstLine="567"/>
        <w:rPr>
          <w:sz w:val="28"/>
          <w:szCs w:val="28"/>
        </w:rPr>
      </w:pPr>
      <w:r w:rsidRPr="00FE1639">
        <w:rPr>
          <w:sz w:val="28"/>
          <w:szCs w:val="28"/>
        </w:rPr>
        <w:t>- Các cơ sở sản xuất, cung cấp vật tư, vật liệu, thiết bị cho công trình theo cam kết của nhà thầu trong hồ sơ dự thầu phải có các giấy phép, giấy chứng nhận đảm bảo chất lượng sản phẩm do cơ quan có thẩm quyền cấp.</w:t>
      </w:r>
    </w:p>
    <w:p w14:paraId="6880629D" w14:textId="77777777" w:rsidR="00326D26" w:rsidRPr="00FE1639" w:rsidRDefault="00326D26" w:rsidP="00326D26">
      <w:pPr>
        <w:spacing w:before="120"/>
        <w:ind w:right="-23" w:firstLine="567"/>
        <w:rPr>
          <w:sz w:val="28"/>
          <w:szCs w:val="28"/>
        </w:rPr>
      </w:pPr>
      <w:r w:rsidRPr="00FE1639">
        <w:rPr>
          <w:sz w:val="28"/>
          <w:szCs w:val="28"/>
        </w:rPr>
        <w:t>- Nhà thầu phải có giấy phép sử dụng các máy móc, thiết bị có yêu cầu an toàn phục vụ thi công xây dựng công trình.</w:t>
      </w:r>
    </w:p>
    <w:p w14:paraId="2053FD0D" w14:textId="77777777" w:rsidR="00326D26" w:rsidRPr="00FE1639" w:rsidRDefault="00326D26" w:rsidP="00326D26">
      <w:pPr>
        <w:spacing w:before="120"/>
        <w:ind w:right="-23" w:firstLine="567"/>
        <w:rPr>
          <w:sz w:val="28"/>
          <w:szCs w:val="28"/>
        </w:rPr>
      </w:pPr>
      <w:r w:rsidRPr="00FE1639">
        <w:rPr>
          <w:sz w:val="28"/>
          <w:szCs w:val="28"/>
        </w:rPr>
        <w:lastRenderedPageBreak/>
        <w:t>- Các máy móc, thiết bị đưa vào công trình phải có tài liệu: Lý lịch thiết bị, đăng ký, đăng kiểm, giấy chứng nhận kiểm định kỹ thuật, an toàn…đối với các thiết bị có yêu cầu nghiêm ngặt về an toàn do cơ quan cấp thẩm quyền cấp.</w:t>
      </w:r>
    </w:p>
    <w:p w14:paraId="511F914C" w14:textId="77777777" w:rsidR="00326D26" w:rsidRPr="00FE1639" w:rsidRDefault="00326D26" w:rsidP="00326D26">
      <w:pPr>
        <w:spacing w:before="120"/>
        <w:ind w:right="-23" w:firstLine="567"/>
        <w:rPr>
          <w:sz w:val="28"/>
          <w:szCs w:val="28"/>
        </w:rPr>
      </w:pPr>
      <w:r w:rsidRPr="00FE1639">
        <w:rPr>
          <w:sz w:val="28"/>
          <w:szCs w:val="28"/>
        </w:rPr>
        <w:t>- Nhà thầu phải đệ trình phương án sử dụng phòng thí nghiệm xây dựng chuyên ngành (phòng thí nghiệm hợp chuẩn có dấu LAS-XD).</w:t>
      </w:r>
    </w:p>
    <w:p w14:paraId="4315E594" w14:textId="77777777" w:rsidR="00326D26" w:rsidRPr="00FE1639" w:rsidRDefault="00326D26" w:rsidP="00326D26">
      <w:pPr>
        <w:spacing w:before="120"/>
        <w:ind w:right="-23" w:firstLine="567"/>
        <w:rPr>
          <w:sz w:val="28"/>
          <w:szCs w:val="28"/>
        </w:rPr>
      </w:pPr>
      <w:r w:rsidRPr="00FE1639">
        <w:rPr>
          <w:sz w:val="28"/>
          <w:szCs w:val="28"/>
        </w:rPr>
        <w:t>- Các loại vật liệu, cấu kiện, sản phẩm xây dựng, thiết bị đưa vào thi công xây dựng lắp đặt trong công trình phải có kết quả thí nghiệm kiểm tra chất lượng hoặc giấy chứng nhận chất lượng, chứng chỉ xuất xưởng…</w:t>
      </w:r>
    </w:p>
    <w:p w14:paraId="3A1537DB" w14:textId="77777777" w:rsidR="00326D26" w:rsidRPr="00FE1639" w:rsidRDefault="00326D26" w:rsidP="00326D26">
      <w:pPr>
        <w:spacing w:before="120"/>
        <w:ind w:right="-23" w:firstLine="567"/>
        <w:rPr>
          <w:sz w:val="28"/>
          <w:szCs w:val="28"/>
        </w:rPr>
      </w:pPr>
      <w:r w:rsidRPr="00FE1639">
        <w:rPr>
          <w:sz w:val="28"/>
          <w:szCs w:val="28"/>
        </w:rPr>
        <w:t>- Các yêu cầu về vật tư, thiết bị và về kỹ thuật không thể hiện trong hồ sơ mời thầu được phê duyệt thì thực hiện theo các tiêu chuẩn hiện hành, theo chỉ định của hồ sơ thiết kế và theo chỉ dẫn kỹ thuật.</w:t>
      </w:r>
    </w:p>
    <w:p w14:paraId="5B0CA546" w14:textId="77777777" w:rsidR="00326D26" w:rsidRPr="00FE1639" w:rsidRDefault="00326D26" w:rsidP="00326D26">
      <w:pPr>
        <w:spacing w:before="120"/>
        <w:ind w:right="-23" w:firstLine="567"/>
        <w:rPr>
          <w:sz w:val="28"/>
          <w:szCs w:val="28"/>
        </w:rPr>
      </w:pPr>
      <w:r w:rsidRPr="00FE1639">
        <w:rPr>
          <w:sz w:val="28"/>
          <w:szCs w:val="28"/>
        </w:rPr>
        <w:t>- Đối với vật tư, thiết bị cần phải kiểm tra, thử nghiệm, thí nghiệm thì các chứng chỉ thí nghiệm này phải do các đơn vị chuyên trách và có pháp nhân độc lập được chủ đầu tư chấp thuận thực hiện. Tất cả các chi phí kiểm tra, thí nghiệm, thử nghiệm đối với các công việc trong phạm vi gói thầu đã bao gồm trong giá dự thầu.</w:t>
      </w:r>
    </w:p>
    <w:p w14:paraId="0F2D4AAB" w14:textId="77777777" w:rsidR="00326D26" w:rsidRPr="00FE1639" w:rsidRDefault="00326D26" w:rsidP="00326D26">
      <w:pPr>
        <w:spacing w:before="120"/>
        <w:ind w:right="-23" w:firstLine="567"/>
        <w:rPr>
          <w:sz w:val="28"/>
          <w:szCs w:val="28"/>
        </w:rPr>
      </w:pPr>
      <w:r w:rsidRPr="00FE1639">
        <w:rPr>
          <w:sz w:val="28"/>
          <w:szCs w:val="28"/>
        </w:rPr>
        <w:t>- Vật liệu và sản phẩm sử dụng để xây dựng các kết cấu gạch đá phải theo đúng các quy định trong các tiêu chuẩn TCVN hiện hành, được áp dụng khi thi công và nghiệm thu các kết cấu xây bằng gạch trong xây dựng.</w:t>
      </w:r>
    </w:p>
    <w:p w14:paraId="57964C99" w14:textId="77777777" w:rsidR="00326D26" w:rsidRPr="00FE1639" w:rsidRDefault="00326D26" w:rsidP="00326D26">
      <w:pPr>
        <w:widowControl w:val="0"/>
        <w:spacing w:before="120"/>
        <w:ind w:left="60" w:right="60" w:firstLine="289"/>
        <w:rPr>
          <w:rFonts w:eastAsia="Calibri"/>
          <w:sz w:val="28"/>
          <w:szCs w:val="28"/>
          <w:shd w:val="clear" w:color="auto" w:fill="FFFFFF"/>
          <w:lang w:val="vi-VN" w:eastAsia="vi-VN"/>
        </w:rPr>
      </w:pPr>
      <w:r w:rsidRPr="00FE1639">
        <w:rPr>
          <w:rFonts w:eastAsia="Calibri"/>
          <w:sz w:val="28"/>
          <w:szCs w:val="28"/>
          <w:shd w:val="clear" w:color="auto" w:fill="FFFFFF"/>
          <w:lang w:val="vi-VN" w:eastAsia="vi-VN"/>
        </w:rPr>
        <w:t>Những vật tư, thiết bị nào không có trong Bảng quy cách, chủng lọai vật tư, thiết bị chủ yếu sử dụng trong công trình thì nhà thầu phải bảo đảm các vật tư, thiết bị đó có chất lượng đúng với yêu cầu và phù hợp với thiết kế Bản vẽ thi công công trình.</w:t>
      </w:r>
    </w:p>
    <w:p w14:paraId="3C05788D" w14:textId="77777777" w:rsidR="00326D26" w:rsidRPr="00FE1639" w:rsidRDefault="00326D26" w:rsidP="00326D26">
      <w:pPr>
        <w:tabs>
          <w:tab w:val="left" w:pos="288"/>
        </w:tabs>
        <w:spacing w:before="120"/>
        <w:jc w:val="center"/>
        <w:rPr>
          <w:bCs/>
          <w:iCs/>
          <w:sz w:val="26"/>
          <w:szCs w:val="26"/>
          <w:u w:val="single"/>
          <w:lang w:val="es-ES"/>
        </w:rPr>
      </w:pPr>
      <w:r w:rsidRPr="00FE1639">
        <w:rPr>
          <w:bCs/>
          <w:sz w:val="26"/>
          <w:szCs w:val="26"/>
          <w:u w:val="single"/>
          <w:lang w:val="vi-VN"/>
        </w:rPr>
        <w:t xml:space="preserve">Bảng </w:t>
      </w:r>
      <w:r w:rsidRPr="00FE1639">
        <w:rPr>
          <w:rFonts w:eastAsia="Calibri"/>
          <w:sz w:val="28"/>
          <w:szCs w:val="28"/>
          <w:u w:val="single"/>
          <w:shd w:val="clear" w:color="auto" w:fill="FFFFFF"/>
          <w:lang w:val="vi-VN" w:eastAsia="vi-VN"/>
        </w:rPr>
        <w:t>danh mục chủng lọai vật tư, thiết bị chủ yếu dùng cho công trình</w:t>
      </w:r>
    </w:p>
    <w:p w14:paraId="38EE9370" w14:textId="77777777" w:rsidR="00326D26" w:rsidRPr="00FE1639" w:rsidRDefault="00326D26" w:rsidP="00326D26">
      <w:pPr>
        <w:tabs>
          <w:tab w:val="left" w:pos="288"/>
        </w:tabs>
        <w:spacing w:before="120"/>
        <w:jc w:val="center"/>
        <w:rPr>
          <w:bCs/>
          <w:iCs/>
          <w:sz w:val="2"/>
          <w:szCs w:val="26"/>
          <w:u w:val="single"/>
          <w:lang w:val="es-ES"/>
        </w:rPr>
      </w:pPr>
    </w:p>
    <w:p w14:paraId="339AFDD7" w14:textId="29D392E6" w:rsidR="00326D26" w:rsidRPr="00FE1639" w:rsidRDefault="00326D26" w:rsidP="00326D26">
      <w:pPr>
        <w:tabs>
          <w:tab w:val="left" w:pos="288"/>
        </w:tabs>
        <w:spacing w:before="120"/>
        <w:ind w:firstLine="142"/>
        <w:jc w:val="left"/>
        <w:rPr>
          <w:bCs/>
          <w:sz w:val="28"/>
          <w:szCs w:val="28"/>
          <w:u w:val="single"/>
        </w:rPr>
      </w:pPr>
      <w:r w:rsidRPr="00FE1639">
        <w:rPr>
          <w:bCs/>
          <w:iCs/>
          <w:sz w:val="26"/>
          <w:szCs w:val="26"/>
          <w:u w:val="single"/>
          <w:lang w:val="es-ES"/>
        </w:rPr>
        <w:t xml:space="preserve">A. </w:t>
      </w:r>
      <w:r w:rsidRPr="00FE1639">
        <w:rPr>
          <w:bCs/>
          <w:sz w:val="28"/>
          <w:szCs w:val="28"/>
          <w:u w:val="single"/>
        </w:rPr>
        <w:t xml:space="preserve">VẬT </w:t>
      </w:r>
      <w:r w:rsidR="00D06DA3" w:rsidRPr="00FE1639">
        <w:rPr>
          <w:bCs/>
          <w:sz w:val="28"/>
          <w:szCs w:val="28"/>
          <w:u w:val="single"/>
        </w:rPr>
        <w:t xml:space="preserve">TƯ, VẬT </w:t>
      </w:r>
      <w:r w:rsidRPr="00FE1639">
        <w:rPr>
          <w:bCs/>
          <w:sz w:val="28"/>
          <w:szCs w:val="28"/>
          <w:u w:val="single"/>
        </w:rPr>
        <w:t>LIỆU CHÍNH</w:t>
      </w:r>
    </w:p>
    <w:tbl>
      <w:tblPr>
        <w:tblW w:w="13207" w:type="dxa"/>
        <w:tblInd w:w="113" w:type="dxa"/>
        <w:tblLook w:val="04A0" w:firstRow="1" w:lastRow="0" w:firstColumn="1" w:lastColumn="0" w:noHBand="0" w:noVBand="1"/>
      </w:tblPr>
      <w:tblGrid>
        <w:gridCol w:w="696"/>
        <w:gridCol w:w="4148"/>
        <w:gridCol w:w="8363"/>
      </w:tblGrid>
      <w:tr w:rsidR="00FE1639" w:rsidRPr="00FE1639" w14:paraId="3519295A" w14:textId="77777777" w:rsidTr="00D44006">
        <w:trPr>
          <w:trHeight w:val="495"/>
        </w:trPr>
        <w:tc>
          <w:tcPr>
            <w:tcW w:w="696" w:type="dxa"/>
            <w:tcBorders>
              <w:top w:val="single" w:sz="4" w:space="0" w:color="auto"/>
              <w:left w:val="single" w:sz="4" w:space="0" w:color="auto"/>
              <w:bottom w:val="single" w:sz="4" w:space="0" w:color="auto"/>
              <w:right w:val="single" w:sz="4" w:space="0" w:color="auto"/>
            </w:tcBorders>
            <w:vAlign w:val="center"/>
          </w:tcPr>
          <w:p w14:paraId="5C08E5E3" w14:textId="77777777" w:rsidR="00326D26" w:rsidRPr="00FE1639" w:rsidRDefault="00326D26" w:rsidP="00645EDC">
            <w:pPr>
              <w:spacing w:before="120"/>
              <w:ind w:left="-2"/>
              <w:jc w:val="center"/>
              <w:rPr>
                <w:bCs/>
                <w:sz w:val="26"/>
                <w:szCs w:val="26"/>
              </w:rPr>
            </w:pPr>
            <w:r w:rsidRPr="00FE1639">
              <w:rPr>
                <w:bCs/>
                <w:sz w:val="26"/>
                <w:szCs w:val="26"/>
              </w:rPr>
              <w:t>TT</w:t>
            </w:r>
          </w:p>
        </w:tc>
        <w:tc>
          <w:tcPr>
            <w:tcW w:w="4148" w:type="dxa"/>
            <w:tcBorders>
              <w:top w:val="single" w:sz="4" w:space="0" w:color="auto"/>
              <w:left w:val="nil"/>
              <w:bottom w:val="single" w:sz="4" w:space="0" w:color="auto"/>
              <w:right w:val="single" w:sz="4" w:space="0" w:color="auto"/>
            </w:tcBorders>
            <w:vAlign w:val="center"/>
          </w:tcPr>
          <w:p w14:paraId="5C682BED" w14:textId="77777777" w:rsidR="00326D26" w:rsidRPr="00FE1639" w:rsidRDefault="00326D26" w:rsidP="00645EDC">
            <w:pPr>
              <w:spacing w:before="120"/>
              <w:jc w:val="center"/>
              <w:rPr>
                <w:bCs/>
                <w:sz w:val="26"/>
                <w:szCs w:val="26"/>
              </w:rPr>
            </w:pPr>
            <w:r w:rsidRPr="00FE1639">
              <w:rPr>
                <w:bCs/>
                <w:sz w:val="26"/>
                <w:szCs w:val="26"/>
              </w:rPr>
              <w:t>Tên vật tư, thiết bị</w:t>
            </w:r>
          </w:p>
        </w:tc>
        <w:tc>
          <w:tcPr>
            <w:tcW w:w="8363" w:type="dxa"/>
            <w:tcBorders>
              <w:top w:val="single" w:sz="4" w:space="0" w:color="auto"/>
              <w:left w:val="nil"/>
              <w:bottom w:val="single" w:sz="4" w:space="0" w:color="auto"/>
              <w:right w:val="single" w:sz="4" w:space="0" w:color="auto"/>
            </w:tcBorders>
            <w:vAlign w:val="center"/>
          </w:tcPr>
          <w:p w14:paraId="236A039B" w14:textId="77777777" w:rsidR="00326D26" w:rsidRPr="00FE1639" w:rsidRDefault="00326D26" w:rsidP="00645EDC">
            <w:pPr>
              <w:spacing w:before="120"/>
              <w:jc w:val="center"/>
              <w:rPr>
                <w:bCs/>
                <w:sz w:val="26"/>
                <w:szCs w:val="26"/>
              </w:rPr>
            </w:pPr>
            <w:r w:rsidRPr="00FE1639">
              <w:rPr>
                <w:bCs/>
                <w:sz w:val="26"/>
                <w:szCs w:val="26"/>
              </w:rPr>
              <w:t>Thông số kỹ thuật</w:t>
            </w:r>
          </w:p>
        </w:tc>
      </w:tr>
      <w:tr w:rsidR="00FE1639" w:rsidRPr="00FE1639" w14:paraId="02E8A1DF" w14:textId="77777777" w:rsidTr="00D44006">
        <w:trPr>
          <w:trHeight w:val="151"/>
        </w:trPr>
        <w:tc>
          <w:tcPr>
            <w:tcW w:w="696" w:type="dxa"/>
            <w:tcBorders>
              <w:top w:val="nil"/>
              <w:left w:val="single" w:sz="4" w:space="0" w:color="auto"/>
              <w:bottom w:val="single" w:sz="4" w:space="0" w:color="auto"/>
              <w:right w:val="single" w:sz="4" w:space="0" w:color="auto"/>
            </w:tcBorders>
            <w:vAlign w:val="center"/>
          </w:tcPr>
          <w:p w14:paraId="21542595"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34328E56" w14:textId="77777777" w:rsidR="00326D26" w:rsidRPr="00FE1639" w:rsidRDefault="00326D26" w:rsidP="00645EDC">
            <w:pPr>
              <w:spacing w:before="120"/>
              <w:rPr>
                <w:sz w:val="26"/>
                <w:szCs w:val="26"/>
              </w:rPr>
            </w:pPr>
            <w:r w:rsidRPr="00FE1639">
              <w:rPr>
                <w:sz w:val="26"/>
                <w:szCs w:val="26"/>
              </w:rPr>
              <w:t xml:space="preserve">Xi măng </w:t>
            </w:r>
          </w:p>
        </w:tc>
        <w:tc>
          <w:tcPr>
            <w:tcW w:w="8363" w:type="dxa"/>
            <w:tcBorders>
              <w:top w:val="nil"/>
              <w:left w:val="nil"/>
              <w:bottom w:val="single" w:sz="4" w:space="0" w:color="auto"/>
              <w:right w:val="single" w:sz="4" w:space="0" w:color="auto"/>
            </w:tcBorders>
            <w:vAlign w:val="center"/>
          </w:tcPr>
          <w:p w14:paraId="128B3E7B" w14:textId="77777777" w:rsidR="00326D26" w:rsidRPr="00FE1639" w:rsidRDefault="00326D26" w:rsidP="00645EDC">
            <w:pPr>
              <w:spacing w:before="120"/>
              <w:rPr>
                <w:sz w:val="26"/>
                <w:szCs w:val="26"/>
              </w:rPr>
            </w:pPr>
            <w:r w:rsidRPr="00FE1639">
              <w:rPr>
                <w:sz w:val="26"/>
                <w:szCs w:val="26"/>
                <w:lang w:eastAsia="ar-SA"/>
              </w:rPr>
              <w:t>Hà Tiên hoặc tương đương (Theo Quy chuẩn, Tiêu chuẩn Việt Nam và theo Hồ sơ thiết kế bản vẽ thi công được duyệt)</w:t>
            </w:r>
          </w:p>
        </w:tc>
      </w:tr>
      <w:tr w:rsidR="00FE1639" w:rsidRPr="00FE1639" w14:paraId="6439E48B" w14:textId="77777777" w:rsidTr="00D44006">
        <w:trPr>
          <w:trHeight w:val="124"/>
        </w:trPr>
        <w:tc>
          <w:tcPr>
            <w:tcW w:w="696" w:type="dxa"/>
            <w:tcBorders>
              <w:top w:val="nil"/>
              <w:left w:val="single" w:sz="4" w:space="0" w:color="auto"/>
              <w:bottom w:val="single" w:sz="4" w:space="0" w:color="auto"/>
              <w:right w:val="single" w:sz="4" w:space="0" w:color="auto"/>
            </w:tcBorders>
            <w:vAlign w:val="center"/>
          </w:tcPr>
          <w:p w14:paraId="3196896E"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77231B40" w14:textId="77777777" w:rsidR="00326D26" w:rsidRPr="00FE1639" w:rsidRDefault="00326D26" w:rsidP="00645EDC">
            <w:pPr>
              <w:spacing w:before="120"/>
              <w:rPr>
                <w:sz w:val="26"/>
                <w:szCs w:val="26"/>
              </w:rPr>
            </w:pPr>
            <w:r w:rsidRPr="00FE1639">
              <w:rPr>
                <w:sz w:val="26"/>
                <w:szCs w:val="26"/>
              </w:rPr>
              <w:t xml:space="preserve">Cát </w:t>
            </w:r>
          </w:p>
        </w:tc>
        <w:tc>
          <w:tcPr>
            <w:tcW w:w="8363" w:type="dxa"/>
            <w:tcBorders>
              <w:top w:val="nil"/>
              <w:left w:val="nil"/>
              <w:bottom w:val="single" w:sz="4" w:space="0" w:color="auto"/>
              <w:right w:val="single" w:sz="4" w:space="0" w:color="auto"/>
            </w:tcBorders>
            <w:vAlign w:val="center"/>
          </w:tcPr>
          <w:p w14:paraId="18D95260"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5847CAD6"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1C01A721"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06754F6B" w14:textId="77777777" w:rsidR="00326D26" w:rsidRPr="00FE1639" w:rsidRDefault="00326D26" w:rsidP="00645EDC">
            <w:pPr>
              <w:spacing w:before="120"/>
              <w:rPr>
                <w:sz w:val="26"/>
                <w:szCs w:val="26"/>
              </w:rPr>
            </w:pPr>
            <w:r w:rsidRPr="00FE1639">
              <w:rPr>
                <w:sz w:val="26"/>
                <w:szCs w:val="26"/>
              </w:rPr>
              <w:t>Thép các loại</w:t>
            </w:r>
          </w:p>
        </w:tc>
        <w:tc>
          <w:tcPr>
            <w:tcW w:w="8363" w:type="dxa"/>
            <w:tcBorders>
              <w:top w:val="nil"/>
              <w:left w:val="nil"/>
              <w:bottom w:val="single" w:sz="4" w:space="0" w:color="auto"/>
              <w:right w:val="single" w:sz="4" w:space="0" w:color="auto"/>
            </w:tcBorders>
            <w:vAlign w:val="center"/>
          </w:tcPr>
          <w:p w14:paraId="5D7478B6" w14:textId="77777777" w:rsidR="00326D26" w:rsidRPr="00FE1639" w:rsidRDefault="00326D26" w:rsidP="00645EDC">
            <w:pPr>
              <w:spacing w:before="120"/>
              <w:rPr>
                <w:sz w:val="26"/>
                <w:szCs w:val="26"/>
              </w:rPr>
            </w:pPr>
            <w:r w:rsidRPr="00FE1639">
              <w:rPr>
                <w:sz w:val="26"/>
                <w:szCs w:val="26"/>
                <w:lang w:eastAsia="ar-SA"/>
              </w:rPr>
              <w:t>Theo Quy chuẩn, Tiêu chuẩn Việt Nam và theo Hồ sơ thiết kế bản vẽ thi công được duyệt</w:t>
            </w:r>
          </w:p>
        </w:tc>
      </w:tr>
      <w:tr w:rsidR="00FE1639" w:rsidRPr="00FE1639" w14:paraId="055911B5" w14:textId="77777777" w:rsidTr="00D44006">
        <w:trPr>
          <w:trHeight w:val="495"/>
        </w:trPr>
        <w:tc>
          <w:tcPr>
            <w:tcW w:w="696" w:type="dxa"/>
            <w:tcBorders>
              <w:top w:val="nil"/>
              <w:left w:val="single" w:sz="4" w:space="0" w:color="auto"/>
              <w:bottom w:val="single" w:sz="4" w:space="0" w:color="auto"/>
              <w:right w:val="single" w:sz="4" w:space="0" w:color="auto"/>
            </w:tcBorders>
            <w:vAlign w:val="center"/>
          </w:tcPr>
          <w:p w14:paraId="553D6316"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2F0F19B0" w14:textId="77777777" w:rsidR="00326D26" w:rsidRPr="00FE1639" w:rsidRDefault="00326D26" w:rsidP="00645EDC">
            <w:pPr>
              <w:spacing w:before="120"/>
              <w:rPr>
                <w:sz w:val="26"/>
                <w:szCs w:val="26"/>
              </w:rPr>
            </w:pPr>
            <w:r w:rsidRPr="00FE1639">
              <w:rPr>
                <w:sz w:val="26"/>
                <w:szCs w:val="26"/>
              </w:rPr>
              <w:t>Đá các loại</w:t>
            </w:r>
          </w:p>
        </w:tc>
        <w:tc>
          <w:tcPr>
            <w:tcW w:w="8363" w:type="dxa"/>
            <w:tcBorders>
              <w:top w:val="nil"/>
              <w:left w:val="nil"/>
              <w:bottom w:val="single" w:sz="4" w:space="0" w:color="auto"/>
              <w:right w:val="single" w:sz="4" w:space="0" w:color="auto"/>
            </w:tcBorders>
          </w:tcPr>
          <w:p w14:paraId="71592E7B" w14:textId="77777777" w:rsidR="00326D26" w:rsidRPr="00FE1639" w:rsidRDefault="00326D26" w:rsidP="00645EDC">
            <w:r w:rsidRPr="00FE1639">
              <w:rPr>
                <w:sz w:val="26"/>
                <w:szCs w:val="26"/>
                <w:lang w:eastAsia="ar-SA"/>
              </w:rPr>
              <w:t>Theo Quy chuẩn, Tiêu chuẩn Việt Nam và theo Hồ sơ thiết kế bản vẽ thi công được duyệt</w:t>
            </w:r>
          </w:p>
        </w:tc>
      </w:tr>
      <w:tr w:rsidR="00FE1639" w:rsidRPr="00FE1639" w14:paraId="1447B2C4" w14:textId="77777777" w:rsidTr="00D44006">
        <w:trPr>
          <w:trHeight w:val="495"/>
        </w:trPr>
        <w:tc>
          <w:tcPr>
            <w:tcW w:w="696" w:type="dxa"/>
            <w:tcBorders>
              <w:top w:val="nil"/>
              <w:left w:val="single" w:sz="4" w:space="0" w:color="auto"/>
              <w:bottom w:val="single" w:sz="4" w:space="0" w:color="auto"/>
              <w:right w:val="single" w:sz="4" w:space="0" w:color="auto"/>
            </w:tcBorders>
            <w:vAlign w:val="center"/>
          </w:tcPr>
          <w:p w14:paraId="45090B52"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070415F8" w14:textId="04E120B3" w:rsidR="00326D26" w:rsidRPr="00FE1639" w:rsidRDefault="005A31D4" w:rsidP="00645EDC">
            <w:pPr>
              <w:spacing w:before="120"/>
              <w:rPr>
                <w:sz w:val="26"/>
                <w:szCs w:val="26"/>
              </w:rPr>
            </w:pPr>
            <w:r w:rsidRPr="00FE1639">
              <w:rPr>
                <w:sz w:val="26"/>
                <w:szCs w:val="26"/>
              </w:rPr>
              <w:t>Gạch Terrazzo</w:t>
            </w:r>
          </w:p>
        </w:tc>
        <w:tc>
          <w:tcPr>
            <w:tcW w:w="8363" w:type="dxa"/>
            <w:tcBorders>
              <w:top w:val="nil"/>
              <w:left w:val="nil"/>
              <w:bottom w:val="single" w:sz="4" w:space="0" w:color="auto"/>
              <w:right w:val="single" w:sz="4" w:space="0" w:color="auto"/>
            </w:tcBorders>
          </w:tcPr>
          <w:p w14:paraId="42CB8204" w14:textId="77777777" w:rsidR="00326D26" w:rsidRPr="00FE1639" w:rsidRDefault="00326D26" w:rsidP="00645EDC">
            <w:pPr>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404F5FDE" w14:textId="77777777" w:rsidTr="00D44006">
        <w:trPr>
          <w:trHeight w:val="495"/>
        </w:trPr>
        <w:tc>
          <w:tcPr>
            <w:tcW w:w="696" w:type="dxa"/>
            <w:tcBorders>
              <w:top w:val="nil"/>
              <w:left w:val="single" w:sz="4" w:space="0" w:color="auto"/>
              <w:bottom w:val="single" w:sz="4" w:space="0" w:color="auto"/>
              <w:right w:val="single" w:sz="4" w:space="0" w:color="auto"/>
            </w:tcBorders>
            <w:vAlign w:val="center"/>
          </w:tcPr>
          <w:p w14:paraId="1DA1BE7B"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61152DC7" w14:textId="77777777" w:rsidR="00326D26" w:rsidRPr="00FE1639" w:rsidRDefault="00326D26" w:rsidP="00645EDC">
            <w:pPr>
              <w:spacing w:before="120"/>
              <w:rPr>
                <w:sz w:val="26"/>
                <w:szCs w:val="26"/>
              </w:rPr>
            </w:pPr>
            <w:r w:rsidRPr="00FE1639">
              <w:rPr>
                <w:sz w:val="26"/>
                <w:szCs w:val="26"/>
              </w:rPr>
              <w:t xml:space="preserve">Cống bê tông li tâm </w:t>
            </w:r>
          </w:p>
        </w:tc>
        <w:tc>
          <w:tcPr>
            <w:tcW w:w="8363" w:type="dxa"/>
            <w:tcBorders>
              <w:top w:val="nil"/>
              <w:left w:val="nil"/>
              <w:bottom w:val="single" w:sz="4" w:space="0" w:color="auto"/>
              <w:right w:val="single" w:sz="4" w:space="0" w:color="auto"/>
            </w:tcBorders>
            <w:vAlign w:val="center"/>
          </w:tcPr>
          <w:p w14:paraId="048A14DF"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công được duyệt</w:t>
            </w:r>
          </w:p>
        </w:tc>
      </w:tr>
      <w:tr w:rsidR="00FE1639" w:rsidRPr="00FE1639" w14:paraId="6FE68FD5"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401D8B9C"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4881AFD8" w14:textId="77777777" w:rsidR="00326D26" w:rsidRPr="00FE1639" w:rsidRDefault="00326D26" w:rsidP="00645EDC">
            <w:pPr>
              <w:spacing w:before="120"/>
              <w:rPr>
                <w:sz w:val="26"/>
                <w:szCs w:val="26"/>
              </w:rPr>
            </w:pPr>
            <w:r w:rsidRPr="00FE1639">
              <w:rPr>
                <w:sz w:val="26"/>
                <w:szCs w:val="26"/>
              </w:rPr>
              <w:t>Sơn các loại</w:t>
            </w:r>
          </w:p>
        </w:tc>
        <w:tc>
          <w:tcPr>
            <w:tcW w:w="8363" w:type="dxa"/>
            <w:tcBorders>
              <w:top w:val="nil"/>
              <w:left w:val="nil"/>
              <w:bottom w:val="single" w:sz="4" w:space="0" w:color="auto"/>
              <w:right w:val="single" w:sz="4" w:space="0" w:color="auto"/>
            </w:tcBorders>
            <w:vAlign w:val="center"/>
          </w:tcPr>
          <w:p w14:paraId="3243D8F2"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công được duyệt</w:t>
            </w:r>
          </w:p>
        </w:tc>
      </w:tr>
      <w:tr w:rsidR="00FE1639" w:rsidRPr="00FE1639" w14:paraId="551C0BE0"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7B28C900"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66B3F11F" w14:textId="50A83763" w:rsidR="00326D26" w:rsidRPr="00FE1639" w:rsidRDefault="005A31D4" w:rsidP="005A31D4">
            <w:pPr>
              <w:rPr>
                <w:sz w:val="22"/>
                <w:szCs w:val="22"/>
              </w:rPr>
            </w:pPr>
            <w:r w:rsidRPr="00FE1639">
              <w:rPr>
                <w:sz w:val="22"/>
                <w:szCs w:val="22"/>
              </w:rPr>
              <w:t>Cáp CXV/DSTA 2x10mm2</w:t>
            </w:r>
          </w:p>
        </w:tc>
        <w:tc>
          <w:tcPr>
            <w:tcW w:w="8363" w:type="dxa"/>
            <w:tcBorders>
              <w:top w:val="nil"/>
              <w:left w:val="nil"/>
              <w:bottom w:val="single" w:sz="4" w:space="0" w:color="auto"/>
              <w:right w:val="single" w:sz="4" w:space="0" w:color="auto"/>
            </w:tcBorders>
            <w:vAlign w:val="center"/>
          </w:tcPr>
          <w:p w14:paraId="2036104D"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công được duyệt</w:t>
            </w:r>
          </w:p>
        </w:tc>
      </w:tr>
      <w:tr w:rsidR="00FE1639" w:rsidRPr="00FE1639" w14:paraId="0A52E3D7" w14:textId="77777777" w:rsidTr="00D44006">
        <w:trPr>
          <w:trHeight w:val="146"/>
        </w:trPr>
        <w:tc>
          <w:tcPr>
            <w:tcW w:w="696" w:type="dxa"/>
            <w:tcBorders>
              <w:top w:val="nil"/>
              <w:left w:val="single" w:sz="4" w:space="0" w:color="auto"/>
              <w:bottom w:val="single" w:sz="4" w:space="0" w:color="auto"/>
              <w:right w:val="single" w:sz="4" w:space="0" w:color="auto"/>
            </w:tcBorders>
            <w:vAlign w:val="center"/>
          </w:tcPr>
          <w:p w14:paraId="3000692B"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0D4B4AB2" w14:textId="77777777" w:rsidR="005A31D4" w:rsidRPr="00FE1639" w:rsidRDefault="005A31D4" w:rsidP="005A31D4">
            <w:pPr>
              <w:rPr>
                <w:sz w:val="22"/>
                <w:szCs w:val="22"/>
              </w:rPr>
            </w:pPr>
            <w:r w:rsidRPr="00FE1639">
              <w:rPr>
                <w:sz w:val="22"/>
                <w:szCs w:val="22"/>
              </w:rPr>
              <w:t>Cáp CXV/DSTA 3x95+1x70mm2</w:t>
            </w:r>
          </w:p>
          <w:p w14:paraId="1ACF5377" w14:textId="510BF303" w:rsidR="00326D26" w:rsidRPr="00FE1639" w:rsidRDefault="00326D26" w:rsidP="00645EDC">
            <w:pPr>
              <w:spacing w:before="120"/>
              <w:rPr>
                <w:sz w:val="26"/>
                <w:szCs w:val="26"/>
              </w:rPr>
            </w:pPr>
          </w:p>
        </w:tc>
        <w:tc>
          <w:tcPr>
            <w:tcW w:w="8363" w:type="dxa"/>
            <w:tcBorders>
              <w:top w:val="nil"/>
              <w:left w:val="nil"/>
              <w:bottom w:val="single" w:sz="4" w:space="0" w:color="auto"/>
              <w:right w:val="single" w:sz="4" w:space="0" w:color="auto"/>
            </w:tcBorders>
          </w:tcPr>
          <w:p w14:paraId="1EC1C297" w14:textId="77777777" w:rsidR="00326D26" w:rsidRPr="00FE1639" w:rsidRDefault="00326D26" w:rsidP="00645EDC">
            <w:r w:rsidRPr="00FE1639">
              <w:rPr>
                <w:sz w:val="26"/>
                <w:szCs w:val="26"/>
                <w:lang w:eastAsia="ar-SA"/>
              </w:rPr>
              <w:t>Theo Quy chuẩn, Tiêu chuẩn Việt Nam và theo Hồ sơ thiết kế bản vẽ thi công được duyệt</w:t>
            </w:r>
          </w:p>
        </w:tc>
      </w:tr>
      <w:tr w:rsidR="00FE1639" w:rsidRPr="00FE1639" w14:paraId="4AFA5B03"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2E50D896"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2BC12E6E" w14:textId="77777777" w:rsidR="005A31D4" w:rsidRPr="00FE1639" w:rsidRDefault="005A31D4" w:rsidP="005A31D4">
            <w:pPr>
              <w:rPr>
                <w:sz w:val="22"/>
                <w:szCs w:val="22"/>
              </w:rPr>
            </w:pPr>
            <w:r w:rsidRPr="00FE1639">
              <w:rPr>
                <w:sz w:val="22"/>
                <w:szCs w:val="22"/>
              </w:rPr>
              <w:t>Cáp điện đồng bọc CXV/DSTA 4x10mm</w:t>
            </w:r>
          </w:p>
          <w:p w14:paraId="6E91CD87" w14:textId="5ACA0BAE" w:rsidR="00326D26" w:rsidRPr="00FE1639" w:rsidRDefault="00326D26" w:rsidP="00645EDC">
            <w:pPr>
              <w:spacing w:before="120"/>
              <w:rPr>
                <w:sz w:val="26"/>
                <w:szCs w:val="26"/>
              </w:rPr>
            </w:pPr>
          </w:p>
        </w:tc>
        <w:tc>
          <w:tcPr>
            <w:tcW w:w="8363" w:type="dxa"/>
            <w:tcBorders>
              <w:top w:val="nil"/>
              <w:left w:val="nil"/>
              <w:bottom w:val="single" w:sz="4" w:space="0" w:color="auto"/>
              <w:right w:val="single" w:sz="4" w:space="0" w:color="auto"/>
            </w:tcBorders>
            <w:vAlign w:val="center"/>
          </w:tcPr>
          <w:p w14:paraId="6A86A87B"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công được duyệt</w:t>
            </w:r>
          </w:p>
        </w:tc>
      </w:tr>
      <w:tr w:rsidR="00FE1639" w:rsidRPr="00FE1639" w14:paraId="10CBC942"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01826440"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523C6004" w14:textId="77777777" w:rsidR="005A31D4" w:rsidRPr="00FE1639" w:rsidRDefault="005A31D4" w:rsidP="005A31D4">
            <w:pPr>
              <w:rPr>
                <w:sz w:val="22"/>
                <w:szCs w:val="22"/>
              </w:rPr>
            </w:pPr>
            <w:r w:rsidRPr="00FE1639">
              <w:rPr>
                <w:sz w:val="22"/>
                <w:szCs w:val="22"/>
              </w:rPr>
              <w:t>Cáp điện đồng bọc CXV/DSTA 4x25mm2</w:t>
            </w:r>
          </w:p>
          <w:p w14:paraId="024C9CC8" w14:textId="2B98FB3F" w:rsidR="00326D26" w:rsidRPr="00FE1639" w:rsidRDefault="00326D26" w:rsidP="00645EDC">
            <w:pPr>
              <w:spacing w:before="120"/>
              <w:rPr>
                <w:sz w:val="26"/>
                <w:szCs w:val="26"/>
              </w:rPr>
            </w:pPr>
          </w:p>
        </w:tc>
        <w:tc>
          <w:tcPr>
            <w:tcW w:w="8363" w:type="dxa"/>
            <w:tcBorders>
              <w:top w:val="nil"/>
              <w:left w:val="nil"/>
              <w:bottom w:val="single" w:sz="4" w:space="0" w:color="auto"/>
              <w:right w:val="single" w:sz="4" w:space="0" w:color="auto"/>
            </w:tcBorders>
            <w:vAlign w:val="center"/>
          </w:tcPr>
          <w:p w14:paraId="50275A9B"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1B650121"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74F4A524"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4D63EC8E" w14:textId="77777777" w:rsidR="005A31D4" w:rsidRPr="00FE1639" w:rsidRDefault="005A31D4" w:rsidP="005A31D4">
            <w:pPr>
              <w:rPr>
                <w:sz w:val="22"/>
                <w:szCs w:val="22"/>
              </w:rPr>
            </w:pPr>
            <w:r w:rsidRPr="00FE1639">
              <w:rPr>
                <w:sz w:val="22"/>
                <w:szCs w:val="22"/>
              </w:rPr>
              <w:t>Cọc tiếp địa Ø16 L2,4 mạ đồng + kẹp tiếp địa</w:t>
            </w:r>
          </w:p>
          <w:p w14:paraId="687050CF" w14:textId="798F9F60" w:rsidR="00326D26" w:rsidRPr="00FE1639" w:rsidRDefault="00326D26" w:rsidP="00645EDC">
            <w:pPr>
              <w:spacing w:before="120"/>
              <w:rPr>
                <w:sz w:val="26"/>
                <w:szCs w:val="26"/>
              </w:rPr>
            </w:pPr>
          </w:p>
        </w:tc>
        <w:tc>
          <w:tcPr>
            <w:tcW w:w="8363" w:type="dxa"/>
            <w:tcBorders>
              <w:top w:val="nil"/>
              <w:left w:val="nil"/>
              <w:bottom w:val="single" w:sz="4" w:space="0" w:color="auto"/>
              <w:right w:val="single" w:sz="4" w:space="0" w:color="auto"/>
            </w:tcBorders>
            <w:vAlign w:val="center"/>
          </w:tcPr>
          <w:p w14:paraId="37D9036B"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công được duyệt</w:t>
            </w:r>
          </w:p>
        </w:tc>
      </w:tr>
      <w:tr w:rsidR="00FE1639" w:rsidRPr="00FE1639" w14:paraId="502FAFD0"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0CE91FFD"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1FD9D571" w14:textId="77777777" w:rsidR="005A31D4" w:rsidRPr="00FE1639" w:rsidRDefault="005A31D4" w:rsidP="005A31D4">
            <w:pPr>
              <w:rPr>
                <w:sz w:val="22"/>
                <w:szCs w:val="22"/>
              </w:rPr>
            </w:pPr>
            <w:r w:rsidRPr="00FE1639">
              <w:rPr>
                <w:sz w:val="22"/>
                <w:szCs w:val="22"/>
              </w:rPr>
              <w:t>Dây CVV 3x1,5mm2</w:t>
            </w:r>
          </w:p>
          <w:p w14:paraId="667CEDF2" w14:textId="5A88BE64" w:rsidR="00326D26" w:rsidRPr="00FE1639" w:rsidRDefault="00326D26" w:rsidP="00645EDC">
            <w:pPr>
              <w:spacing w:before="120"/>
              <w:rPr>
                <w:sz w:val="26"/>
                <w:szCs w:val="26"/>
              </w:rPr>
            </w:pPr>
          </w:p>
        </w:tc>
        <w:tc>
          <w:tcPr>
            <w:tcW w:w="8363" w:type="dxa"/>
            <w:tcBorders>
              <w:top w:val="nil"/>
              <w:left w:val="nil"/>
              <w:bottom w:val="single" w:sz="4" w:space="0" w:color="auto"/>
              <w:right w:val="single" w:sz="4" w:space="0" w:color="auto"/>
            </w:tcBorders>
            <w:vAlign w:val="center"/>
          </w:tcPr>
          <w:p w14:paraId="61C1503A"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21703DDF" w14:textId="77777777" w:rsidTr="00D44006">
        <w:trPr>
          <w:trHeight w:val="70"/>
        </w:trPr>
        <w:tc>
          <w:tcPr>
            <w:tcW w:w="696" w:type="dxa"/>
            <w:tcBorders>
              <w:top w:val="nil"/>
              <w:left w:val="single" w:sz="4" w:space="0" w:color="auto"/>
              <w:bottom w:val="single" w:sz="4" w:space="0" w:color="auto"/>
              <w:right w:val="single" w:sz="4" w:space="0" w:color="auto"/>
            </w:tcBorders>
            <w:vAlign w:val="center"/>
          </w:tcPr>
          <w:p w14:paraId="5078AA3C"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nil"/>
              <w:left w:val="nil"/>
              <w:bottom w:val="single" w:sz="4" w:space="0" w:color="auto"/>
              <w:right w:val="single" w:sz="4" w:space="0" w:color="auto"/>
            </w:tcBorders>
            <w:vAlign w:val="center"/>
          </w:tcPr>
          <w:p w14:paraId="1252FEFF" w14:textId="77777777" w:rsidR="005A31D4" w:rsidRPr="00FE1639" w:rsidRDefault="005A31D4" w:rsidP="005A31D4">
            <w:pPr>
              <w:rPr>
                <w:sz w:val="22"/>
                <w:szCs w:val="22"/>
              </w:rPr>
            </w:pPr>
            <w:r w:rsidRPr="00FE1639">
              <w:rPr>
                <w:sz w:val="22"/>
                <w:szCs w:val="22"/>
              </w:rPr>
              <w:t>Dây đồng trần 25 mm2</w:t>
            </w:r>
          </w:p>
          <w:p w14:paraId="40279A50" w14:textId="4F865A50" w:rsidR="00326D26" w:rsidRPr="00FE1639" w:rsidRDefault="00326D26" w:rsidP="00645EDC">
            <w:pPr>
              <w:spacing w:before="120"/>
              <w:rPr>
                <w:sz w:val="26"/>
                <w:szCs w:val="26"/>
              </w:rPr>
            </w:pPr>
          </w:p>
        </w:tc>
        <w:tc>
          <w:tcPr>
            <w:tcW w:w="8363" w:type="dxa"/>
            <w:tcBorders>
              <w:top w:val="nil"/>
              <w:left w:val="nil"/>
              <w:bottom w:val="single" w:sz="4" w:space="0" w:color="auto"/>
              <w:right w:val="single" w:sz="4" w:space="0" w:color="auto"/>
            </w:tcBorders>
            <w:vAlign w:val="center"/>
          </w:tcPr>
          <w:p w14:paraId="4A57B2B9"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 g được duyệt</w:t>
            </w:r>
          </w:p>
        </w:tc>
      </w:tr>
      <w:tr w:rsidR="00FE1639" w:rsidRPr="00FE1639" w14:paraId="47DAB6C2"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0D874FAD"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4C74B0CC" w14:textId="77777777" w:rsidR="005A31D4" w:rsidRPr="00FE1639" w:rsidRDefault="005A31D4" w:rsidP="005A31D4">
            <w:pPr>
              <w:rPr>
                <w:sz w:val="22"/>
                <w:szCs w:val="22"/>
              </w:rPr>
            </w:pPr>
            <w:r w:rsidRPr="00FE1639">
              <w:rPr>
                <w:sz w:val="22"/>
                <w:szCs w:val="22"/>
              </w:rPr>
              <w:t>Ống nhựa xoắn HDPE D50/40, dày 1,5mm</w:t>
            </w:r>
          </w:p>
          <w:p w14:paraId="1B084BFC" w14:textId="779DA34B"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2857B580" w14:textId="77777777" w:rsidR="00326D26" w:rsidRPr="00FE1639" w:rsidRDefault="00326D26" w:rsidP="00645EDC">
            <w:pPr>
              <w:spacing w:before="120"/>
            </w:pPr>
            <w:r w:rsidRPr="00FE1639">
              <w:rPr>
                <w:sz w:val="26"/>
                <w:szCs w:val="26"/>
                <w:lang w:eastAsia="ar-SA"/>
              </w:rPr>
              <w:t>Theo Quy chuẩn, Tiêu chuẩn Việt Nam và theo Hồ sơ thiết kế bản vẽ thi công được duyệt</w:t>
            </w:r>
          </w:p>
        </w:tc>
      </w:tr>
      <w:tr w:rsidR="00FE1639" w:rsidRPr="00FE1639" w14:paraId="05432323"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3A88CF73"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73F76880" w14:textId="77777777" w:rsidR="005A31D4" w:rsidRPr="00FE1639" w:rsidRDefault="005A31D4" w:rsidP="005A31D4">
            <w:pPr>
              <w:rPr>
                <w:sz w:val="22"/>
                <w:szCs w:val="22"/>
              </w:rPr>
            </w:pPr>
            <w:r w:rsidRPr="00FE1639">
              <w:rPr>
                <w:sz w:val="22"/>
                <w:szCs w:val="22"/>
              </w:rPr>
              <w:t>Ống nhựa HDPE D160mm, L=6m, chiều dày 7,7mm</w:t>
            </w:r>
          </w:p>
          <w:p w14:paraId="2D8B4C97" w14:textId="1E8DBED7"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54060037"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74C45255"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3907912A"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44141772" w14:textId="77777777" w:rsidR="005A31D4" w:rsidRPr="00FE1639" w:rsidRDefault="005A31D4" w:rsidP="005A31D4">
            <w:pPr>
              <w:rPr>
                <w:sz w:val="22"/>
                <w:szCs w:val="22"/>
              </w:rPr>
            </w:pPr>
            <w:r w:rsidRPr="00FE1639">
              <w:rPr>
                <w:sz w:val="22"/>
                <w:szCs w:val="22"/>
              </w:rPr>
              <w:t>tê gang BBB DN150x150</w:t>
            </w:r>
          </w:p>
          <w:p w14:paraId="7258BCF7" w14:textId="55D2E79A"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51563F39"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5BE204E9"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2A9784E9"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29888DB8" w14:textId="77777777" w:rsidR="005A31D4" w:rsidRPr="00FE1639" w:rsidRDefault="005A31D4" w:rsidP="005A31D4">
            <w:pPr>
              <w:rPr>
                <w:sz w:val="22"/>
                <w:szCs w:val="22"/>
              </w:rPr>
            </w:pPr>
            <w:r w:rsidRPr="00FE1639">
              <w:rPr>
                <w:sz w:val="22"/>
                <w:szCs w:val="22"/>
              </w:rPr>
              <w:t>tê gang giảm BBB DN150x100</w:t>
            </w:r>
          </w:p>
          <w:p w14:paraId="11D2A634" w14:textId="037EB540"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593EDE46"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77F0A6AA"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08E3448D"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644B5D1F" w14:textId="77777777" w:rsidR="005A31D4" w:rsidRPr="00FE1639" w:rsidRDefault="005A31D4" w:rsidP="005A31D4">
            <w:pPr>
              <w:rPr>
                <w:sz w:val="22"/>
                <w:szCs w:val="22"/>
              </w:rPr>
            </w:pPr>
            <w:r w:rsidRPr="00FE1639">
              <w:rPr>
                <w:sz w:val="22"/>
                <w:szCs w:val="22"/>
              </w:rPr>
              <w:t>tê giảm gang BBB D355x160</w:t>
            </w:r>
          </w:p>
          <w:p w14:paraId="11C989E7" w14:textId="5DA9587B"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7BBC0AA0"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73708E4A"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6636C26A"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4144AF12" w14:textId="77777777" w:rsidR="005A31D4" w:rsidRPr="00FE1639" w:rsidRDefault="005A31D4" w:rsidP="005A31D4">
            <w:pPr>
              <w:rPr>
                <w:sz w:val="22"/>
                <w:szCs w:val="22"/>
              </w:rPr>
            </w:pPr>
            <w:r w:rsidRPr="00FE1639">
              <w:rPr>
                <w:sz w:val="22"/>
                <w:szCs w:val="22"/>
              </w:rPr>
              <w:t>Van mặt bích BB DN100mm</w:t>
            </w:r>
          </w:p>
          <w:p w14:paraId="5DCD43AF" w14:textId="697E6912"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26AA6EFC"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r w:rsidR="00FE1639" w:rsidRPr="00FE1639" w14:paraId="2A3D1637" w14:textId="77777777" w:rsidTr="00D44006">
        <w:trPr>
          <w:trHeight w:val="870"/>
        </w:trPr>
        <w:tc>
          <w:tcPr>
            <w:tcW w:w="696" w:type="dxa"/>
            <w:tcBorders>
              <w:top w:val="single" w:sz="4" w:space="0" w:color="auto"/>
              <w:left w:val="single" w:sz="4" w:space="0" w:color="auto"/>
              <w:bottom w:val="single" w:sz="4" w:space="0" w:color="auto"/>
              <w:right w:val="single" w:sz="4" w:space="0" w:color="auto"/>
            </w:tcBorders>
            <w:vAlign w:val="center"/>
          </w:tcPr>
          <w:p w14:paraId="400F976E" w14:textId="77777777" w:rsidR="00326D26" w:rsidRPr="00FE1639" w:rsidRDefault="00326D26" w:rsidP="00645EDC">
            <w:pPr>
              <w:pStyle w:val="ListParagraph"/>
              <w:numPr>
                <w:ilvl w:val="0"/>
                <w:numId w:val="3"/>
              </w:numPr>
              <w:spacing w:before="120"/>
              <w:ind w:left="-2" w:firstLine="0"/>
              <w:jc w:val="center"/>
              <w:rPr>
                <w:sz w:val="26"/>
                <w:szCs w:val="26"/>
              </w:rPr>
            </w:pPr>
          </w:p>
        </w:tc>
        <w:tc>
          <w:tcPr>
            <w:tcW w:w="4148" w:type="dxa"/>
            <w:tcBorders>
              <w:top w:val="single" w:sz="4" w:space="0" w:color="auto"/>
              <w:left w:val="nil"/>
              <w:bottom w:val="single" w:sz="4" w:space="0" w:color="auto"/>
              <w:right w:val="single" w:sz="4" w:space="0" w:color="auto"/>
            </w:tcBorders>
            <w:vAlign w:val="center"/>
          </w:tcPr>
          <w:p w14:paraId="169D2374" w14:textId="77777777" w:rsidR="005A31D4" w:rsidRPr="00FE1639" w:rsidRDefault="005A31D4" w:rsidP="005A31D4">
            <w:pPr>
              <w:rPr>
                <w:sz w:val="22"/>
                <w:szCs w:val="22"/>
              </w:rPr>
            </w:pPr>
            <w:r w:rsidRPr="00FE1639">
              <w:rPr>
                <w:sz w:val="22"/>
                <w:szCs w:val="22"/>
              </w:rPr>
              <w:t>Van Mặt bích BB DN150</w:t>
            </w:r>
          </w:p>
          <w:p w14:paraId="31313C31" w14:textId="40DE810F" w:rsidR="00326D26" w:rsidRPr="00FE1639" w:rsidRDefault="00326D26" w:rsidP="00645EDC">
            <w:pPr>
              <w:spacing w:before="120"/>
              <w:rPr>
                <w:sz w:val="26"/>
                <w:szCs w:val="26"/>
              </w:rPr>
            </w:pPr>
          </w:p>
        </w:tc>
        <w:tc>
          <w:tcPr>
            <w:tcW w:w="8363" w:type="dxa"/>
            <w:tcBorders>
              <w:top w:val="single" w:sz="4" w:space="0" w:color="auto"/>
              <w:left w:val="nil"/>
              <w:bottom w:val="single" w:sz="4" w:space="0" w:color="auto"/>
              <w:right w:val="single" w:sz="4" w:space="0" w:color="auto"/>
            </w:tcBorders>
            <w:vAlign w:val="center"/>
          </w:tcPr>
          <w:p w14:paraId="48DEE67D" w14:textId="77777777" w:rsidR="00326D26" w:rsidRPr="00FE1639" w:rsidRDefault="00326D26" w:rsidP="00645EDC">
            <w:pPr>
              <w:spacing w:before="120"/>
              <w:rPr>
                <w:sz w:val="26"/>
                <w:szCs w:val="26"/>
                <w:lang w:eastAsia="ar-SA"/>
              </w:rPr>
            </w:pPr>
            <w:r w:rsidRPr="00FE1639">
              <w:rPr>
                <w:sz w:val="26"/>
                <w:szCs w:val="26"/>
                <w:lang w:eastAsia="ar-SA"/>
              </w:rPr>
              <w:t>Theo Quy chuẩn, Tiêu chuẩn Việt Nam và theo Hồ sơ thiết kế bản vẽ thi công được duyệt</w:t>
            </w:r>
          </w:p>
        </w:tc>
      </w:tr>
    </w:tbl>
    <w:p w14:paraId="5DD71D88" w14:textId="77777777" w:rsidR="00326D26" w:rsidRPr="00FE1639" w:rsidRDefault="00326D26" w:rsidP="00326D26">
      <w:pPr>
        <w:widowControl w:val="0"/>
        <w:autoSpaceDE w:val="0"/>
        <w:autoSpaceDN w:val="0"/>
        <w:adjustRightInd w:val="0"/>
        <w:spacing w:before="120"/>
        <w:ind w:right="-14" w:firstLine="567"/>
        <w:rPr>
          <w:sz w:val="2"/>
          <w:szCs w:val="28"/>
        </w:rPr>
      </w:pPr>
    </w:p>
    <w:p w14:paraId="6FFAB8BB" w14:textId="77777777" w:rsidR="00191D27" w:rsidRPr="00FE1639" w:rsidRDefault="00191D27" w:rsidP="00191D27">
      <w:pPr>
        <w:tabs>
          <w:tab w:val="left" w:pos="288"/>
        </w:tabs>
        <w:spacing w:before="120"/>
        <w:jc w:val="left"/>
        <w:rPr>
          <w:bCs/>
          <w:iCs/>
          <w:sz w:val="26"/>
          <w:szCs w:val="26"/>
          <w:u w:val="single"/>
          <w:lang w:val="es-ES"/>
        </w:rPr>
      </w:pPr>
      <w:r w:rsidRPr="00FE1639">
        <w:rPr>
          <w:bCs/>
          <w:iCs/>
          <w:sz w:val="26"/>
          <w:szCs w:val="26"/>
          <w:u w:val="single"/>
          <w:lang w:val="es-ES"/>
        </w:rPr>
        <w:t xml:space="preserve">B. PHẦN THIẾT BỊ LẮP ĐẶT CHÍNH </w:t>
      </w:r>
    </w:p>
    <w:p w14:paraId="4E4E9B53" w14:textId="77777777" w:rsidR="00191D27" w:rsidRPr="00FE1639" w:rsidRDefault="00191D27" w:rsidP="00191D27">
      <w:pPr>
        <w:tabs>
          <w:tab w:val="left" w:pos="288"/>
        </w:tabs>
        <w:spacing w:before="120"/>
        <w:jc w:val="left"/>
        <w:rPr>
          <w:bCs/>
          <w:iCs/>
          <w:sz w:val="26"/>
          <w:szCs w:val="26"/>
          <w:u w:val="single"/>
          <w:lang w:val="es-ES"/>
        </w:rPr>
      </w:pPr>
    </w:p>
    <w:tbl>
      <w:tblPr>
        <w:tblStyle w:val="TableGrid"/>
        <w:tblW w:w="13320" w:type="dxa"/>
        <w:tblLook w:val="04A0" w:firstRow="1" w:lastRow="0" w:firstColumn="1" w:lastColumn="0" w:noHBand="0" w:noVBand="1"/>
      </w:tblPr>
      <w:tblGrid>
        <w:gridCol w:w="846"/>
        <w:gridCol w:w="5953"/>
        <w:gridCol w:w="6521"/>
      </w:tblGrid>
      <w:tr w:rsidR="00FE1639" w:rsidRPr="00FE1639" w14:paraId="5F766FDC" w14:textId="77777777" w:rsidTr="00D44006">
        <w:tc>
          <w:tcPr>
            <w:tcW w:w="846" w:type="dxa"/>
            <w:vAlign w:val="center"/>
          </w:tcPr>
          <w:p w14:paraId="008DE422"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bCs/>
                <w:szCs w:val="24"/>
              </w:rPr>
              <w:t>Stt</w:t>
            </w:r>
          </w:p>
        </w:tc>
        <w:tc>
          <w:tcPr>
            <w:tcW w:w="5953" w:type="dxa"/>
            <w:vAlign w:val="center"/>
          </w:tcPr>
          <w:p w14:paraId="5E75AC1D" w14:textId="77777777" w:rsidR="00191D27" w:rsidRPr="00FE1639" w:rsidRDefault="00191D27" w:rsidP="00C47891">
            <w:pPr>
              <w:widowControl w:val="0"/>
              <w:autoSpaceDE w:val="0"/>
              <w:autoSpaceDN w:val="0"/>
              <w:adjustRightInd w:val="0"/>
              <w:spacing w:before="120"/>
              <w:ind w:right="-14"/>
              <w:rPr>
                <w:sz w:val="28"/>
                <w:szCs w:val="28"/>
              </w:rPr>
            </w:pPr>
            <w:r w:rsidRPr="00FE1639">
              <w:rPr>
                <w:bCs/>
                <w:szCs w:val="24"/>
              </w:rPr>
              <w:t>Tên vật tư, thiết bị</w:t>
            </w:r>
          </w:p>
        </w:tc>
        <w:tc>
          <w:tcPr>
            <w:tcW w:w="6521" w:type="dxa"/>
            <w:vAlign w:val="center"/>
          </w:tcPr>
          <w:p w14:paraId="6358C47A" w14:textId="77777777" w:rsidR="00191D27" w:rsidRPr="00FE1639" w:rsidRDefault="00191D27" w:rsidP="00C47891">
            <w:pPr>
              <w:widowControl w:val="0"/>
              <w:autoSpaceDE w:val="0"/>
              <w:autoSpaceDN w:val="0"/>
              <w:adjustRightInd w:val="0"/>
              <w:spacing w:before="120"/>
              <w:ind w:right="-14"/>
              <w:rPr>
                <w:sz w:val="28"/>
                <w:szCs w:val="28"/>
              </w:rPr>
            </w:pPr>
            <w:r w:rsidRPr="00FE1639">
              <w:rPr>
                <w:bCs/>
                <w:szCs w:val="24"/>
              </w:rPr>
              <w:t>Quy cách/Thông số kỹ thuật</w:t>
            </w:r>
          </w:p>
        </w:tc>
      </w:tr>
      <w:tr w:rsidR="00FE1639" w:rsidRPr="00FE1639" w14:paraId="1F1459BF" w14:textId="77777777" w:rsidTr="00D44006">
        <w:tc>
          <w:tcPr>
            <w:tcW w:w="846" w:type="dxa"/>
          </w:tcPr>
          <w:p w14:paraId="5DAE2835"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t>1</w:t>
            </w:r>
          </w:p>
        </w:tc>
        <w:tc>
          <w:tcPr>
            <w:tcW w:w="5953" w:type="dxa"/>
          </w:tcPr>
          <w:p w14:paraId="7D49588F"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Trụ cứu hoả D100mm</w:t>
            </w:r>
          </w:p>
          <w:p w14:paraId="01D767F4" w14:textId="77777777" w:rsidR="00191D27" w:rsidRPr="00FE1639" w:rsidRDefault="00191D27" w:rsidP="00C47891">
            <w:pPr>
              <w:widowControl w:val="0"/>
              <w:autoSpaceDE w:val="0"/>
              <w:autoSpaceDN w:val="0"/>
              <w:adjustRightInd w:val="0"/>
              <w:spacing w:before="120"/>
              <w:ind w:right="-14"/>
              <w:rPr>
                <w:sz w:val="28"/>
                <w:szCs w:val="28"/>
              </w:rPr>
            </w:pPr>
          </w:p>
        </w:tc>
        <w:tc>
          <w:tcPr>
            <w:tcW w:w="6521" w:type="dxa"/>
          </w:tcPr>
          <w:p w14:paraId="3FBBB4D0"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t>Theo Quy chuẩn, Tiêu chuẩn Việt Nam và theo Hồ sơ thiết kế bản vẽ thi công được duyệt</w:t>
            </w:r>
          </w:p>
        </w:tc>
      </w:tr>
      <w:tr w:rsidR="00FE1639" w:rsidRPr="00FE1639" w14:paraId="49FB2711" w14:textId="77777777" w:rsidTr="00D44006">
        <w:tc>
          <w:tcPr>
            <w:tcW w:w="846" w:type="dxa"/>
          </w:tcPr>
          <w:p w14:paraId="6AC3B81F"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t>2</w:t>
            </w:r>
          </w:p>
        </w:tc>
        <w:tc>
          <w:tcPr>
            <w:tcW w:w="5953" w:type="dxa"/>
          </w:tcPr>
          <w:p w14:paraId="717B5EE4"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Cần đèn kiểu D60x3mm (cao 2m - vươn xa 1,5m)</w:t>
            </w:r>
          </w:p>
        </w:tc>
        <w:tc>
          <w:tcPr>
            <w:tcW w:w="6521" w:type="dxa"/>
          </w:tcPr>
          <w:p w14:paraId="24F444AB"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t>Theo Quy chuẩn, Tiêu chuẩn Việt Nam và theo Hồ sơ thiết kế bản vẽ thi công được duyệt</w:t>
            </w:r>
          </w:p>
        </w:tc>
      </w:tr>
      <w:tr w:rsidR="00FE1639" w:rsidRPr="00FE1639" w14:paraId="7DD56895" w14:textId="77777777" w:rsidTr="00D44006">
        <w:tc>
          <w:tcPr>
            <w:tcW w:w="846" w:type="dxa"/>
          </w:tcPr>
          <w:p w14:paraId="431693F0"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t>3</w:t>
            </w:r>
          </w:p>
        </w:tc>
        <w:tc>
          <w:tcPr>
            <w:tcW w:w="5953" w:type="dxa"/>
          </w:tcPr>
          <w:p w14:paraId="54363315"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Đèn LED 120W, 220V, 5 cấp công suất, Lumen &gt;= 130Lm/W</w:t>
            </w:r>
          </w:p>
        </w:tc>
        <w:tc>
          <w:tcPr>
            <w:tcW w:w="6521" w:type="dxa"/>
          </w:tcPr>
          <w:p w14:paraId="3E527EC0"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t>Theo Quy chuẩn, Tiêu chuẩn Việt Nam và theo Hồ sơ thiết kế bản vẽ thi công được duyệt</w:t>
            </w:r>
          </w:p>
        </w:tc>
      </w:tr>
      <w:tr w:rsidR="00FE1639" w:rsidRPr="00FE1639" w14:paraId="437D5A63" w14:textId="77777777" w:rsidTr="00D44006">
        <w:tc>
          <w:tcPr>
            <w:tcW w:w="846" w:type="dxa"/>
          </w:tcPr>
          <w:p w14:paraId="7F1A1E5A"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t>4</w:t>
            </w:r>
          </w:p>
        </w:tc>
        <w:tc>
          <w:tcPr>
            <w:tcW w:w="5953" w:type="dxa"/>
          </w:tcPr>
          <w:p w14:paraId="280B5736"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Trụ đèn STK tròn cao 7m, dày 3mm. Đường kính đầu/đáy trụ ɸ60/165. Đế dập vuông 400x400x12mm. Tâm boulon 300x300, hàn 4 gân tăng cường dày 6mm</w:t>
            </w:r>
          </w:p>
        </w:tc>
        <w:tc>
          <w:tcPr>
            <w:tcW w:w="6521" w:type="dxa"/>
          </w:tcPr>
          <w:p w14:paraId="561D777A"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t>Theo Quy chuẩn, Tiêu chuẩn Việt Nam và theo Hồ sơ thiết kế bản vẽ thi công được duyệt</w:t>
            </w:r>
          </w:p>
        </w:tc>
      </w:tr>
      <w:tr w:rsidR="00FE1639" w:rsidRPr="00FE1639" w14:paraId="4689BB84" w14:textId="77777777" w:rsidTr="00D44006">
        <w:tc>
          <w:tcPr>
            <w:tcW w:w="846" w:type="dxa"/>
          </w:tcPr>
          <w:p w14:paraId="3B01645A"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t>5</w:t>
            </w:r>
          </w:p>
        </w:tc>
        <w:tc>
          <w:tcPr>
            <w:tcW w:w="5953" w:type="dxa"/>
          </w:tcPr>
          <w:p w14:paraId="3F73A91C"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 xml:space="preserve">Tủ điều khiển chiếu sáng: Kích thước tủ </w:t>
            </w:r>
            <w:r w:rsidRPr="00FE1639">
              <w:rPr>
                <w:sz w:val="28"/>
                <w:szCs w:val="28"/>
              </w:rPr>
              <w:lastRenderedPageBreak/>
              <w:t>(500x300x820)mm sắt, dày 1,2ly, cấp bảo vệ PI55; Tủ 3P, 01 MCCB tổng 75A, 02 khởi động từ 50A, 06CB 1P 40A, 01 timer PLC LOGO 230, các thiết bị phụ trợ và phụ kiện</w:t>
            </w:r>
          </w:p>
        </w:tc>
        <w:tc>
          <w:tcPr>
            <w:tcW w:w="6521" w:type="dxa"/>
          </w:tcPr>
          <w:p w14:paraId="532B7DE6"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lastRenderedPageBreak/>
              <w:t xml:space="preserve">Theo Quy chuẩn, Tiêu chuẩn Việt Nam và theo Hồ sơ thiết </w:t>
            </w:r>
            <w:r w:rsidRPr="00FE1639">
              <w:rPr>
                <w:sz w:val="26"/>
                <w:szCs w:val="26"/>
                <w:lang w:eastAsia="ar-SA"/>
              </w:rPr>
              <w:lastRenderedPageBreak/>
              <w:t>kế bản vẽ thi công được duyệt</w:t>
            </w:r>
          </w:p>
        </w:tc>
      </w:tr>
      <w:tr w:rsidR="00FE1639" w:rsidRPr="00FE1639" w14:paraId="7B50BCB0" w14:textId="77777777" w:rsidTr="00D44006">
        <w:tc>
          <w:tcPr>
            <w:tcW w:w="846" w:type="dxa"/>
          </w:tcPr>
          <w:p w14:paraId="2CEBA46D"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lastRenderedPageBreak/>
              <w:t>6</w:t>
            </w:r>
          </w:p>
        </w:tc>
        <w:tc>
          <w:tcPr>
            <w:tcW w:w="5953" w:type="dxa"/>
          </w:tcPr>
          <w:p w14:paraId="670FAB88"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Máy biến áp 3 pha 250kV-22/0,4kV</w:t>
            </w:r>
          </w:p>
        </w:tc>
        <w:tc>
          <w:tcPr>
            <w:tcW w:w="6521" w:type="dxa"/>
          </w:tcPr>
          <w:p w14:paraId="5F347A9D"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t>Theo Quy chuẩn, Tiêu chuẩn Việt Nam và theo Hồ sơ thiết kế bản vẽ thi công được duyệt</w:t>
            </w:r>
          </w:p>
        </w:tc>
      </w:tr>
      <w:tr w:rsidR="00FE1639" w:rsidRPr="00FE1639" w14:paraId="63C316CD" w14:textId="77777777" w:rsidTr="00D44006">
        <w:tc>
          <w:tcPr>
            <w:tcW w:w="846" w:type="dxa"/>
          </w:tcPr>
          <w:p w14:paraId="63639C1A" w14:textId="77777777" w:rsidR="00191D27" w:rsidRPr="00FE1639" w:rsidRDefault="00191D27" w:rsidP="00C47891">
            <w:pPr>
              <w:widowControl w:val="0"/>
              <w:autoSpaceDE w:val="0"/>
              <w:autoSpaceDN w:val="0"/>
              <w:adjustRightInd w:val="0"/>
              <w:spacing w:before="120"/>
              <w:ind w:right="-14"/>
              <w:jc w:val="center"/>
              <w:rPr>
                <w:sz w:val="28"/>
                <w:szCs w:val="28"/>
              </w:rPr>
            </w:pPr>
            <w:r w:rsidRPr="00FE1639">
              <w:rPr>
                <w:sz w:val="28"/>
                <w:szCs w:val="28"/>
              </w:rPr>
              <w:t>7</w:t>
            </w:r>
          </w:p>
        </w:tc>
        <w:tc>
          <w:tcPr>
            <w:tcW w:w="5953" w:type="dxa"/>
          </w:tcPr>
          <w:p w14:paraId="7F688E7F"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8"/>
                <w:szCs w:val="28"/>
              </w:rPr>
              <w:t>Tủ phân phối 9 điện kế, kích thước 1050x600x400, vật liêu composite dày 5ly, MCCB tổng 150A, CB nhánh 63A, 40A thanh cái đồng và phụ kiện.</w:t>
            </w:r>
          </w:p>
        </w:tc>
        <w:tc>
          <w:tcPr>
            <w:tcW w:w="6521" w:type="dxa"/>
          </w:tcPr>
          <w:p w14:paraId="692FA468" w14:textId="77777777" w:rsidR="00191D27" w:rsidRPr="00FE1639" w:rsidRDefault="00191D27" w:rsidP="00C47891">
            <w:pPr>
              <w:widowControl w:val="0"/>
              <w:autoSpaceDE w:val="0"/>
              <w:autoSpaceDN w:val="0"/>
              <w:adjustRightInd w:val="0"/>
              <w:spacing w:before="120"/>
              <w:ind w:right="-14"/>
              <w:rPr>
                <w:sz w:val="28"/>
                <w:szCs w:val="28"/>
              </w:rPr>
            </w:pPr>
            <w:r w:rsidRPr="00FE1639">
              <w:rPr>
                <w:sz w:val="26"/>
                <w:szCs w:val="26"/>
                <w:lang w:eastAsia="ar-SA"/>
              </w:rPr>
              <w:t>Theo Quy chuẩn, Tiêu chuẩn Việt Nam và theo Hồ sơ thiết kế bản vẽ thi công được duyệt</w:t>
            </w:r>
          </w:p>
        </w:tc>
      </w:tr>
    </w:tbl>
    <w:p w14:paraId="4139BE03"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4. Yêu cầu về trình tự thi công, lắp đặt:</w:t>
      </w:r>
    </w:p>
    <w:p w14:paraId="5F3B4597"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 Nhà thầu phải nêu ra được trình tự thi công, lắp đặt trên cở sở trình tự thi công đã nêu trong hồ sơ thiết kế và các quy trình, quy phạm về thi công xây lắp. chỉ dẫn kỹ thuật được nêu trong E-HSMT.</w:t>
      </w:r>
    </w:p>
    <w:p w14:paraId="7FE99D26"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ab/>
        <w:t>- Nhà thầu phải tổ chức thi công xây dựng, lắp đặt thiết bị đúng theo yêu cầu của hồ sơ thiết kế, hợp đồng xây dựng.Tuân thủ trình tự thực hiện trong biện pháp tổ chức thi công xây dựng đã được Chủ đầu tư chấp thuận và các quy chuẩn, tiêu chuẩn được áp dụng cũng như các chỉ dẫn kỹ thuật của nhà sản xuất.</w:t>
      </w:r>
    </w:p>
    <w:p w14:paraId="403EBF34"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ab/>
        <w:t>- Sau khi thi công xong mỗi công việc xây dựng, lắp đặt thiết bị, nhà thầu thi công phải tự tổ chức nghiệm thu nội bộ các công việc đó, đặc biệt là các công việc, bộ phận bị che khuất; bộ phận công trình; các hạng mục công trình và công trình, trước khi yêu cầu chủ đầu tư nghiệm thu. Các bộ phận bị che khuất của công trình phải được nghiệm thu và lập bản vẽ hoàn công trước khi tiến hành các công việc tiếp theo.</w:t>
      </w:r>
      <w:r w:rsidRPr="00FE1639">
        <w:rPr>
          <w:sz w:val="28"/>
          <w:szCs w:val="28"/>
        </w:rPr>
        <w:tab/>
      </w:r>
    </w:p>
    <w:p w14:paraId="423A063B"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ab/>
        <w:t>- Đối với một số công việc nhất định đã nghiệm thu nhưng chưa thi công ngay hoặc đối với một số vị trí có tính đặc thù, thì trước khi thi công tiếp theo phải tổ chức nghiệm thu lại.</w:t>
      </w:r>
    </w:p>
    <w:p w14:paraId="470DE531"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ab/>
        <w:t>- Sau khi nghiệm thu nội bộ đạt yêu cầu, nhà thầu thi công xây dựng lập “phiếu yêu cầu nghiệm thu” gửi Chủ đầu tư, tư vấn giám sát đề nghị nghiệm thu.</w:t>
      </w:r>
    </w:p>
    <w:p w14:paraId="7B1E67E2" w14:textId="77777777" w:rsidR="00326D26" w:rsidRPr="00FE1639" w:rsidRDefault="00326D26" w:rsidP="00326D26">
      <w:pPr>
        <w:widowControl w:val="0"/>
        <w:autoSpaceDE w:val="0"/>
        <w:autoSpaceDN w:val="0"/>
        <w:adjustRightInd w:val="0"/>
        <w:spacing w:before="120"/>
        <w:ind w:right="-14" w:firstLine="567"/>
        <w:rPr>
          <w:rFonts w:eastAsia="Calibri"/>
          <w:sz w:val="28"/>
          <w:szCs w:val="28"/>
          <w:lang w:val="es-ES"/>
        </w:rPr>
      </w:pPr>
      <w:r w:rsidRPr="00FE1639">
        <w:rPr>
          <w:sz w:val="28"/>
          <w:szCs w:val="28"/>
        </w:rPr>
        <w:t xml:space="preserve">5. </w:t>
      </w:r>
      <w:r w:rsidRPr="00FE1639">
        <w:rPr>
          <w:bCs/>
          <w:sz w:val="28"/>
          <w:szCs w:val="28"/>
          <w:lang w:val="es-ES"/>
        </w:rPr>
        <w:t xml:space="preserve">Yêu cầu về phòng chống cháy nổ, bảo đảm an toàn thi công và vệ sinh môi trường </w:t>
      </w:r>
    </w:p>
    <w:p w14:paraId="58843632"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t>Các nguyên liệu lỏng và dễ cháy (xăng, dầu, mỡ ...) phải bảo quản trong kho riêng theo đúng các quy định phòng cháy hiện hành, phải bố trí các thiết bị phòng cháy chữa cháy như thông dụng bộ tiêu lệnh phòng cháy chữa cháy, bình CO2, bình bột khô chữa cháy, thùng cát… tại các khu vực dễ cháy.</w:t>
      </w:r>
    </w:p>
    <w:p w14:paraId="632007FC"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lastRenderedPageBreak/>
        <w:t>Những vùng nguy hiểm do vật có thể rơi tự do từ trên cao xuống phải được rào chắn, đặt biển báo hoặc làm mái che được bảo vệ. Kho bãi được sắp xếp và bảo quản nguyên vật liệu, cấu kiện, thiết bị phải được định trước trên mặt bằng công trường với số lượng cần thiết cho thi công. Điạ điểm các khu vực này phải thuận tiện cho việc vận chuyển bốc dỡ</w:t>
      </w:r>
    </w:p>
    <w:p w14:paraId="5EDF36FF"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t>Vật liệu rời (cát, đá dăm, sỏi...) đổ thành bãi phải bảo đảm sự ổn định của mái dốc tự nhiên. Vật liệu dạng bột (ximăng) phải đóng bao hoặc chứa trong thùng kín, xi lô… đồng thời phải có biện pháp chống bụi khi xếp dỡ</w:t>
      </w:r>
    </w:p>
    <w:p w14:paraId="344DB66B"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t>Phải lắp đặt giàn giáo bao che công trình (cao hơn sàn công tác 1 m), bọc lưới kín và may giáp mí.</w:t>
      </w:r>
    </w:p>
    <w:p w14:paraId="245C0249"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Mọi chi phí để thực hiện công tác này do nhà thầu chịu và được tính vào giá trị dự thầu. Trong quá trình thi công, nhà thầu phải có biện pháp đảm bảo an ninh trật tự trên công trường và có biện pháp phối hợp chặt chẽ với chính quyền để đảm bảo an ninh trật tự tại địa phương.</w:t>
      </w:r>
    </w:p>
    <w:p w14:paraId="78D07512" w14:textId="77777777" w:rsidR="00326D26" w:rsidRPr="00FE1639" w:rsidRDefault="00326D26" w:rsidP="00326D26">
      <w:pPr>
        <w:widowControl w:val="0"/>
        <w:autoSpaceDE w:val="0"/>
        <w:autoSpaceDN w:val="0"/>
        <w:adjustRightInd w:val="0"/>
        <w:spacing w:before="120"/>
        <w:ind w:left="20" w:right="-14" w:firstLine="547"/>
        <w:rPr>
          <w:sz w:val="28"/>
          <w:szCs w:val="28"/>
        </w:rPr>
      </w:pPr>
      <w:r w:rsidRPr="00FE1639">
        <w:rPr>
          <w:rFonts w:eastAsia="Calibri"/>
          <w:sz w:val="28"/>
          <w:szCs w:val="28"/>
          <w:shd w:val="clear" w:color="auto" w:fill="FFFFFF"/>
          <w:lang w:val="es-ES" w:eastAsia="vi-VN"/>
        </w:rPr>
        <w:t>Nhà thầu phải chấp hành mọi qui định về an ninh trật tư, vệ sinh môi trường, an toàn giao thông của địa phương</w:t>
      </w:r>
    </w:p>
    <w:p w14:paraId="70282979" w14:textId="77777777" w:rsidR="00326D26" w:rsidRPr="00FE1639" w:rsidRDefault="00326D26" w:rsidP="00326D26">
      <w:pPr>
        <w:widowControl w:val="0"/>
        <w:autoSpaceDE w:val="0"/>
        <w:autoSpaceDN w:val="0"/>
        <w:adjustRightInd w:val="0"/>
        <w:spacing w:before="120"/>
        <w:ind w:right="-14" w:firstLine="567"/>
        <w:rPr>
          <w:bCs/>
          <w:sz w:val="28"/>
          <w:szCs w:val="28"/>
          <w:lang w:val="es-ES"/>
        </w:rPr>
      </w:pPr>
      <w:r w:rsidRPr="00FE1639">
        <w:rPr>
          <w:sz w:val="28"/>
          <w:szCs w:val="28"/>
        </w:rPr>
        <w:t xml:space="preserve">6. </w:t>
      </w:r>
      <w:r w:rsidRPr="00FE1639">
        <w:rPr>
          <w:bCs/>
          <w:sz w:val="28"/>
          <w:szCs w:val="28"/>
          <w:lang w:val="es-ES"/>
        </w:rPr>
        <w:t>Yêu cầu về nhân lực và thiết bi phục vụ thi công</w:t>
      </w:r>
    </w:p>
    <w:p w14:paraId="4FCC0390"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t>Nhà thầu cần huy động và tổ chức nhân lực thi công hợp lý cho từng giai đoạn thi công của gói thầu, nhân lực phải được bố trí phù hợp với trình độ ngành nghề nhằm đảm bảo cho thi công đúng tiến độ, đạt chất lượng.</w:t>
      </w:r>
    </w:p>
    <w:p w14:paraId="60B187D9"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 xml:space="preserve"> Giữa các bộ phận thi công phải có mối quan hệ mật thiết với nhau, thường xuyên chỉ đạo, trao đổi bàn bạc giải quyết các vấn đề vướng mắc để đảm bảo công trường thi công hiệu quả, đạt chất lượng và hoàn thành đúng tiến độ.</w:t>
      </w:r>
    </w:p>
    <w:p w14:paraId="15B57630"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 xml:space="preserve"> Bố trí và điều động máy móc, thiết bị thi công một cách linh hoạt và hợp lý, tất cả các thiết bị đưa vào sử dụng phải được kiểm tra định kỳ thường xuyên.</w:t>
      </w:r>
    </w:p>
    <w:p w14:paraId="6D83C78E"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Calibri"/>
          <w:sz w:val="28"/>
          <w:szCs w:val="28"/>
          <w:shd w:val="clear" w:color="auto" w:fill="FFFFFF"/>
          <w:lang w:val="es-ES" w:eastAsia="vi-VN"/>
        </w:rPr>
        <w:t>Thiết bị đưa vào sử dụng phải đảm bảo còn niên hạn sử dụng đối với các thiết bị chuyên dụng như xe ôtô, vận thăng, xe cẩu... phải được kiểm định an toàn trước khi đưa vào vận hành, sử dụng.</w:t>
      </w:r>
    </w:p>
    <w:p w14:paraId="738B94A9"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Nhà thầu thi công phải có biện pháp huy động nhân lực và thiết bị phục vụ thi công phù hợp với tiến độ thi công đề ra. </w:t>
      </w:r>
    </w:p>
    <w:p w14:paraId="4CD2FDD2"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Nhà thầu phải có kế hoạch bố trí số lượng nhân lực, thiết bị thi công đầy đủ theo yêu cầu công việc. Biện pháp huy động, bố trí nhân lực, thiết bị cho từng giai đoạn thi công xây dựng, lắp đặt thiết bị phải đảm bảo đáp ứng yêu cầu về chất lượng, tiến độ theo hồ sơ mời thầu. </w:t>
      </w:r>
    </w:p>
    <w:p w14:paraId="556046D1"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Nhân lực huy động trên công trường phải phù hợp với yêu cầu của hồ sơ mời thầu. Cán bộ kỹ thuật, công nhân phải có bằng cấp, chứng chỉ chuyên môn, chuyên ngành đào tạo phù hợp với hồ sơ mời thầu và yêu cầu công việc theo hồ sơ thiết kế được duyệt. </w:t>
      </w:r>
    </w:p>
    <w:p w14:paraId="69899E7C" w14:textId="77777777" w:rsidR="00326D26" w:rsidRPr="00FE1639" w:rsidRDefault="00326D26" w:rsidP="00326D26">
      <w:pPr>
        <w:tabs>
          <w:tab w:val="left" w:pos="851"/>
        </w:tabs>
        <w:autoSpaceDE w:val="0"/>
        <w:autoSpaceDN w:val="0"/>
        <w:adjustRightInd w:val="0"/>
        <w:spacing w:before="60"/>
        <w:ind w:firstLine="567"/>
        <w:rPr>
          <w:rFonts w:eastAsia="MS Mincho"/>
          <w:sz w:val="28"/>
          <w:szCs w:val="28"/>
        </w:rPr>
      </w:pPr>
      <w:r w:rsidRPr="00FE1639">
        <w:rPr>
          <w:rFonts w:eastAsia="MS Mincho"/>
          <w:sz w:val="28"/>
          <w:szCs w:val="28"/>
        </w:rPr>
        <w:lastRenderedPageBreak/>
        <w:t>- Các máy móc, thiết bị phục vụ thi công đưa vào công trình phải có các tài liệu: Lý lịch máy, giấy chứng nhận kiểm định kỹ thuật an toàn đối với các thiết bị có yêu cầu nghiêm ngặt về an toàn do cơ quan có thẩm quyền cấp.</w:t>
      </w:r>
      <w:bookmarkStart w:id="3" w:name="bookmark11"/>
    </w:p>
    <w:p w14:paraId="5F91DDBA" w14:textId="77777777" w:rsidR="00326D26" w:rsidRPr="00FE1639" w:rsidRDefault="00326D26" w:rsidP="00326D26">
      <w:pPr>
        <w:tabs>
          <w:tab w:val="left" w:pos="851"/>
        </w:tabs>
        <w:autoSpaceDE w:val="0"/>
        <w:autoSpaceDN w:val="0"/>
        <w:adjustRightInd w:val="0"/>
        <w:spacing w:before="60"/>
        <w:ind w:firstLine="567"/>
        <w:rPr>
          <w:bCs/>
          <w:sz w:val="28"/>
          <w:szCs w:val="28"/>
          <w:lang w:val="es-ES"/>
        </w:rPr>
      </w:pPr>
      <w:r w:rsidRPr="00FE1639">
        <w:rPr>
          <w:bCs/>
          <w:sz w:val="28"/>
          <w:szCs w:val="28"/>
          <w:lang w:val="es-ES"/>
        </w:rPr>
        <w:t>7. Yêu cầu về sửa chữa, bảo quản, bảo hiểm và bảo hành công trình</w:t>
      </w:r>
      <w:bookmarkEnd w:id="3"/>
    </w:p>
    <w:p w14:paraId="79F40ADF"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Chủ đầu tư hoặc cán bộ tư vấn giám sát thi công có quyền yêu cầu nhà thầu sửa chữa (tháo dỡ hay đập phá) những bộ phận, những phần không đảm bảo yêu cầu về chất lượng, kỹ thuật trong quá trình thi công</w:t>
      </w:r>
    </w:p>
    <w:p w14:paraId="22521934"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Nhà thầu có trách nhiệm mua bảo hiểm tai nạn lao động, bảo hiểm đối với người thứ 3 trên công trường</w:t>
      </w:r>
    </w:p>
    <w:p w14:paraId="429DB409"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Sau khi xây dựng xong, nhà thầu có trách nhiệm bảo quản công trình cho đến khi bàn giao cho Chủ đầu tư</w:t>
      </w:r>
    </w:p>
    <w:p w14:paraId="3710966F"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Nhà thầu có trách nhiệm nộp tiền vào tài khoản của Chủ đầu tư với số tiền bằng 5% giá trị hơp đồng</w:t>
      </w:r>
    </w:p>
    <w:p w14:paraId="12680003"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 xml:space="preserve">Nhà thầu phải chịu trách nhiệm bảo hành công trình tối thiểu 12 tháng. Trong thời gian bảo hành, nhà thầu phải sửa chữa những hư hỏng được xác định do nhà thầu bằng kinh phí của nhà thầu. Trường hợp nhà thầu không tiến hành sửa chữa sau 04 ngày kể từ ngày nhận được thông báo của chủ đầu tư hoặc sửa chữa không đáp ứng được yêu cầu về chất lượng và kỹ thuật, Chủ đầu tư có quyền thuê đơn vị khác sửa chữa. Kinh phí sửa chữa đó do nhà thầu chịu mà không khiếu nại gì. </w:t>
      </w:r>
      <w:r w:rsidRPr="00FE1639">
        <w:rPr>
          <w:sz w:val="28"/>
          <w:szCs w:val="28"/>
          <w:lang w:val="nl-NL"/>
        </w:rPr>
        <w:t>Đối với các thiết bị mà nhà sản xuất hoặc nhà cung cấp…có quy định về thời gian bảo hành thì thời gian bảo hành cho thiết bị đó phải tối thiếu bằng thời gian bảo hành của nhà sản xuất, nhà cung cấp.</w:t>
      </w:r>
    </w:p>
    <w:p w14:paraId="3AD524D8"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8. Yêu cầu về biện pháp tổ chức thi công tổng thể và các hạng mục:</w:t>
      </w:r>
    </w:p>
    <w:p w14:paraId="1DF33D53"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Dựa trên hồ sơ thiết kế bản vẽ thi công được duyệt, chỉ dẫn kỹ thuật và tiến độ thi công yêu cầu, nhà thầu phải tiến hành lập và nêu rõ trong Hồ sơ dự thầu:</w:t>
      </w:r>
    </w:p>
    <w:p w14:paraId="17845E3D"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Trình tự thi công các hạng mục theo phương pháp thi công phù hợp với tiến độ đề xuất.</w:t>
      </w:r>
    </w:p>
    <w:p w14:paraId="4C200FC5"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Biện pháp thi công tổng thể thể hiện đầy đủ các hạng mục phù hợp với tiến độ thi công đề xuất.</w:t>
      </w:r>
    </w:p>
    <w:p w14:paraId="0509C898"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Biện pháp thi công chi tiết từng hạng mục gắn với huy động nhân sự, thiết bị và phù hợp tiến độ thi công đề xuất.</w:t>
      </w:r>
    </w:p>
    <w:p w14:paraId="63612265"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Các nội dung khác theo yêu cầu của E-HSMT</w:t>
      </w:r>
    </w:p>
    <w:p w14:paraId="207158DB"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Nhà thầu phải tự khảo sát điều kiện mặt bằng thi công để chủ động trong việc lập giải pháp kỹ thuật và lập biện pháp tổ chức thi công xây dựng. </w:t>
      </w:r>
    </w:p>
    <w:p w14:paraId="376A8D12"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Nhà thầu phải chịu chi phí cho bất kỳ công việc phát sinh nào cần thiết phải làm do việc khảo sát không phù hợp với thực tế công trình. </w:t>
      </w:r>
    </w:p>
    <w:p w14:paraId="0DB2B845"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Biện pháp tổ chức thi công có thể lập tổng thể cho cả công trình hoặc cho từng hạng mục riêng biệt. </w:t>
      </w:r>
    </w:p>
    <w:p w14:paraId="1C53E28B"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lastRenderedPageBreak/>
        <w:t xml:space="preserve">- Biện pháp tổ chức thi công phải có tính khả thi, đảm bảo phù hợp với điều kiện mặt bằng thi công thực tế, năng lực huy động nhân lực, thiết bị của nhà thầu. </w:t>
      </w:r>
    </w:p>
    <w:p w14:paraId="5926C02B"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Biện pháp tổ chức thi công phải tuân thủ các yêu cầu kỹ thuật quy định trong các quy chuẩn, tiêu chuẩn được áp dụng và trong chỉ dẫn kỹ thuật kèm theo Hồ sơ mời thầu.</w:t>
      </w:r>
    </w:p>
    <w:p w14:paraId="3EA70B03"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Biện pháp tổ chức thi công không làm ảnh hưởng đến toàn bộ công trình chính và khu vực lân cận. Nhà thầu phải chịu mọi chi phí bồi hoàn cho các bên liên quan nếu việc thi công làm ảnh hưởng đến bên thứ ba. </w:t>
      </w:r>
    </w:p>
    <w:p w14:paraId="295E4051"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thống khác. </w:t>
      </w:r>
    </w:p>
    <w:p w14:paraId="1FD62F2E"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Các bản vẽ trên đây khi trình duyệt sẽ là cơ sở pháp lý để Chủ đầu tư và tư vấn giám sát theo dõi khối lượng thực tế thi công và tính toán khối lượng lắp đặt khi thanh toán và làm phát sinh hợp đồng (nếu có). </w:t>
      </w:r>
    </w:p>
    <w:p w14:paraId="76DCC3AF"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 </w:t>
      </w:r>
    </w:p>
    <w:p w14:paraId="0E4C17D3" w14:textId="77777777" w:rsidR="00326D26" w:rsidRPr="00FE1639" w:rsidRDefault="00326D26" w:rsidP="00326D26">
      <w:pPr>
        <w:autoSpaceDE w:val="0"/>
        <w:autoSpaceDN w:val="0"/>
        <w:adjustRightInd w:val="0"/>
        <w:spacing w:before="60"/>
        <w:ind w:firstLine="567"/>
        <w:rPr>
          <w:rFonts w:eastAsia="MS Mincho"/>
          <w:sz w:val="28"/>
          <w:szCs w:val="28"/>
        </w:rPr>
      </w:pPr>
      <w:r w:rsidRPr="00FE1639">
        <w:rPr>
          <w:rFonts w:eastAsia="MS Mincho"/>
          <w:sz w:val="28"/>
          <w:szCs w:val="28"/>
        </w:rPr>
        <w:t xml:space="preserve">-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 </w:t>
      </w:r>
    </w:p>
    <w:p w14:paraId="183AA7E3" w14:textId="77777777" w:rsidR="00326D26" w:rsidRPr="00FE1639" w:rsidRDefault="00326D26" w:rsidP="00326D26">
      <w:pPr>
        <w:tabs>
          <w:tab w:val="left" w:pos="851"/>
        </w:tabs>
        <w:autoSpaceDE w:val="0"/>
        <w:autoSpaceDN w:val="0"/>
        <w:adjustRightInd w:val="0"/>
        <w:spacing w:before="60"/>
        <w:ind w:firstLine="567"/>
        <w:rPr>
          <w:sz w:val="28"/>
          <w:szCs w:val="28"/>
        </w:rPr>
      </w:pPr>
      <w:r w:rsidRPr="00FE1639">
        <w:rPr>
          <w:rFonts w:eastAsia="MS Mincho"/>
          <w:sz w:val="28"/>
          <w:szCs w:val="28"/>
        </w:rPr>
        <w:t>- Bản vẽ hoàn công cũng phải trình duyệt nhằm chứng minh phần thanh toán công việc đã thực hiện. Nhà thầu phải chỉ ra rõ ràng chính xác công việc đã thực hiện.</w:t>
      </w:r>
    </w:p>
    <w:p w14:paraId="1D4765B7" w14:textId="77777777" w:rsidR="00326D26" w:rsidRPr="00FE1639" w:rsidRDefault="00326D26" w:rsidP="00326D26">
      <w:pPr>
        <w:widowControl w:val="0"/>
        <w:autoSpaceDE w:val="0"/>
        <w:autoSpaceDN w:val="0"/>
        <w:adjustRightInd w:val="0"/>
        <w:spacing w:before="120"/>
        <w:ind w:right="-14" w:firstLine="567"/>
        <w:rPr>
          <w:sz w:val="28"/>
          <w:szCs w:val="28"/>
        </w:rPr>
      </w:pPr>
      <w:r w:rsidRPr="00FE1639">
        <w:rPr>
          <w:sz w:val="28"/>
          <w:szCs w:val="28"/>
        </w:rPr>
        <w:t>9. Yêu cầu về hệ thống kiểm tra, giám sát chất lượng của nhà thầu:</w:t>
      </w:r>
    </w:p>
    <w:p w14:paraId="5715E470" w14:textId="77777777" w:rsidR="00326D26" w:rsidRPr="00FE1639" w:rsidRDefault="00326D26" w:rsidP="00326D26">
      <w:pPr>
        <w:widowControl w:val="0"/>
        <w:numPr>
          <w:ilvl w:val="0"/>
          <w:numId w:val="4"/>
        </w:numPr>
        <w:tabs>
          <w:tab w:val="left" w:pos="748"/>
        </w:tabs>
        <w:spacing w:before="120"/>
        <w:ind w:left="200" w:firstLine="266"/>
        <w:rPr>
          <w:rFonts w:eastAsia="Calibri"/>
          <w:sz w:val="28"/>
          <w:szCs w:val="28"/>
          <w:lang w:val="es-ES"/>
        </w:rPr>
      </w:pPr>
      <w:r w:rsidRPr="00FE1639">
        <w:rPr>
          <w:rFonts w:eastAsia="Calibri"/>
          <w:sz w:val="28"/>
          <w:szCs w:val="28"/>
          <w:shd w:val="clear" w:color="auto" w:fill="FFFFFF"/>
          <w:lang w:val="es-ES" w:eastAsia="vi-VN"/>
        </w:rPr>
        <w:t>Yêu cầu về hồ sơ, tài liệu hoàn công:</w:t>
      </w:r>
    </w:p>
    <w:p w14:paraId="7DE9770C"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t>Nhà thầu phải lập toàn bộ hồ sơ hoàn công của công trình cùng các tài liệu: biên bản nghiệm thu, nhật ký công trình và các tài liệu khác có liên quan, bàn giao đầy đủ cho chủ đầu tư chậm nhất không quá 30 ngày kể từ ngày nghiệm thu.</w:t>
      </w:r>
    </w:p>
    <w:p w14:paraId="008909D0" w14:textId="77777777" w:rsidR="00326D26" w:rsidRPr="00FE1639" w:rsidRDefault="00326D26" w:rsidP="00326D26">
      <w:pPr>
        <w:widowControl w:val="0"/>
        <w:numPr>
          <w:ilvl w:val="0"/>
          <w:numId w:val="4"/>
        </w:numPr>
        <w:tabs>
          <w:tab w:val="left" w:pos="748"/>
        </w:tabs>
        <w:spacing w:before="120"/>
        <w:ind w:left="200" w:firstLine="266"/>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Yêu cầu về hệ thống kiểm tra giám sát chất lượng của nhà thầu:</w:t>
      </w:r>
    </w:p>
    <w:p w14:paraId="244A2D2E" w14:textId="77777777" w:rsidR="00326D26" w:rsidRPr="00FE1639" w:rsidRDefault="00326D26" w:rsidP="00326D26">
      <w:pPr>
        <w:widowControl w:val="0"/>
        <w:spacing w:before="120"/>
        <w:ind w:left="20" w:right="40" w:firstLine="547"/>
        <w:rPr>
          <w:rFonts w:eastAsia="Calibri"/>
          <w:sz w:val="28"/>
          <w:szCs w:val="28"/>
          <w:lang w:val="es-ES"/>
        </w:rPr>
      </w:pPr>
      <w:r w:rsidRPr="00FE1639">
        <w:rPr>
          <w:rFonts w:eastAsia="Calibri"/>
          <w:sz w:val="28"/>
          <w:szCs w:val="28"/>
          <w:shd w:val="clear" w:color="auto" w:fill="FFFFFF"/>
          <w:lang w:val="es-ES" w:eastAsia="vi-VN"/>
        </w:rPr>
        <w:t xml:space="preserve">Nhà thầu phải xây dựng quy trình nghiệm thu vật tư nhập vào công trường, nghiệm thu các công việc xây dựng, nghiệm thu các giai đoạn hoàn thành, nghiệm thu hạng mục công trình (bao gồm giữa nhà thầu - đơn vị tư vấn giám sát của chủ đầu tư và giữa các bộ phận nội bộ của nhà thầu) theo các bước quy định tại Nghị định </w:t>
      </w:r>
      <w:r w:rsidRPr="00FE1639">
        <w:rPr>
          <w:rFonts w:eastAsia="Calibri"/>
          <w:sz w:val="28"/>
          <w:szCs w:val="28"/>
          <w:lang w:val="es-ES"/>
        </w:rPr>
        <w:t>số 06/2021/NĐ-CP ngày 26/01/2021 của Chính Phủ</w:t>
      </w:r>
      <w:r w:rsidRPr="00FE1639">
        <w:rPr>
          <w:rFonts w:eastAsia="Calibri"/>
          <w:sz w:val="28"/>
          <w:szCs w:val="28"/>
          <w:shd w:val="clear" w:color="auto" w:fill="FFFFFF"/>
          <w:lang w:val="es-ES" w:eastAsia="vi-VN"/>
        </w:rPr>
        <w:t xml:space="preserve"> và trình cho Chủ đầu tư và đơn vị giám sát.</w:t>
      </w:r>
    </w:p>
    <w:p w14:paraId="4CB41587"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 xml:space="preserve">Khi thi công đào móng nhà thầu xây lắp phải có biện pháp bảo đảm an toàn cho các công trình lân cận, đặc biệt là các vấn đề chống sạt lở thành hố đào. Trong hồ sơ dự thầu, nhà thầu phải trình bày phương án khả thi để đảm bảo an toàn cho </w:t>
      </w:r>
      <w:r w:rsidRPr="00FE1639">
        <w:rPr>
          <w:rFonts w:eastAsia="Calibri"/>
          <w:sz w:val="28"/>
          <w:szCs w:val="28"/>
          <w:shd w:val="clear" w:color="auto" w:fill="FFFFFF"/>
          <w:lang w:val="es-ES" w:eastAsia="vi-VN"/>
        </w:rPr>
        <w:lastRenderedPageBreak/>
        <w:t>các công trình đang thi công và các công trình lân cận trong quá trình thi công ngầm dưới mặt đất</w:t>
      </w:r>
    </w:p>
    <w:p w14:paraId="33AABCE4" w14:textId="77777777" w:rsidR="00326D26" w:rsidRPr="00FE1639" w:rsidRDefault="00326D26" w:rsidP="00326D26">
      <w:pPr>
        <w:widowControl w:val="0"/>
        <w:spacing w:before="120"/>
        <w:ind w:left="20" w:right="40" w:firstLine="547"/>
        <w:rPr>
          <w:rFonts w:eastAsia="Calibri"/>
          <w:sz w:val="28"/>
          <w:szCs w:val="28"/>
          <w:shd w:val="clear" w:color="auto" w:fill="FFFFFF"/>
          <w:lang w:val="es-ES" w:eastAsia="vi-VN"/>
        </w:rPr>
      </w:pPr>
      <w:r w:rsidRPr="00FE1639">
        <w:rPr>
          <w:rFonts w:eastAsia="Calibri"/>
          <w:sz w:val="28"/>
          <w:szCs w:val="28"/>
          <w:shd w:val="clear" w:color="auto" w:fill="FFFFFF"/>
          <w:lang w:val="es-ES" w:eastAsia="vi-VN"/>
        </w:rPr>
        <w:t>Trong quá trình thi công, nhà thầu phải bảo đảm giữ vệ sinh môi trường cho các khu vực xung quanh công trường. Không được để xe chở vật liệu xây dựng, đất cát làm rơi vãi ra đường phố; cần hạn chế đến mức tối thiểu các ô nhiễm môi trường gây ra bởi bụi bặm, tiếng ồn, nước thải, rác rưởi ... khi thi công. Đồng thời nhà thầu phải tuân thủ nghiêm ngặt quy phạm về kỹ thuật an toàn và vệ sinh trong xây dựng nhằm ngăn ngừa tuyệt đối các tai nạn, sự cố có thể xảy ra trong quá trình thi công công trình và bảo đảm không làm ô nhiễm môi trường, cụ thể như sau:</w:t>
      </w:r>
    </w:p>
    <w:p w14:paraId="381D34B8"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lang w:val="es-ES"/>
        </w:rPr>
      </w:pPr>
      <w:r w:rsidRPr="00FE1639">
        <w:rPr>
          <w:rFonts w:eastAsia="Calibri"/>
          <w:sz w:val="28"/>
          <w:szCs w:val="28"/>
          <w:shd w:val="clear" w:color="auto" w:fill="FFFFFF"/>
          <w:lang w:val="es-ES" w:eastAsia="vi-VN"/>
        </w:rPr>
        <w:t>Bảo đảm an toàn giao thông cho các đường xung quanh khu vực công trường khi có xe cộ, máy móc thiết bị phục vụ thi công ra vào công trường. Bảo đảm che chắn không để vật liệu thi công rơi từ trên cao xuống trong suốt quá trình thi công các tầng của công trình. Phải bố trí biển báo, đèn cảnh báo (vào ban đêm) tại những khu vực nguy hiểm, có thể xảy ra tai nạn trong công trường như: các hố đào, mương ... Trên công trường phải bố trí hệ thống đèn chiếu sáng đầy đủ trên các tuyên đường giao thông đi lại và các khu vực đang thi công vào ban đêm, không cho phép làm việc ở những nơi không được chiếu sang đầy đủ.</w:t>
      </w:r>
    </w:p>
    <w:p w14:paraId="537C5208"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rPr>
      </w:pPr>
      <w:r w:rsidRPr="00FE1639">
        <w:rPr>
          <w:rFonts w:eastAsia="Calibri"/>
          <w:sz w:val="28"/>
          <w:szCs w:val="28"/>
          <w:shd w:val="clear" w:color="auto" w:fill="FFFFFF"/>
          <w:lang w:eastAsia="vi-VN"/>
        </w:rPr>
        <w:t>Công nhân làm việc trên công trường phải sử dụng đúng đắn các phương tiện cá nhân đã được cấp phát; không được đi dép lê hay đi guốc và phải mặc quần áo gọn gàng</w:t>
      </w:r>
    </w:p>
    <w:p w14:paraId="6363D8EB"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rPr>
      </w:pPr>
      <w:r w:rsidRPr="00FE1639">
        <w:rPr>
          <w:rFonts w:eastAsia="Calibri"/>
          <w:sz w:val="28"/>
          <w:szCs w:val="28"/>
          <w:shd w:val="clear" w:color="auto" w:fill="FFFFFF"/>
          <w:lang w:eastAsia="vi-VN"/>
        </w:rPr>
        <w:t>Khi làm việc từ độ cao 2m trở lên hoặc chưa đến độ cao đó nhưng dưới chỗ làm việc có các chướng ngại nguy hiểm thì phải trang bị dây an toàn cho công nhân hoặc lưới bảo vệ nêu không làm được sàn thao tác có lan can an toàn. Cán bộ kỹ thuật thi công phải hướng dẫn cách móc dây an toàn cho công nhân. Không cho phép công nhân làm việc khi chưa đeo dây an toàn.</w:t>
      </w:r>
    </w:p>
    <w:p w14:paraId="08858B50"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rPr>
      </w:pPr>
      <w:r w:rsidRPr="00FE1639">
        <w:rPr>
          <w:rFonts w:eastAsia="Calibri"/>
          <w:sz w:val="28"/>
          <w:szCs w:val="28"/>
          <w:shd w:val="clear" w:color="auto" w:fill="FFFFFF"/>
          <w:lang w:eastAsia="vi-VN"/>
        </w:rPr>
        <w:t>Không được thi công cùng một lúc trên một phương thẳng đứng nếu không có thiết bị bảo vệ an toàn cho người làm việc ở dưới ... khi trời tối, lúc mưa to, giông, bão hoặc có gió từ cấp 5 trở lên.</w:t>
      </w:r>
    </w:p>
    <w:p w14:paraId="063E2AAC"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rPr>
      </w:pPr>
      <w:r w:rsidRPr="00FE1639">
        <w:rPr>
          <w:rFonts w:eastAsia="Calibri"/>
          <w:sz w:val="28"/>
          <w:szCs w:val="28"/>
          <w:shd w:val="clear" w:color="auto" w:fill="FFFFFF"/>
          <w:lang w:eastAsia="vi-VN"/>
        </w:rPr>
        <w:t>Sau mỗi đợt mưa bão, có gió lớn hoặc sau khi ngừng thi công nhiều ngày liền phải kiểm tra lại các điều kiện an toàn trước khi thi công tiếp, nhất là những nơi nguy hiểm có khả năng xảy ra tai nạn. Khi thi công trên những công trình cao phải có hệ thống chống sét theo các quy định hiện hành.</w:t>
      </w:r>
    </w:p>
    <w:p w14:paraId="19F7BB37"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rPr>
      </w:pPr>
      <w:r w:rsidRPr="00FE1639">
        <w:rPr>
          <w:rFonts w:eastAsia="Calibri"/>
          <w:sz w:val="28"/>
          <w:szCs w:val="28"/>
          <w:shd w:val="clear" w:color="auto" w:fill="FFFFFF"/>
          <w:lang w:eastAsia="vi-VN"/>
        </w:rPr>
        <w:t>Trên công trường phải có đủ các công trình phục vụ nhu cầu về sinh hoạt, vệ sinh cho cán bộ công nhân như trạm xá, nhà ăn, nhà nghỉ giữa ca, lán trú mưa nắng, nơi tắm rửa, vệ sinh đại tiểu tiện... Xung quanh khu vực công truờng phải rào ngăn và bố trí trạm gác không cho người không có nhiệm vụ ra vào công trường.</w:t>
      </w:r>
    </w:p>
    <w:p w14:paraId="4FD5DF55" w14:textId="77777777" w:rsidR="00326D26" w:rsidRPr="00FE1639" w:rsidRDefault="00326D26" w:rsidP="00326D26">
      <w:pPr>
        <w:widowControl w:val="0"/>
        <w:numPr>
          <w:ilvl w:val="0"/>
          <w:numId w:val="5"/>
        </w:numPr>
        <w:tabs>
          <w:tab w:val="left" w:pos="910"/>
        </w:tabs>
        <w:spacing w:before="120"/>
        <w:ind w:left="20" w:right="40" w:firstLine="728"/>
        <w:rPr>
          <w:rFonts w:eastAsia="Calibri"/>
          <w:sz w:val="28"/>
          <w:szCs w:val="28"/>
        </w:rPr>
      </w:pPr>
      <w:r w:rsidRPr="00FE1639">
        <w:rPr>
          <w:rFonts w:eastAsia="Calibri"/>
          <w:sz w:val="28"/>
          <w:szCs w:val="28"/>
          <w:shd w:val="clear" w:color="auto" w:fill="FFFFFF"/>
          <w:lang w:eastAsia="vi-VN"/>
        </w:rPr>
        <w:t xml:space="preserve">Trên mặt bằng công trường và các khu vực thi công phải có hệ thống thoát nước bảo đảm mặt bằng thi công khô ráo sạch sẽ. Không để đọng nước trên mặt đường hoặc để nước chảy vào hố móng công trình. Mặt bằng khu vực đang thi </w:t>
      </w:r>
      <w:r w:rsidRPr="00FE1639">
        <w:rPr>
          <w:rFonts w:eastAsia="Calibri"/>
          <w:sz w:val="28"/>
          <w:szCs w:val="28"/>
          <w:shd w:val="clear" w:color="auto" w:fill="FFFFFF"/>
          <w:lang w:eastAsia="vi-VN"/>
        </w:rPr>
        <w:lastRenderedPageBreak/>
        <w:t>công phải gọn gàng ngăn nắp, vệ sinh; vật liệu thải và các vật chướng ngại phải được dọn sạch.</w:t>
      </w:r>
    </w:p>
    <w:p w14:paraId="5AE59C1D" w14:textId="77777777" w:rsidR="00326D26" w:rsidRPr="00FE1639" w:rsidRDefault="00326D26" w:rsidP="00326D26">
      <w:pPr>
        <w:spacing w:before="120"/>
        <w:ind w:firstLine="720"/>
        <w:rPr>
          <w:sz w:val="28"/>
          <w:szCs w:val="28"/>
          <w:shd w:val="clear" w:color="auto" w:fill="FFFFFF"/>
          <w:lang w:eastAsia="vi-VN"/>
        </w:rPr>
      </w:pPr>
      <w:r w:rsidRPr="00FE1639">
        <w:rPr>
          <w:sz w:val="28"/>
          <w:szCs w:val="28"/>
          <w:shd w:val="clear" w:color="auto" w:fill="FFFFFF"/>
          <w:lang w:eastAsia="vi-VN"/>
        </w:rPr>
        <w:t>- Những hầm, hố trên mặt bằng và những lỗ trống trên các sàn tầng các công trình phải được đậy kín bảo đảm an toàn cho người đi lại hoặc rào ngăn chắc chắn. Những đường hào, hố móng nằm gần đường giao thông phải có rào chắn cao lm, ban đêm phải có đèn đỏ báo hiệu. Khi chuyển vật liệu thừa, vật liệu thải từ trên cao xuống phải có máng trượt hoặc các thiết bị nâng hạ khác. Miệng dưới máng trượt cách mặt đất không quá 1m. Không được đổ vật liệu thừa, thải từ trên cao xuống khi khu bên dưới chưa rào chắn, chưa được đặt biển báo và chưa có người cảnh giới.</w:t>
      </w:r>
    </w:p>
    <w:p w14:paraId="35A2F561" w14:textId="77777777" w:rsidR="00326D26" w:rsidRPr="00FE1639" w:rsidRDefault="00326D26" w:rsidP="00326D26">
      <w:pPr>
        <w:spacing w:before="120"/>
        <w:ind w:firstLine="720"/>
        <w:rPr>
          <w:sz w:val="28"/>
          <w:szCs w:val="28"/>
          <w:shd w:val="clear" w:color="auto" w:fill="FFFFFF"/>
          <w:lang w:eastAsia="vi-VN"/>
        </w:rPr>
      </w:pPr>
      <w:r w:rsidRPr="00FE1639">
        <w:rPr>
          <w:bCs/>
          <w:sz w:val="28"/>
          <w:szCs w:val="28"/>
          <w:lang w:val="es-ES"/>
        </w:rPr>
        <w:t>10. Yêu cầu khác</w:t>
      </w:r>
    </w:p>
    <w:p w14:paraId="47AC52D8" w14:textId="77777777" w:rsidR="00326D26" w:rsidRPr="00FE1639" w:rsidRDefault="00326D26" w:rsidP="00326D26">
      <w:pPr>
        <w:widowControl w:val="0"/>
        <w:autoSpaceDE w:val="0"/>
        <w:autoSpaceDN w:val="0"/>
        <w:adjustRightInd w:val="0"/>
        <w:spacing w:before="60"/>
        <w:ind w:right="-14" w:firstLine="567"/>
        <w:rPr>
          <w:sz w:val="28"/>
          <w:szCs w:val="28"/>
          <w:lang w:val="es-ES" w:eastAsia="vi-VN"/>
        </w:rPr>
      </w:pPr>
      <w:r w:rsidRPr="00FE1639">
        <w:rPr>
          <w:sz w:val="28"/>
          <w:szCs w:val="28"/>
          <w:lang w:val="vi-VN" w:eastAsia="vi-VN"/>
        </w:rPr>
        <w:t>Nhà thầu cần xem rõ các yêu cầu khác của gói thầu được nêu tại Bản vẽ thiết kế và thuyết minh thiết kế được phát hành cùng với hồ sơ mời thầu</w:t>
      </w:r>
      <w:r w:rsidRPr="00FE1639">
        <w:rPr>
          <w:sz w:val="28"/>
          <w:szCs w:val="28"/>
          <w:lang w:val="es-ES" w:eastAsia="vi-VN"/>
        </w:rPr>
        <w:t>.</w:t>
      </w:r>
    </w:p>
    <w:p w14:paraId="38F302AF" w14:textId="77777777" w:rsidR="00326D26" w:rsidRPr="00FE1639" w:rsidRDefault="00326D26" w:rsidP="00326D26">
      <w:pPr>
        <w:widowControl w:val="0"/>
        <w:spacing w:before="120" w:after="120" w:line="264" w:lineRule="auto"/>
        <w:ind w:firstLine="567"/>
        <w:rPr>
          <w:sz w:val="28"/>
          <w:szCs w:val="28"/>
        </w:rPr>
      </w:pPr>
      <w:r w:rsidRPr="00FE1639">
        <w:rPr>
          <w:sz w:val="28"/>
          <w:szCs w:val="28"/>
        </w:rPr>
        <w:t>III. Các bản vẽ</w:t>
      </w:r>
    </w:p>
    <w:p w14:paraId="5DBAC1B9" w14:textId="77777777" w:rsidR="00326D26" w:rsidRPr="00FE1639" w:rsidRDefault="00326D26" w:rsidP="00326D26">
      <w:pPr>
        <w:widowControl w:val="0"/>
        <w:spacing w:before="120" w:after="120" w:line="264" w:lineRule="auto"/>
        <w:ind w:firstLine="567"/>
        <w:rPr>
          <w:sz w:val="28"/>
          <w:szCs w:val="28"/>
        </w:rPr>
      </w:pPr>
      <w:r w:rsidRPr="00FE1639">
        <w:rPr>
          <w:sz w:val="28"/>
          <w:szCs w:val="28"/>
        </w:rPr>
        <w:t>Liệt kê các bản vẽ</w:t>
      </w:r>
      <w:r w:rsidRPr="00FE1639">
        <w:rPr>
          <w:rStyle w:val="FootnoteReference"/>
          <w:rFonts w:eastAsia="MS Gothic"/>
          <w:sz w:val="28"/>
          <w:szCs w:val="28"/>
        </w:rPr>
        <w:footnoteReference w:id="1"/>
      </w:r>
      <w:r w:rsidRPr="00FE1639">
        <w:rPr>
          <w:sz w:val="28"/>
          <w:szCs w:val="28"/>
        </w:rPr>
        <w:t>. Chi tiết file bản vẽ kèm theo HSMT</w:t>
      </w:r>
    </w:p>
    <w:p w14:paraId="60A6C15A" w14:textId="77777777" w:rsidR="00326D26" w:rsidRPr="00FE1639" w:rsidRDefault="00326D26" w:rsidP="00326D26">
      <w:pPr>
        <w:spacing w:before="60" w:after="60"/>
        <w:ind w:firstLine="567"/>
        <w:rPr>
          <w:i/>
          <w:sz w:val="28"/>
          <w:szCs w:val="28"/>
          <w:lang w:val="es-ES"/>
        </w:rPr>
      </w:pPr>
    </w:p>
    <w:bookmarkEnd w:id="0"/>
    <w:p w14:paraId="562C59CF" w14:textId="77777777" w:rsidR="006137C6" w:rsidRPr="00FE1639" w:rsidRDefault="006137C6" w:rsidP="00326D26">
      <w:pPr>
        <w:pStyle w:val="TOC1"/>
        <w:spacing w:before="60" w:after="60"/>
        <w:ind w:left="0" w:right="0" w:firstLine="567"/>
        <w:rPr>
          <w:b w:val="0"/>
          <w:i/>
          <w:sz w:val="28"/>
          <w:szCs w:val="28"/>
          <w:lang w:val="es-ES"/>
        </w:rPr>
      </w:pPr>
    </w:p>
    <w:sectPr w:rsidR="006137C6" w:rsidRPr="00FE1639" w:rsidSect="00326D26">
      <w:headerReference w:type="default" r:id="rId8"/>
      <w:pgSz w:w="15840" w:h="12240" w:orient="landscape"/>
      <w:pgMar w:top="709" w:right="993" w:bottom="1135" w:left="113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85CB6" w14:textId="77777777" w:rsidR="00742B29" w:rsidRDefault="00742B29">
      <w:r>
        <w:separator/>
      </w:r>
    </w:p>
  </w:endnote>
  <w:endnote w:type="continuationSeparator" w:id="0">
    <w:p w14:paraId="2AEB13FB" w14:textId="77777777" w:rsidR="00742B29" w:rsidRDefault="0074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DF464" w14:textId="77777777" w:rsidR="00742B29" w:rsidRDefault="00742B29">
      <w:r>
        <w:separator/>
      </w:r>
    </w:p>
  </w:footnote>
  <w:footnote w:type="continuationSeparator" w:id="0">
    <w:p w14:paraId="6959243C" w14:textId="77777777" w:rsidR="00742B29" w:rsidRDefault="00742B29">
      <w:r>
        <w:continuationSeparator/>
      </w:r>
    </w:p>
  </w:footnote>
  <w:footnote w:id="1">
    <w:p w14:paraId="5F2B2F0A" w14:textId="77777777" w:rsidR="00645EDC" w:rsidRDefault="00645EDC" w:rsidP="00326D26">
      <w:pPr>
        <w:pStyle w:val="FootnoteText"/>
      </w:pPr>
      <w:r>
        <w:rPr>
          <w:rStyle w:val="FootnoteReference"/>
          <w:rFonts w:eastAsia="MS Gothic"/>
        </w:rPr>
        <w:footnoteRef/>
      </w:r>
      <w:r>
        <w:t xml:space="preserve"> Chủ đầu tư căn cứ pháp luật về xây dựng để đưa ra danh mục các bản vẽ cho phù hợp.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79650"/>
    </w:sdtPr>
    <w:sdtEndPr/>
    <w:sdtContent>
      <w:p w14:paraId="1CAC9D67" w14:textId="77777777" w:rsidR="00645EDC" w:rsidRDefault="00645EDC">
        <w:pPr>
          <w:pStyle w:val="Header"/>
          <w:jc w:val="center"/>
        </w:pPr>
        <w:r>
          <w:fldChar w:fldCharType="begin"/>
        </w:r>
        <w:r>
          <w:instrText xml:space="preserve"> PAGE   \* MERGEFORMAT </w:instrText>
        </w:r>
        <w:r>
          <w:fldChar w:fldCharType="separate"/>
        </w:r>
        <w:r w:rsidR="00FE1639">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1EDD2E85"/>
    <w:multiLevelType w:val="hybridMultilevel"/>
    <w:tmpl w:val="A6A22C7E"/>
    <w:lvl w:ilvl="0" w:tplc="0409000F">
      <w:start w:val="1"/>
      <w:numFmt w:val="decimal"/>
      <w:lvlText w:val="%1."/>
      <w:lvlJc w:val="lef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
    <w:nsid w:val="414E1D5F"/>
    <w:multiLevelType w:val="multilevel"/>
    <w:tmpl w:val="414E1D5F"/>
    <w:lvl w:ilvl="0">
      <w:start w:val="7"/>
      <w:numFmt w:val="bullet"/>
      <w:lvlText w:val="-"/>
      <w:lvlJc w:val="left"/>
      <w:pPr>
        <w:tabs>
          <w:tab w:val="left" w:pos="1070"/>
        </w:tabs>
        <w:ind w:left="1070" w:hanging="360"/>
      </w:pPr>
      <w:rPr>
        <w:rFonts w:ascii="VNI-Times" w:eastAsia="Times New Roman" w:hAnsi="VNI-Times" w:hint="default"/>
        <w:b w:val="0"/>
        <w:bCs w:val="0"/>
        <w:sz w:val="24"/>
        <w:szCs w:val="24"/>
      </w:rPr>
    </w:lvl>
    <w:lvl w:ilvl="1">
      <w:start w:val="1"/>
      <w:numFmt w:val="bullet"/>
      <w:lvlText w:val="o"/>
      <w:lvlJc w:val="left"/>
      <w:pPr>
        <w:tabs>
          <w:tab w:val="left" w:pos="1070"/>
        </w:tabs>
        <w:ind w:left="1070" w:hanging="360"/>
      </w:pPr>
      <w:rPr>
        <w:rFonts w:ascii="VNI-Times" w:hAnsi="VNI-Times" w:cs="VNI-Times" w:hint="default"/>
      </w:rPr>
    </w:lvl>
    <w:lvl w:ilvl="2">
      <w:start w:val="1"/>
      <w:numFmt w:val="bullet"/>
      <w:lvlText w:val=""/>
      <w:lvlJc w:val="left"/>
      <w:pPr>
        <w:tabs>
          <w:tab w:val="left" w:pos="1790"/>
        </w:tabs>
        <w:ind w:left="1790" w:hanging="360"/>
      </w:pPr>
      <w:rPr>
        <w:rFonts w:ascii="VNI-Times" w:hAnsi="VNI-Times" w:cs="VNI-Times" w:hint="default"/>
      </w:rPr>
    </w:lvl>
    <w:lvl w:ilvl="3">
      <w:start w:val="1"/>
      <w:numFmt w:val="bullet"/>
      <w:lvlText w:val=""/>
      <w:lvlJc w:val="left"/>
      <w:pPr>
        <w:tabs>
          <w:tab w:val="left" w:pos="2510"/>
        </w:tabs>
        <w:ind w:left="2510" w:hanging="360"/>
      </w:pPr>
      <w:rPr>
        <w:rFonts w:ascii="VNI-Times" w:hAnsi="VNI-Times" w:cs="VNI-Times" w:hint="default"/>
      </w:rPr>
    </w:lvl>
    <w:lvl w:ilvl="4">
      <w:start w:val="1"/>
      <w:numFmt w:val="bullet"/>
      <w:lvlText w:val="o"/>
      <w:lvlJc w:val="left"/>
      <w:pPr>
        <w:tabs>
          <w:tab w:val="left" w:pos="3230"/>
        </w:tabs>
        <w:ind w:left="3230" w:hanging="360"/>
      </w:pPr>
      <w:rPr>
        <w:rFonts w:ascii="VNI-Times" w:hAnsi="VNI-Times" w:cs="VNI-Times" w:hint="default"/>
      </w:rPr>
    </w:lvl>
    <w:lvl w:ilvl="5">
      <w:start w:val="1"/>
      <w:numFmt w:val="bullet"/>
      <w:lvlText w:val=""/>
      <w:lvlJc w:val="left"/>
      <w:pPr>
        <w:tabs>
          <w:tab w:val="left" w:pos="3950"/>
        </w:tabs>
        <w:ind w:left="3950" w:hanging="360"/>
      </w:pPr>
      <w:rPr>
        <w:rFonts w:ascii="VNI-Times" w:hAnsi="VNI-Times" w:cs="VNI-Times" w:hint="default"/>
      </w:rPr>
    </w:lvl>
    <w:lvl w:ilvl="6">
      <w:start w:val="1"/>
      <w:numFmt w:val="bullet"/>
      <w:lvlText w:val=""/>
      <w:lvlJc w:val="left"/>
      <w:pPr>
        <w:tabs>
          <w:tab w:val="left" w:pos="4670"/>
        </w:tabs>
        <w:ind w:left="4670" w:hanging="360"/>
      </w:pPr>
      <w:rPr>
        <w:rFonts w:ascii="VNI-Times" w:hAnsi="VNI-Times" w:cs="VNI-Times" w:hint="default"/>
      </w:rPr>
    </w:lvl>
    <w:lvl w:ilvl="7">
      <w:start w:val="1"/>
      <w:numFmt w:val="bullet"/>
      <w:lvlText w:val="o"/>
      <w:lvlJc w:val="left"/>
      <w:pPr>
        <w:tabs>
          <w:tab w:val="left" w:pos="5390"/>
        </w:tabs>
        <w:ind w:left="5390" w:hanging="360"/>
      </w:pPr>
      <w:rPr>
        <w:rFonts w:ascii="VNI-Times" w:hAnsi="VNI-Times" w:cs="VNI-Times" w:hint="default"/>
      </w:rPr>
    </w:lvl>
    <w:lvl w:ilvl="8">
      <w:start w:val="1"/>
      <w:numFmt w:val="bullet"/>
      <w:lvlText w:val=""/>
      <w:lvlJc w:val="left"/>
      <w:pPr>
        <w:tabs>
          <w:tab w:val="left" w:pos="6110"/>
        </w:tabs>
        <w:ind w:left="6110" w:hanging="360"/>
      </w:pPr>
      <w:rPr>
        <w:rFonts w:ascii="VNI-Times" w:hAnsi="VNI-Times" w:cs="VNI-Times" w:hint="default"/>
      </w:rPr>
    </w:lvl>
  </w:abstractNum>
  <w:abstractNum w:abstractNumId="4">
    <w:nsid w:val="5A360387"/>
    <w:multiLevelType w:val="multilevel"/>
    <w:tmpl w:val="5A360387"/>
    <w:lvl w:ilvl="0">
      <w:numFmt w:val="bullet"/>
      <w:lvlText w:val="-"/>
      <w:lvlJc w:val="left"/>
      <w:pPr>
        <w:ind w:left="147" w:hanging="148"/>
      </w:pPr>
      <w:rPr>
        <w:rFonts w:ascii="Times New Roman" w:eastAsia="Times New Roman" w:hAnsi="Times New Roman" w:cs="Times New Roman" w:hint="default"/>
        <w:b w:val="0"/>
        <w:bCs w:val="0"/>
        <w:i w:val="0"/>
        <w:iCs w:val="0"/>
        <w:spacing w:val="0"/>
        <w:w w:val="101"/>
        <w:sz w:val="25"/>
        <w:szCs w:val="25"/>
        <w:lang w:val="vi" w:eastAsia="en-US" w:bidi="ar-SA"/>
      </w:rPr>
    </w:lvl>
    <w:lvl w:ilvl="1">
      <w:numFmt w:val="bullet"/>
      <w:lvlText w:val="-"/>
      <w:lvlJc w:val="left"/>
      <w:pPr>
        <w:ind w:left="516" w:hanging="166"/>
      </w:pPr>
      <w:rPr>
        <w:rFonts w:ascii="Times New Roman" w:eastAsia="Times New Roman" w:hAnsi="Times New Roman" w:cs="Times New Roman" w:hint="default"/>
        <w:b w:val="0"/>
        <w:bCs w:val="0"/>
        <w:i w:val="0"/>
        <w:iCs w:val="0"/>
        <w:spacing w:val="0"/>
        <w:w w:val="101"/>
        <w:sz w:val="25"/>
        <w:szCs w:val="25"/>
        <w:lang w:val="vi" w:eastAsia="en-US" w:bidi="ar-SA"/>
      </w:rPr>
    </w:lvl>
    <w:lvl w:ilvl="2">
      <w:numFmt w:val="bullet"/>
      <w:lvlText w:val="•"/>
      <w:lvlJc w:val="left"/>
      <w:pPr>
        <w:ind w:left="1418" w:hanging="166"/>
      </w:pPr>
      <w:rPr>
        <w:rFonts w:hint="default"/>
        <w:lang w:val="vi" w:eastAsia="en-US" w:bidi="ar-SA"/>
      </w:rPr>
    </w:lvl>
    <w:lvl w:ilvl="3">
      <w:numFmt w:val="bullet"/>
      <w:lvlText w:val="•"/>
      <w:lvlJc w:val="left"/>
      <w:pPr>
        <w:ind w:left="2317" w:hanging="166"/>
      </w:pPr>
      <w:rPr>
        <w:rFonts w:hint="default"/>
        <w:lang w:val="vi" w:eastAsia="en-US" w:bidi="ar-SA"/>
      </w:rPr>
    </w:lvl>
    <w:lvl w:ilvl="4">
      <w:numFmt w:val="bullet"/>
      <w:lvlText w:val="•"/>
      <w:lvlJc w:val="left"/>
      <w:pPr>
        <w:ind w:left="3216" w:hanging="166"/>
      </w:pPr>
      <w:rPr>
        <w:rFonts w:hint="default"/>
        <w:lang w:val="vi" w:eastAsia="en-US" w:bidi="ar-SA"/>
      </w:rPr>
    </w:lvl>
    <w:lvl w:ilvl="5">
      <w:numFmt w:val="bullet"/>
      <w:lvlText w:val="•"/>
      <w:lvlJc w:val="left"/>
      <w:pPr>
        <w:ind w:left="4115" w:hanging="166"/>
      </w:pPr>
      <w:rPr>
        <w:rFonts w:hint="default"/>
        <w:lang w:val="vi" w:eastAsia="en-US" w:bidi="ar-SA"/>
      </w:rPr>
    </w:lvl>
    <w:lvl w:ilvl="6">
      <w:numFmt w:val="bullet"/>
      <w:lvlText w:val="•"/>
      <w:lvlJc w:val="left"/>
      <w:pPr>
        <w:ind w:left="5014" w:hanging="166"/>
      </w:pPr>
      <w:rPr>
        <w:rFonts w:hint="default"/>
        <w:lang w:val="vi" w:eastAsia="en-US" w:bidi="ar-SA"/>
      </w:rPr>
    </w:lvl>
    <w:lvl w:ilvl="7">
      <w:numFmt w:val="bullet"/>
      <w:lvlText w:val="•"/>
      <w:lvlJc w:val="left"/>
      <w:pPr>
        <w:ind w:left="5913" w:hanging="166"/>
      </w:pPr>
      <w:rPr>
        <w:rFonts w:hint="default"/>
        <w:lang w:val="vi" w:eastAsia="en-US" w:bidi="ar-SA"/>
      </w:rPr>
    </w:lvl>
    <w:lvl w:ilvl="8">
      <w:numFmt w:val="bullet"/>
      <w:lvlText w:val="•"/>
      <w:lvlJc w:val="left"/>
      <w:pPr>
        <w:ind w:left="6812" w:hanging="166"/>
      </w:pPr>
      <w:rPr>
        <w:rFonts w:hint="default"/>
        <w:lang w:val="vi" w:eastAsia="en-US" w:bidi="ar-SA"/>
      </w:rPr>
    </w:lvl>
  </w:abstractNum>
  <w:abstractNum w:abstractNumId="5">
    <w:nsid w:val="5FF21358"/>
    <w:multiLevelType w:val="multilevel"/>
    <w:tmpl w:val="5FF213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DAF0E89"/>
    <w:multiLevelType w:val="multilevel"/>
    <w:tmpl w:val="6DAF0E89"/>
    <w:lvl w:ilvl="0">
      <w:start w:val="1"/>
      <w:numFmt w:val="decimal"/>
      <w:lvlText w:val="%1."/>
      <w:lvlJc w:val="left"/>
      <w:pPr>
        <w:ind w:left="1318" w:hanging="269"/>
      </w:pPr>
      <w:rPr>
        <w:rFonts w:ascii="Times New Roman" w:eastAsia="Times New Roman" w:hAnsi="Times New Roman" w:cs="Times New Roman" w:hint="default"/>
        <w:b/>
        <w:bCs/>
        <w:i w:val="0"/>
        <w:iCs w:val="0"/>
        <w:spacing w:val="0"/>
        <w:w w:val="101"/>
        <w:sz w:val="25"/>
        <w:szCs w:val="25"/>
        <w:lang w:val="vi" w:eastAsia="en-US" w:bidi="ar-SA"/>
      </w:rPr>
    </w:lvl>
    <w:lvl w:ilvl="1">
      <w:numFmt w:val="bullet"/>
      <w:lvlText w:val="-"/>
      <w:lvlJc w:val="left"/>
      <w:pPr>
        <w:ind w:left="516" w:hanging="151"/>
      </w:pPr>
      <w:rPr>
        <w:rFonts w:ascii="Times New Roman" w:eastAsia="Times New Roman" w:hAnsi="Times New Roman" w:cs="Times New Roman" w:hint="default"/>
        <w:b w:val="0"/>
        <w:bCs w:val="0"/>
        <w:i w:val="0"/>
        <w:iCs w:val="0"/>
        <w:spacing w:val="0"/>
        <w:w w:val="101"/>
        <w:sz w:val="25"/>
        <w:szCs w:val="25"/>
        <w:lang w:val="vi" w:eastAsia="en-US" w:bidi="ar-SA"/>
      </w:rPr>
    </w:lvl>
    <w:lvl w:ilvl="2">
      <w:numFmt w:val="bullet"/>
      <w:lvlText w:val="•"/>
      <w:lvlJc w:val="left"/>
      <w:pPr>
        <w:ind w:left="2246" w:hanging="151"/>
      </w:pPr>
      <w:rPr>
        <w:rFonts w:hint="default"/>
        <w:lang w:val="vi" w:eastAsia="en-US" w:bidi="ar-SA"/>
      </w:rPr>
    </w:lvl>
    <w:lvl w:ilvl="3">
      <w:numFmt w:val="bullet"/>
      <w:lvlText w:val="•"/>
      <w:lvlJc w:val="left"/>
      <w:pPr>
        <w:ind w:left="3173" w:hanging="151"/>
      </w:pPr>
      <w:rPr>
        <w:rFonts w:hint="default"/>
        <w:lang w:val="vi" w:eastAsia="en-US" w:bidi="ar-SA"/>
      </w:rPr>
    </w:lvl>
    <w:lvl w:ilvl="4">
      <w:numFmt w:val="bullet"/>
      <w:lvlText w:val="•"/>
      <w:lvlJc w:val="left"/>
      <w:pPr>
        <w:ind w:left="4100" w:hanging="151"/>
      </w:pPr>
      <w:rPr>
        <w:rFonts w:hint="default"/>
        <w:lang w:val="vi" w:eastAsia="en-US" w:bidi="ar-SA"/>
      </w:rPr>
    </w:lvl>
    <w:lvl w:ilvl="5">
      <w:numFmt w:val="bullet"/>
      <w:lvlText w:val="•"/>
      <w:lvlJc w:val="left"/>
      <w:pPr>
        <w:ind w:left="5026" w:hanging="151"/>
      </w:pPr>
      <w:rPr>
        <w:rFonts w:hint="default"/>
        <w:lang w:val="vi" w:eastAsia="en-US" w:bidi="ar-SA"/>
      </w:rPr>
    </w:lvl>
    <w:lvl w:ilvl="6">
      <w:numFmt w:val="bullet"/>
      <w:lvlText w:val="•"/>
      <w:lvlJc w:val="left"/>
      <w:pPr>
        <w:ind w:left="5953" w:hanging="151"/>
      </w:pPr>
      <w:rPr>
        <w:rFonts w:hint="default"/>
        <w:lang w:val="vi" w:eastAsia="en-US" w:bidi="ar-SA"/>
      </w:rPr>
    </w:lvl>
    <w:lvl w:ilvl="7">
      <w:numFmt w:val="bullet"/>
      <w:lvlText w:val="•"/>
      <w:lvlJc w:val="left"/>
      <w:pPr>
        <w:ind w:left="6880" w:hanging="151"/>
      </w:pPr>
      <w:rPr>
        <w:rFonts w:hint="default"/>
        <w:lang w:val="vi" w:eastAsia="en-US" w:bidi="ar-SA"/>
      </w:rPr>
    </w:lvl>
    <w:lvl w:ilvl="8">
      <w:numFmt w:val="bullet"/>
      <w:lvlText w:val="•"/>
      <w:lvlJc w:val="left"/>
      <w:pPr>
        <w:ind w:left="7806" w:hanging="151"/>
      </w:pPr>
      <w:rPr>
        <w:rFonts w:hint="default"/>
        <w:lang w:val="vi" w:eastAsia="en-US" w:bidi="ar-SA"/>
      </w:rPr>
    </w:lvl>
  </w:abstractNum>
  <w:abstractNum w:abstractNumId="7">
    <w:nsid w:val="77541CC6"/>
    <w:multiLevelType w:val="multilevel"/>
    <w:tmpl w:val="77541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0"/>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0F"/>
    <w:rsid w:val="000002F6"/>
    <w:rsid w:val="00001778"/>
    <w:rsid w:val="00001F08"/>
    <w:rsid w:val="00001F46"/>
    <w:rsid w:val="000111DE"/>
    <w:rsid w:val="0001591C"/>
    <w:rsid w:val="00017263"/>
    <w:rsid w:val="000220A6"/>
    <w:rsid w:val="00026314"/>
    <w:rsid w:val="00027049"/>
    <w:rsid w:val="00027550"/>
    <w:rsid w:val="00037F11"/>
    <w:rsid w:val="00043465"/>
    <w:rsid w:val="0004657D"/>
    <w:rsid w:val="0005270C"/>
    <w:rsid w:val="00055F77"/>
    <w:rsid w:val="00055F78"/>
    <w:rsid w:val="00055FDE"/>
    <w:rsid w:val="00062D36"/>
    <w:rsid w:val="00065C0B"/>
    <w:rsid w:val="00066C39"/>
    <w:rsid w:val="00075F5B"/>
    <w:rsid w:val="0007725E"/>
    <w:rsid w:val="00081165"/>
    <w:rsid w:val="0008213B"/>
    <w:rsid w:val="0008444C"/>
    <w:rsid w:val="00085308"/>
    <w:rsid w:val="00085806"/>
    <w:rsid w:val="0008584A"/>
    <w:rsid w:val="00085BC1"/>
    <w:rsid w:val="00086570"/>
    <w:rsid w:val="00094358"/>
    <w:rsid w:val="00095AAA"/>
    <w:rsid w:val="000966C5"/>
    <w:rsid w:val="00097953"/>
    <w:rsid w:val="000A3A75"/>
    <w:rsid w:val="000A53D9"/>
    <w:rsid w:val="000A55A9"/>
    <w:rsid w:val="000B6951"/>
    <w:rsid w:val="000B6F54"/>
    <w:rsid w:val="000C0665"/>
    <w:rsid w:val="000C7CEB"/>
    <w:rsid w:val="000D5F29"/>
    <w:rsid w:val="000D7ABB"/>
    <w:rsid w:val="000E2C26"/>
    <w:rsid w:val="000E69AE"/>
    <w:rsid w:val="000F64A8"/>
    <w:rsid w:val="00101139"/>
    <w:rsid w:val="00105D90"/>
    <w:rsid w:val="00110F70"/>
    <w:rsid w:val="0011142A"/>
    <w:rsid w:val="0011351C"/>
    <w:rsid w:val="0012308D"/>
    <w:rsid w:val="00125CBC"/>
    <w:rsid w:val="00125E07"/>
    <w:rsid w:val="00125EC5"/>
    <w:rsid w:val="00130BEC"/>
    <w:rsid w:val="00131E92"/>
    <w:rsid w:val="001400DA"/>
    <w:rsid w:val="001469D9"/>
    <w:rsid w:val="001558F2"/>
    <w:rsid w:val="00157A68"/>
    <w:rsid w:val="00170019"/>
    <w:rsid w:val="0017092C"/>
    <w:rsid w:val="001714E4"/>
    <w:rsid w:val="001742BC"/>
    <w:rsid w:val="00181295"/>
    <w:rsid w:val="00191D27"/>
    <w:rsid w:val="0019489A"/>
    <w:rsid w:val="00196E86"/>
    <w:rsid w:val="00197ED5"/>
    <w:rsid w:val="001A0E08"/>
    <w:rsid w:val="001A1424"/>
    <w:rsid w:val="001A5B07"/>
    <w:rsid w:val="001B536F"/>
    <w:rsid w:val="001B564F"/>
    <w:rsid w:val="001B58F8"/>
    <w:rsid w:val="001B7FC8"/>
    <w:rsid w:val="001C4DD8"/>
    <w:rsid w:val="001C56D4"/>
    <w:rsid w:val="001C7A58"/>
    <w:rsid w:val="001D1E59"/>
    <w:rsid w:val="001D3ED7"/>
    <w:rsid w:val="001D41F2"/>
    <w:rsid w:val="001E08F9"/>
    <w:rsid w:val="001E1791"/>
    <w:rsid w:val="001E1A72"/>
    <w:rsid w:val="001F1B2C"/>
    <w:rsid w:val="001F30BA"/>
    <w:rsid w:val="001F5ED1"/>
    <w:rsid w:val="001F61D4"/>
    <w:rsid w:val="001F7CB9"/>
    <w:rsid w:val="002004BA"/>
    <w:rsid w:val="002004C9"/>
    <w:rsid w:val="0020413B"/>
    <w:rsid w:val="00204BAF"/>
    <w:rsid w:val="00206785"/>
    <w:rsid w:val="0020687E"/>
    <w:rsid w:val="00210D97"/>
    <w:rsid w:val="00213414"/>
    <w:rsid w:val="00213F3A"/>
    <w:rsid w:val="0021409F"/>
    <w:rsid w:val="00214A43"/>
    <w:rsid w:val="002156CF"/>
    <w:rsid w:val="00216992"/>
    <w:rsid w:val="00217041"/>
    <w:rsid w:val="0022184C"/>
    <w:rsid w:val="00221CC6"/>
    <w:rsid w:val="00222C28"/>
    <w:rsid w:val="002261D7"/>
    <w:rsid w:val="002266EF"/>
    <w:rsid w:val="00227E13"/>
    <w:rsid w:val="002335D7"/>
    <w:rsid w:val="0024168F"/>
    <w:rsid w:val="00241930"/>
    <w:rsid w:val="00244975"/>
    <w:rsid w:val="002458AA"/>
    <w:rsid w:val="0024639D"/>
    <w:rsid w:val="00247F9B"/>
    <w:rsid w:val="00250605"/>
    <w:rsid w:val="0025291C"/>
    <w:rsid w:val="00253F1F"/>
    <w:rsid w:val="0025421A"/>
    <w:rsid w:val="00264DEC"/>
    <w:rsid w:val="00266A11"/>
    <w:rsid w:val="002707B8"/>
    <w:rsid w:val="002769C6"/>
    <w:rsid w:val="002802BB"/>
    <w:rsid w:val="00280740"/>
    <w:rsid w:val="00282297"/>
    <w:rsid w:val="00282764"/>
    <w:rsid w:val="0029737F"/>
    <w:rsid w:val="002A0ECE"/>
    <w:rsid w:val="002A1664"/>
    <w:rsid w:val="002A2B8A"/>
    <w:rsid w:val="002A2CFC"/>
    <w:rsid w:val="002A76AE"/>
    <w:rsid w:val="002B3111"/>
    <w:rsid w:val="002B556C"/>
    <w:rsid w:val="002B5A42"/>
    <w:rsid w:val="002B5DD7"/>
    <w:rsid w:val="002C3EF9"/>
    <w:rsid w:val="002C62D0"/>
    <w:rsid w:val="002C69C3"/>
    <w:rsid w:val="002D0CCD"/>
    <w:rsid w:val="002D2409"/>
    <w:rsid w:val="002D2680"/>
    <w:rsid w:val="002D5F2F"/>
    <w:rsid w:val="002E2E4D"/>
    <w:rsid w:val="002E35AB"/>
    <w:rsid w:val="002E382A"/>
    <w:rsid w:val="002E5393"/>
    <w:rsid w:val="002F41FB"/>
    <w:rsid w:val="002F47B2"/>
    <w:rsid w:val="002F7F39"/>
    <w:rsid w:val="00300474"/>
    <w:rsid w:val="00302635"/>
    <w:rsid w:val="00317E28"/>
    <w:rsid w:val="0032101C"/>
    <w:rsid w:val="00326D26"/>
    <w:rsid w:val="003275F9"/>
    <w:rsid w:val="00327D12"/>
    <w:rsid w:val="00336267"/>
    <w:rsid w:val="00336549"/>
    <w:rsid w:val="00337620"/>
    <w:rsid w:val="00341C84"/>
    <w:rsid w:val="00342F41"/>
    <w:rsid w:val="003445B2"/>
    <w:rsid w:val="00357A0F"/>
    <w:rsid w:val="0036201F"/>
    <w:rsid w:val="00364352"/>
    <w:rsid w:val="003662CD"/>
    <w:rsid w:val="00371D7C"/>
    <w:rsid w:val="00372448"/>
    <w:rsid w:val="00374612"/>
    <w:rsid w:val="00374E16"/>
    <w:rsid w:val="00377BCC"/>
    <w:rsid w:val="00390AA6"/>
    <w:rsid w:val="003A0B1C"/>
    <w:rsid w:val="003A412B"/>
    <w:rsid w:val="003A44D1"/>
    <w:rsid w:val="003A4A70"/>
    <w:rsid w:val="003B13AA"/>
    <w:rsid w:val="003B15FC"/>
    <w:rsid w:val="003C10C1"/>
    <w:rsid w:val="003C1FA3"/>
    <w:rsid w:val="003C27F6"/>
    <w:rsid w:val="003C5C87"/>
    <w:rsid w:val="003D7F74"/>
    <w:rsid w:val="003E0C5C"/>
    <w:rsid w:val="003E20B0"/>
    <w:rsid w:val="003E6C2E"/>
    <w:rsid w:val="003E6E58"/>
    <w:rsid w:val="003F0647"/>
    <w:rsid w:val="003F12BB"/>
    <w:rsid w:val="003F1FE5"/>
    <w:rsid w:val="003F658F"/>
    <w:rsid w:val="003F719D"/>
    <w:rsid w:val="00401CFA"/>
    <w:rsid w:val="004021EA"/>
    <w:rsid w:val="00403954"/>
    <w:rsid w:val="004072F7"/>
    <w:rsid w:val="00410EA3"/>
    <w:rsid w:val="0041177C"/>
    <w:rsid w:val="004153A3"/>
    <w:rsid w:val="00416BDE"/>
    <w:rsid w:val="00416FFB"/>
    <w:rsid w:val="004229B4"/>
    <w:rsid w:val="004409C6"/>
    <w:rsid w:val="004423D5"/>
    <w:rsid w:val="00442FE7"/>
    <w:rsid w:val="0044654D"/>
    <w:rsid w:val="00450154"/>
    <w:rsid w:val="00456B12"/>
    <w:rsid w:val="00457186"/>
    <w:rsid w:val="00462B1E"/>
    <w:rsid w:val="00463D5C"/>
    <w:rsid w:val="00465015"/>
    <w:rsid w:val="0046615A"/>
    <w:rsid w:val="0047070F"/>
    <w:rsid w:val="004722DD"/>
    <w:rsid w:val="004773C9"/>
    <w:rsid w:val="0047760B"/>
    <w:rsid w:val="00477D11"/>
    <w:rsid w:val="004853B8"/>
    <w:rsid w:val="00492EAA"/>
    <w:rsid w:val="00493BE8"/>
    <w:rsid w:val="004958A1"/>
    <w:rsid w:val="00497D39"/>
    <w:rsid w:val="00497E35"/>
    <w:rsid w:val="004A1FBD"/>
    <w:rsid w:val="004A7815"/>
    <w:rsid w:val="004B06A2"/>
    <w:rsid w:val="004B119B"/>
    <w:rsid w:val="004B1C0A"/>
    <w:rsid w:val="004B48FE"/>
    <w:rsid w:val="004B5112"/>
    <w:rsid w:val="004C0B4D"/>
    <w:rsid w:val="004C24A5"/>
    <w:rsid w:val="004C5B78"/>
    <w:rsid w:val="004C7AFF"/>
    <w:rsid w:val="004D25F2"/>
    <w:rsid w:val="004D31B6"/>
    <w:rsid w:val="004E2C8D"/>
    <w:rsid w:val="004E3A94"/>
    <w:rsid w:val="004E6041"/>
    <w:rsid w:val="004E6E47"/>
    <w:rsid w:val="004F5420"/>
    <w:rsid w:val="00501B1E"/>
    <w:rsid w:val="00504B08"/>
    <w:rsid w:val="00504FC0"/>
    <w:rsid w:val="0052644A"/>
    <w:rsid w:val="00532806"/>
    <w:rsid w:val="00532AFD"/>
    <w:rsid w:val="00535F99"/>
    <w:rsid w:val="005442F3"/>
    <w:rsid w:val="00547CFC"/>
    <w:rsid w:val="00547E0B"/>
    <w:rsid w:val="00550706"/>
    <w:rsid w:val="00552508"/>
    <w:rsid w:val="005540D5"/>
    <w:rsid w:val="00554BED"/>
    <w:rsid w:val="005554F7"/>
    <w:rsid w:val="00556A0E"/>
    <w:rsid w:val="0055726D"/>
    <w:rsid w:val="00564571"/>
    <w:rsid w:val="00573D99"/>
    <w:rsid w:val="00577138"/>
    <w:rsid w:val="00581388"/>
    <w:rsid w:val="005846D8"/>
    <w:rsid w:val="005848CE"/>
    <w:rsid w:val="00585CF5"/>
    <w:rsid w:val="00595E56"/>
    <w:rsid w:val="0059749F"/>
    <w:rsid w:val="005A1F51"/>
    <w:rsid w:val="005A31D4"/>
    <w:rsid w:val="005A5CAD"/>
    <w:rsid w:val="005A693A"/>
    <w:rsid w:val="005A7636"/>
    <w:rsid w:val="005B1286"/>
    <w:rsid w:val="005B1605"/>
    <w:rsid w:val="005B304A"/>
    <w:rsid w:val="005B363A"/>
    <w:rsid w:val="005B49FB"/>
    <w:rsid w:val="005B72DE"/>
    <w:rsid w:val="005B7849"/>
    <w:rsid w:val="005C414E"/>
    <w:rsid w:val="005C689F"/>
    <w:rsid w:val="005C69EB"/>
    <w:rsid w:val="005C6AC5"/>
    <w:rsid w:val="005C72D1"/>
    <w:rsid w:val="005C7BB6"/>
    <w:rsid w:val="005D225B"/>
    <w:rsid w:val="005D3507"/>
    <w:rsid w:val="005E051B"/>
    <w:rsid w:val="005E0BC2"/>
    <w:rsid w:val="005E2C7A"/>
    <w:rsid w:val="005F1A6A"/>
    <w:rsid w:val="00601CA2"/>
    <w:rsid w:val="00603870"/>
    <w:rsid w:val="00604186"/>
    <w:rsid w:val="0060508B"/>
    <w:rsid w:val="0060647A"/>
    <w:rsid w:val="00606D7A"/>
    <w:rsid w:val="00606F9E"/>
    <w:rsid w:val="006137C6"/>
    <w:rsid w:val="00615461"/>
    <w:rsid w:val="0061792A"/>
    <w:rsid w:val="006209C9"/>
    <w:rsid w:val="00641987"/>
    <w:rsid w:val="00645EDC"/>
    <w:rsid w:val="00647DD8"/>
    <w:rsid w:val="0065136C"/>
    <w:rsid w:val="00653183"/>
    <w:rsid w:val="00656983"/>
    <w:rsid w:val="0066252E"/>
    <w:rsid w:val="00666353"/>
    <w:rsid w:val="00667353"/>
    <w:rsid w:val="00667A40"/>
    <w:rsid w:val="00672B31"/>
    <w:rsid w:val="00674390"/>
    <w:rsid w:val="00677197"/>
    <w:rsid w:val="00682A4D"/>
    <w:rsid w:val="00685849"/>
    <w:rsid w:val="00687A48"/>
    <w:rsid w:val="00691C94"/>
    <w:rsid w:val="006935AE"/>
    <w:rsid w:val="006944A9"/>
    <w:rsid w:val="0069582B"/>
    <w:rsid w:val="00695B37"/>
    <w:rsid w:val="006A28F5"/>
    <w:rsid w:val="006A2C3B"/>
    <w:rsid w:val="006A3904"/>
    <w:rsid w:val="006A49E6"/>
    <w:rsid w:val="006B1829"/>
    <w:rsid w:val="006B3B51"/>
    <w:rsid w:val="006B6396"/>
    <w:rsid w:val="006B67A1"/>
    <w:rsid w:val="006C1638"/>
    <w:rsid w:val="006D05D8"/>
    <w:rsid w:val="006D3ADB"/>
    <w:rsid w:val="006D41A8"/>
    <w:rsid w:val="006D43DF"/>
    <w:rsid w:val="006D6572"/>
    <w:rsid w:val="006E0866"/>
    <w:rsid w:val="006E1170"/>
    <w:rsid w:val="006E4292"/>
    <w:rsid w:val="006E4957"/>
    <w:rsid w:val="006E545B"/>
    <w:rsid w:val="006F20FB"/>
    <w:rsid w:val="006F29A8"/>
    <w:rsid w:val="006F40C0"/>
    <w:rsid w:val="006F4F02"/>
    <w:rsid w:val="007112E7"/>
    <w:rsid w:val="00713A8A"/>
    <w:rsid w:val="00713F8E"/>
    <w:rsid w:val="0071433B"/>
    <w:rsid w:val="007163C6"/>
    <w:rsid w:val="007239F9"/>
    <w:rsid w:val="00723EF2"/>
    <w:rsid w:val="007249A2"/>
    <w:rsid w:val="007331D8"/>
    <w:rsid w:val="00735D30"/>
    <w:rsid w:val="00736BA9"/>
    <w:rsid w:val="00741A3F"/>
    <w:rsid w:val="00742AE8"/>
    <w:rsid w:val="00742B29"/>
    <w:rsid w:val="0074443A"/>
    <w:rsid w:val="00744929"/>
    <w:rsid w:val="0075097B"/>
    <w:rsid w:val="00760079"/>
    <w:rsid w:val="00762163"/>
    <w:rsid w:val="0076258B"/>
    <w:rsid w:val="00774949"/>
    <w:rsid w:val="007768EC"/>
    <w:rsid w:val="007902AF"/>
    <w:rsid w:val="0079211C"/>
    <w:rsid w:val="007928C2"/>
    <w:rsid w:val="00793E82"/>
    <w:rsid w:val="0079669B"/>
    <w:rsid w:val="007A23C6"/>
    <w:rsid w:val="007A3D97"/>
    <w:rsid w:val="007B6E31"/>
    <w:rsid w:val="007B7490"/>
    <w:rsid w:val="007C058D"/>
    <w:rsid w:val="007C2976"/>
    <w:rsid w:val="007C3085"/>
    <w:rsid w:val="007C7EA3"/>
    <w:rsid w:val="007D04B1"/>
    <w:rsid w:val="007F318C"/>
    <w:rsid w:val="007F5542"/>
    <w:rsid w:val="007F64C9"/>
    <w:rsid w:val="00803E44"/>
    <w:rsid w:val="00803F68"/>
    <w:rsid w:val="00811018"/>
    <w:rsid w:val="00811CE2"/>
    <w:rsid w:val="008123F0"/>
    <w:rsid w:val="008132BF"/>
    <w:rsid w:val="00816D53"/>
    <w:rsid w:val="008177B5"/>
    <w:rsid w:val="00817F9F"/>
    <w:rsid w:val="00820E1C"/>
    <w:rsid w:val="00821E4C"/>
    <w:rsid w:val="008225F4"/>
    <w:rsid w:val="00822E59"/>
    <w:rsid w:val="00823282"/>
    <w:rsid w:val="008309DB"/>
    <w:rsid w:val="00830EB1"/>
    <w:rsid w:val="0083453E"/>
    <w:rsid w:val="00835C20"/>
    <w:rsid w:val="00841EA3"/>
    <w:rsid w:val="008430C3"/>
    <w:rsid w:val="008451AA"/>
    <w:rsid w:val="00851A4E"/>
    <w:rsid w:val="008539A5"/>
    <w:rsid w:val="0085543B"/>
    <w:rsid w:val="0085727E"/>
    <w:rsid w:val="0086502D"/>
    <w:rsid w:val="00865258"/>
    <w:rsid w:val="008732BC"/>
    <w:rsid w:val="00876059"/>
    <w:rsid w:val="00881778"/>
    <w:rsid w:val="0088391C"/>
    <w:rsid w:val="0088396D"/>
    <w:rsid w:val="0088428E"/>
    <w:rsid w:val="008860AB"/>
    <w:rsid w:val="008862F1"/>
    <w:rsid w:val="00886B73"/>
    <w:rsid w:val="00890072"/>
    <w:rsid w:val="008914CA"/>
    <w:rsid w:val="008950E0"/>
    <w:rsid w:val="00895AC1"/>
    <w:rsid w:val="008A0630"/>
    <w:rsid w:val="008A168E"/>
    <w:rsid w:val="008A7AD2"/>
    <w:rsid w:val="008B66DE"/>
    <w:rsid w:val="008C0D82"/>
    <w:rsid w:val="008C2154"/>
    <w:rsid w:val="008C3299"/>
    <w:rsid w:val="008C4691"/>
    <w:rsid w:val="008C5042"/>
    <w:rsid w:val="008D385D"/>
    <w:rsid w:val="008D4990"/>
    <w:rsid w:val="008D5A25"/>
    <w:rsid w:val="008D6DFE"/>
    <w:rsid w:val="008D7204"/>
    <w:rsid w:val="008E4696"/>
    <w:rsid w:val="008E4804"/>
    <w:rsid w:val="008E5955"/>
    <w:rsid w:val="008E643A"/>
    <w:rsid w:val="008F7CB8"/>
    <w:rsid w:val="008F7D5F"/>
    <w:rsid w:val="00900CC0"/>
    <w:rsid w:val="00902CE2"/>
    <w:rsid w:val="009033BF"/>
    <w:rsid w:val="009149EB"/>
    <w:rsid w:val="009212AD"/>
    <w:rsid w:val="009214E2"/>
    <w:rsid w:val="00921CED"/>
    <w:rsid w:val="00922ADE"/>
    <w:rsid w:val="00925362"/>
    <w:rsid w:val="00930DC6"/>
    <w:rsid w:val="0093148E"/>
    <w:rsid w:val="0093273C"/>
    <w:rsid w:val="00935717"/>
    <w:rsid w:val="009358A4"/>
    <w:rsid w:val="00936C4E"/>
    <w:rsid w:val="00936E4C"/>
    <w:rsid w:val="00942310"/>
    <w:rsid w:val="00942AFC"/>
    <w:rsid w:val="00944EDA"/>
    <w:rsid w:val="00950966"/>
    <w:rsid w:val="00967018"/>
    <w:rsid w:val="00970F13"/>
    <w:rsid w:val="00972668"/>
    <w:rsid w:val="0097289E"/>
    <w:rsid w:val="00973A47"/>
    <w:rsid w:val="00984DA0"/>
    <w:rsid w:val="00986855"/>
    <w:rsid w:val="00987939"/>
    <w:rsid w:val="009907D8"/>
    <w:rsid w:val="0099173D"/>
    <w:rsid w:val="009936FB"/>
    <w:rsid w:val="00994651"/>
    <w:rsid w:val="009A319B"/>
    <w:rsid w:val="009A4BA9"/>
    <w:rsid w:val="009B04A5"/>
    <w:rsid w:val="009B0AF7"/>
    <w:rsid w:val="009B36B8"/>
    <w:rsid w:val="009B66B2"/>
    <w:rsid w:val="009B76D0"/>
    <w:rsid w:val="009C2817"/>
    <w:rsid w:val="009C382A"/>
    <w:rsid w:val="009C387A"/>
    <w:rsid w:val="009C4C20"/>
    <w:rsid w:val="009D163F"/>
    <w:rsid w:val="009D536C"/>
    <w:rsid w:val="009E5AB9"/>
    <w:rsid w:val="009E6AA6"/>
    <w:rsid w:val="009E6ADB"/>
    <w:rsid w:val="009F0E00"/>
    <w:rsid w:val="009F2711"/>
    <w:rsid w:val="009F354B"/>
    <w:rsid w:val="009F663A"/>
    <w:rsid w:val="00A0050D"/>
    <w:rsid w:val="00A037DD"/>
    <w:rsid w:val="00A0609E"/>
    <w:rsid w:val="00A07378"/>
    <w:rsid w:val="00A10AEE"/>
    <w:rsid w:val="00A12311"/>
    <w:rsid w:val="00A20966"/>
    <w:rsid w:val="00A21C76"/>
    <w:rsid w:val="00A2645A"/>
    <w:rsid w:val="00A3050D"/>
    <w:rsid w:val="00A31985"/>
    <w:rsid w:val="00A32739"/>
    <w:rsid w:val="00A33A33"/>
    <w:rsid w:val="00A340A6"/>
    <w:rsid w:val="00A36C44"/>
    <w:rsid w:val="00A41C64"/>
    <w:rsid w:val="00A41F2C"/>
    <w:rsid w:val="00A45BE9"/>
    <w:rsid w:val="00A52A82"/>
    <w:rsid w:val="00A5335F"/>
    <w:rsid w:val="00A5767C"/>
    <w:rsid w:val="00A61B5C"/>
    <w:rsid w:val="00A67241"/>
    <w:rsid w:val="00A70ADB"/>
    <w:rsid w:val="00A7367F"/>
    <w:rsid w:val="00A746C4"/>
    <w:rsid w:val="00A74C54"/>
    <w:rsid w:val="00A805E4"/>
    <w:rsid w:val="00A8082B"/>
    <w:rsid w:val="00A8272B"/>
    <w:rsid w:val="00A84E09"/>
    <w:rsid w:val="00A87941"/>
    <w:rsid w:val="00A9129A"/>
    <w:rsid w:val="00AA0057"/>
    <w:rsid w:val="00AA1318"/>
    <w:rsid w:val="00AA1C88"/>
    <w:rsid w:val="00AA2DA9"/>
    <w:rsid w:val="00AA5A4F"/>
    <w:rsid w:val="00AA7255"/>
    <w:rsid w:val="00AA75B6"/>
    <w:rsid w:val="00AB377E"/>
    <w:rsid w:val="00AB59F0"/>
    <w:rsid w:val="00AB62CA"/>
    <w:rsid w:val="00AB7DF1"/>
    <w:rsid w:val="00AC0DF1"/>
    <w:rsid w:val="00AC150B"/>
    <w:rsid w:val="00AC4D57"/>
    <w:rsid w:val="00AC54C8"/>
    <w:rsid w:val="00AC6659"/>
    <w:rsid w:val="00AD0FAD"/>
    <w:rsid w:val="00AD2D62"/>
    <w:rsid w:val="00AD4085"/>
    <w:rsid w:val="00AD44C9"/>
    <w:rsid w:val="00AD4D9F"/>
    <w:rsid w:val="00AD6090"/>
    <w:rsid w:val="00AD7583"/>
    <w:rsid w:val="00AD7902"/>
    <w:rsid w:val="00AD7F05"/>
    <w:rsid w:val="00AE10D5"/>
    <w:rsid w:val="00AF0215"/>
    <w:rsid w:val="00AF09AB"/>
    <w:rsid w:val="00AF0E27"/>
    <w:rsid w:val="00AF0F74"/>
    <w:rsid w:val="00AF1DCB"/>
    <w:rsid w:val="00AF1FCF"/>
    <w:rsid w:val="00AF5751"/>
    <w:rsid w:val="00AF5F3B"/>
    <w:rsid w:val="00AF6F85"/>
    <w:rsid w:val="00AF7A74"/>
    <w:rsid w:val="00B01812"/>
    <w:rsid w:val="00B06DC1"/>
    <w:rsid w:val="00B1260C"/>
    <w:rsid w:val="00B16569"/>
    <w:rsid w:val="00B22996"/>
    <w:rsid w:val="00B2341A"/>
    <w:rsid w:val="00B276A1"/>
    <w:rsid w:val="00B34F53"/>
    <w:rsid w:val="00B3561B"/>
    <w:rsid w:val="00B36ED0"/>
    <w:rsid w:val="00B37C89"/>
    <w:rsid w:val="00B43AF2"/>
    <w:rsid w:val="00B44242"/>
    <w:rsid w:val="00B4567A"/>
    <w:rsid w:val="00B45946"/>
    <w:rsid w:val="00B5138A"/>
    <w:rsid w:val="00B52587"/>
    <w:rsid w:val="00B5324F"/>
    <w:rsid w:val="00B54153"/>
    <w:rsid w:val="00B61CC1"/>
    <w:rsid w:val="00B63B3F"/>
    <w:rsid w:val="00B67B28"/>
    <w:rsid w:val="00B713BE"/>
    <w:rsid w:val="00B73487"/>
    <w:rsid w:val="00B743F4"/>
    <w:rsid w:val="00B76B59"/>
    <w:rsid w:val="00B76FB8"/>
    <w:rsid w:val="00B7741D"/>
    <w:rsid w:val="00B77DCE"/>
    <w:rsid w:val="00B81774"/>
    <w:rsid w:val="00B83254"/>
    <w:rsid w:val="00B87E11"/>
    <w:rsid w:val="00B9091E"/>
    <w:rsid w:val="00B90A51"/>
    <w:rsid w:val="00B91FBC"/>
    <w:rsid w:val="00B93644"/>
    <w:rsid w:val="00B94E01"/>
    <w:rsid w:val="00B95E2E"/>
    <w:rsid w:val="00B97A22"/>
    <w:rsid w:val="00BA0C0A"/>
    <w:rsid w:val="00BA5038"/>
    <w:rsid w:val="00BA533A"/>
    <w:rsid w:val="00BA57C1"/>
    <w:rsid w:val="00BA5DEE"/>
    <w:rsid w:val="00BA65B8"/>
    <w:rsid w:val="00BA65E2"/>
    <w:rsid w:val="00BA6E40"/>
    <w:rsid w:val="00BB4974"/>
    <w:rsid w:val="00BC2BCB"/>
    <w:rsid w:val="00BD0FA7"/>
    <w:rsid w:val="00BD2984"/>
    <w:rsid w:val="00BD42F0"/>
    <w:rsid w:val="00BE08EB"/>
    <w:rsid w:val="00BE20FC"/>
    <w:rsid w:val="00BF307C"/>
    <w:rsid w:val="00BF36C3"/>
    <w:rsid w:val="00BF3B89"/>
    <w:rsid w:val="00BF7B70"/>
    <w:rsid w:val="00BF7F23"/>
    <w:rsid w:val="00C023A1"/>
    <w:rsid w:val="00C026CB"/>
    <w:rsid w:val="00C03009"/>
    <w:rsid w:val="00C06079"/>
    <w:rsid w:val="00C0638C"/>
    <w:rsid w:val="00C07BA3"/>
    <w:rsid w:val="00C12078"/>
    <w:rsid w:val="00C1536C"/>
    <w:rsid w:val="00C1650D"/>
    <w:rsid w:val="00C235A6"/>
    <w:rsid w:val="00C24798"/>
    <w:rsid w:val="00C31733"/>
    <w:rsid w:val="00C33A39"/>
    <w:rsid w:val="00C40B9F"/>
    <w:rsid w:val="00C41D7A"/>
    <w:rsid w:val="00C4267A"/>
    <w:rsid w:val="00C432CA"/>
    <w:rsid w:val="00C5340C"/>
    <w:rsid w:val="00C546BC"/>
    <w:rsid w:val="00C66069"/>
    <w:rsid w:val="00C71C89"/>
    <w:rsid w:val="00C75510"/>
    <w:rsid w:val="00C755C8"/>
    <w:rsid w:val="00C77722"/>
    <w:rsid w:val="00C802EE"/>
    <w:rsid w:val="00C80F50"/>
    <w:rsid w:val="00C84C0D"/>
    <w:rsid w:val="00C84C9F"/>
    <w:rsid w:val="00C855C3"/>
    <w:rsid w:val="00C860EC"/>
    <w:rsid w:val="00C9359E"/>
    <w:rsid w:val="00C95025"/>
    <w:rsid w:val="00C95FB3"/>
    <w:rsid w:val="00CA07EC"/>
    <w:rsid w:val="00CA120A"/>
    <w:rsid w:val="00CA1FB6"/>
    <w:rsid w:val="00CA2CF2"/>
    <w:rsid w:val="00CA6463"/>
    <w:rsid w:val="00CB2565"/>
    <w:rsid w:val="00CB25D3"/>
    <w:rsid w:val="00CB6433"/>
    <w:rsid w:val="00CC61AE"/>
    <w:rsid w:val="00CC7700"/>
    <w:rsid w:val="00CD001F"/>
    <w:rsid w:val="00CD3014"/>
    <w:rsid w:val="00CD7AC3"/>
    <w:rsid w:val="00CE472F"/>
    <w:rsid w:val="00CE5B7C"/>
    <w:rsid w:val="00CF0381"/>
    <w:rsid w:val="00CF08D5"/>
    <w:rsid w:val="00CF1164"/>
    <w:rsid w:val="00CF69FF"/>
    <w:rsid w:val="00D0278E"/>
    <w:rsid w:val="00D0279C"/>
    <w:rsid w:val="00D032BD"/>
    <w:rsid w:val="00D03A2B"/>
    <w:rsid w:val="00D0498D"/>
    <w:rsid w:val="00D06DA3"/>
    <w:rsid w:val="00D07438"/>
    <w:rsid w:val="00D10221"/>
    <w:rsid w:val="00D1454E"/>
    <w:rsid w:val="00D17A15"/>
    <w:rsid w:val="00D17BEB"/>
    <w:rsid w:val="00D41700"/>
    <w:rsid w:val="00D44006"/>
    <w:rsid w:val="00D45987"/>
    <w:rsid w:val="00D50472"/>
    <w:rsid w:val="00D55169"/>
    <w:rsid w:val="00D602D5"/>
    <w:rsid w:val="00D60B2B"/>
    <w:rsid w:val="00D632AD"/>
    <w:rsid w:val="00D70418"/>
    <w:rsid w:val="00D80B08"/>
    <w:rsid w:val="00D82541"/>
    <w:rsid w:val="00D84522"/>
    <w:rsid w:val="00D870FD"/>
    <w:rsid w:val="00D90CFF"/>
    <w:rsid w:val="00D91CD2"/>
    <w:rsid w:val="00D95DD7"/>
    <w:rsid w:val="00DA0737"/>
    <w:rsid w:val="00DA12E3"/>
    <w:rsid w:val="00DA5941"/>
    <w:rsid w:val="00DA6EDE"/>
    <w:rsid w:val="00DB14A1"/>
    <w:rsid w:val="00DB1FF3"/>
    <w:rsid w:val="00DB309F"/>
    <w:rsid w:val="00DB6BF8"/>
    <w:rsid w:val="00DC04B5"/>
    <w:rsid w:val="00DC0C91"/>
    <w:rsid w:val="00DC1725"/>
    <w:rsid w:val="00DC3A9B"/>
    <w:rsid w:val="00DC4FD1"/>
    <w:rsid w:val="00DC5F4F"/>
    <w:rsid w:val="00DC61C8"/>
    <w:rsid w:val="00DD11DE"/>
    <w:rsid w:val="00DD2DF7"/>
    <w:rsid w:val="00DD52D4"/>
    <w:rsid w:val="00DE33A6"/>
    <w:rsid w:val="00DE647A"/>
    <w:rsid w:val="00DE6988"/>
    <w:rsid w:val="00DE749F"/>
    <w:rsid w:val="00DF6194"/>
    <w:rsid w:val="00E0086E"/>
    <w:rsid w:val="00E02531"/>
    <w:rsid w:val="00E02C14"/>
    <w:rsid w:val="00E05504"/>
    <w:rsid w:val="00E069A6"/>
    <w:rsid w:val="00E10B39"/>
    <w:rsid w:val="00E10C51"/>
    <w:rsid w:val="00E13F41"/>
    <w:rsid w:val="00E21E34"/>
    <w:rsid w:val="00E26AF4"/>
    <w:rsid w:val="00E30604"/>
    <w:rsid w:val="00E30E30"/>
    <w:rsid w:val="00E32E94"/>
    <w:rsid w:val="00E35894"/>
    <w:rsid w:val="00E4662B"/>
    <w:rsid w:val="00E500C3"/>
    <w:rsid w:val="00E539B9"/>
    <w:rsid w:val="00E545F8"/>
    <w:rsid w:val="00E55A6E"/>
    <w:rsid w:val="00E5671B"/>
    <w:rsid w:val="00E575EE"/>
    <w:rsid w:val="00E60815"/>
    <w:rsid w:val="00E633AE"/>
    <w:rsid w:val="00E6366E"/>
    <w:rsid w:val="00E6442A"/>
    <w:rsid w:val="00E728B8"/>
    <w:rsid w:val="00E737E6"/>
    <w:rsid w:val="00E75B7D"/>
    <w:rsid w:val="00E77279"/>
    <w:rsid w:val="00E8377F"/>
    <w:rsid w:val="00E87591"/>
    <w:rsid w:val="00E9558C"/>
    <w:rsid w:val="00E96420"/>
    <w:rsid w:val="00EA44AA"/>
    <w:rsid w:val="00EB12D6"/>
    <w:rsid w:val="00EB4A5B"/>
    <w:rsid w:val="00EB6D0F"/>
    <w:rsid w:val="00EC04C8"/>
    <w:rsid w:val="00EC2242"/>
    <w:rsid w:val="00EC7722"/>
    <w:rsid w:val="00ED1CF8"/>
    <w:rsid w:val="00EE0415"/>
    <w:rsid w:val="00EE1898"/>
    <w:rsid w:val="00EE29B0"/>
    <w:rsid w:val="00EE457A"/>
    <w:rsid w:val="00EF2E9E"/>
    <w:rsid w:val="00EF400B"/>
    <w:rsid w:val="00EF6A45"/>
    <w:rsid w:val="00EF7FB8"/>
    <w:rsid w:val="00F003DF"/>
    <w:rsid w:val="00F015E4"/>
    <w:rsid w:val="00F01E49"/>
    <w:rsid w:val="00F02A32"/>
    <w:rsid w:val="00F04AA2"/>
    <w:rsid w:val="00F11973"/>
    <w:rsid w:val="00F12164"/>
    <w:rsid w:val="00F1619A"/>
    <w:rsid w:val="00F16F94"/>
    <w:rsid w:val="00F17C5D"/>
    <w:rsid w:val="00F217B2"/>
    <w:rsid w:val="00F24384"/>
    <w:rsid w:val="00F2613F"/>
    <w:rsid w:val="00F310DA"/>
    <w:rsid w:val="00F315C9"/>
    <w:rsid w:val="00F32EAA"/>
    <w:rsid w:val="00F3678B"/>
    <w:rsid w:val="00F37893"/>
    <w:rsid w:val="00F412E7"/>
    <w:rsid w:val="00F42E03"/>
    <w:rsid w:val="00F43044"/>
    <w:rsid w:val="00F44566"/>
    <w:rsid w:val="00F45250"/>
    <w:rsid w:val="00F46113"/>
    <w:rsid w:val="00F46952"/>
    <w:rsid w:val="00F549AD"/>
    <w:rsid w:val="00F54B77"/>
    <w:rsid w:val="00F565AA"/>
    <w:rsid w:val="00F571B4"/>
    <w:rsid w:val="00F66C25"/>
    <w:rsid w:val="00F66ED4"/>
    <w:rsid w:val="00F7230F"/>
    <w:rsid w:val="00F72DE4"/>
    <w:rsid w:val="00F72F03"/>
    <w:rsid w:val="00F7452D"/>
    <w:rsid w:val="00F75D69"/>
    <w:rsid w:val="00F80BBF"/>
    <w:rsid w:val="00F81A9C"/>
    <w:rsid w:val="00F828B1"/>
    <w:rsid w:val="00F832CA"/>
    <w:rsid w:val="00F975A4"/>
    <w:rsid w:val="00FA06E0"/>
    <w:rsid w:val="00FA0886"/>
    <w:rsid w:val="00FA44C8"/>
    <w:rsid w:val="00FB36BA"/>
    <w:rsid w:val="00FB6510"/>
    <w:rsid w:val="00FC08EF"/>
    <w:rsid w:val="00FC4F3D"/>
    <w:rsid w:val="00FC7A0A"/>
    <w:rsid w:val="00FD0CF4"/>
    <w:rsid w:val="00FD0D78"/>
    <w:rsid w:val="00FD455F"/>
    <w:rsid w:val="00FD616F"/>
    <w:rsid w:val="00FD727B"/>
    <w:rsid w:val="00FE0CB9"/>
    <w:rsid w:val="00FE1639"/>
    <w:rsid w:val="00FE62B7"/>
    <w:rsid w:val="00FF30F7"/>
    <w:rsid w:val="00FF3DFD"/>
    <w:rsid w:val="00FF4A5D"/>
    <w:rsid w:val="48451836"/>
    <w:rsid w:val="73EA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626E"/>
  <w15:docId w15:val="{00BF3493-0672-437D-826A-F9088B9B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qFormat/>
    <w:pPr>
      <w:spacing w:before="60" w:line="320" w:lineRule="atLeast"/>
      <w:jc w:val="center"/>
    </w:pPr>
    <w:rPr>
      <w:rFonts w:ascii=".VnArial" w:eastAsiaTheme="minorHAnsi" w:hAnsi=".VnArial" w:cstheme="minorBidi"/>
      <w:szCs w:val="22"/>
    </w:rPr>
  </w:style>
  <w:style w:type="paragraph" w:styleId="BodyTextIndent">
    <w:name w:val="Body Text Indent"/>
    <w:basedOn w:val="Normal"/>
    <w:link w:val="BodyTextIndentChar"/>
    <w:uiPriority w:val="99"/>
    <w:semiHidden/>
    <w:pPr>
      <w:spacing w:before="120"/>
      <w:ind w:firstLine="851"/>
    </w:pPr>
    <w:rPr>
      <w:rFonts w:ascii="VNI-Times" w:hAnsi="VNI-Times" w:cs="VNI-Times"/>
      <w:sz w:val="26"/>
      <w:szCs w:val="2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unhideWhenUsed/>
    <w:pPr>
      <w:tabs>
        <w:tab w:val="center" w:pos="4680"/>
        <w:tab w:val="right" w:pos="9360"/>
      </w:tabs>
    </w:pPr>
  </w:style>
  <w:style w:type="character" w:styleId="Strong">
    <w:name w:val="Strong"/>
    <w:basedOn w:val="DefaultParagraphFont"/>
    <w:uiPriority w:val="22"/>
    <w:qFormat/>
    <w:rPr>
      <w:b/>
      <w:bCs/>
    </w:rPr>
  </w:style>
  <w:style w:type="paragraph" w:styleId="TOC1">
    <w:name w:val="toc 1"/>
    <w:basedOn w:val="Normal"/>
    <w:next w:val="Normal"/>
    <w:pPr>
      <w:tabs>
        <w:tab w:val="right" w:leader="dot" w:pos="9000"/>
      </w:tabs>
      <w:suppressAutoHyphens/>
      <w:spacing w:before="240"/>
      <w:ind w:left="720" w:right="720" w:hanging="720"/>
    </w:pPr>
    <w:rPr>
      <w:b/>
    </w:rPr>
  </w:style>
  <w:style w:type="paragraph" w:customStyle="1" w:styleId="Style11">
    <w:name w:val="Style 11"/>
    <w:basedOn w:val="Normal"/>
    <w:pPr>
      <w:widowControl w:val="0"/>
      <w:autoSpaceDE w:val="0"/>
      <w:autoSpaceDN w:val="0"/>
      <w:spacing w:line="384" w:lineRule="atLeast"/>
      <w:jc w:val="left"/>
    </w:pPr>
    <w:rPr>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qFormat/>
    <w:rPr>
      <w:rFonts w:ascii=".VnArial" w:hAnsi=".VnArial"/>
      <w:sz w:val="24"/>
    </w:rPr>
  </w:style>
  <w:style w:type="paragraph" w:styleId="ListParagraph">
    <w:name w:val="List Paragraph"/>
    <w:basedOn w:val="Normal"/>
    <w:link w:val="ListParagraphChar"/>
    <w:uiPriority w:val="34"/>
    <w:qFormat/>
    <w:pPr>
      <w:ind w:left="720"/>
      <w:contextualSpacing/>
      <w:jc w:val="left"/>
    </w:pPr>
    <w:rPr>
      <w:rFonts w:ascii=".VnTime" w:eastAsia="SimSun" w:hAnsi=".VnTime"/>
    </w:rPr>
  </w:style>
  <w:style w:type="character" w:customStyle="1" w:styleId="ListParagraphChar">
    <w:name w:val="List Paragraph Char"/>
    <w:link w:val="ListParagraph"/>
    <w:uiPriority w:val="34"/>
    <w:qFormat/>
    <w:locked/>
    <w:rPr>
      <w:rFonts w:ascii=".VnTime" w:eastAsia="SimSun" w:hAnsi=".VnTime"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TableParagraph">
    <w:name w:val="Table Paragraph"/>
    <w:basedOn w:val="Normal"/>
    <w:uiPriority w:val="1"/>
    <w:qFormat/>
    <w:pPr>
      <w:widowControl w:val="0"/>
      <w:autoSpaceDE w:val="0"/>
      <w:autoSpaceDN w:val="0"/>
      <w:jc w:val="left"/>
    </w:pPr>
    <w:rPr>
      <w:rFonts w:ascii="Liberation Serif" w:eastAsia="Liberation Serif" w:hAnsi="Liberation Serif" w:cs="Liberation Serif"/>
      <w:sz w:val="22"/>
      <w:szCs w:val="22"/>
      <w:lang w:val="vi"/>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character" w:customStyle="1" w:styleId="BodyTextIndentChar">
    <w:name w:val="Body Text Indent Char"/>
    <w:basedOn w:val="DefaultParagraphFont"/>
    <w:link w:val="BodyTextIndent"/>
    <w:uiPriority w:val="99"/>
    <w:semiHidden/>
    <w:qFormat/>
    <w:rPr>
      <w:rFonts w:ascii="VNI-Times" w:eastAsia="Times New Roman" w:hAnsi="VNI-Times" w:cs="VNI-Times"/>
      <w:sz w:val="26"/>
      <w:szCs w:val="26"/>
    </w:rPr>
  </w:style>
  <w:style w:type="paragraph" w:customStyle="1" w:styleId="Char1CharCharCharCharCharCharCharCharCharCharCharCharCharCharCharChar1CharChar">
    <w:name w:val="Char1 Char Char Char Char Char Char Char Char Char Char Char Char Char Char Char Char1 Char Char"/>
    <w:basedOn w:val="Normal"/>
    <w:qFormat/>
    <w:pPr>
      <w:widowControl w:val="0"/>
    </w:pPr>
    <w:rPr>
      <w:b/>
      <w:kern w:val="2"/>
      <w:szCs w:val="24"/>
      <w:lang w:eastAsia="zh-CN"/>
    </w:rPr>
  </w:style>
  <w:style w:type="table" w:styleId="TableGrid">
    <w:name w:val="Table Grid"/>
    <w:basedOn w:val="TableNormal"/>
    <w:uiPriority w:val="39"/>
    <w:rsid w:val="00191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FD84-7A47-41EB-967C-DB067082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BLC</dc:creator>
  <cp:lastModifiedBy>BLC</cp:lastModifiedBy>
  <cp:revision>4</cp:revision>
  <cp:lastPrinted>2023-10-19T04:34:00Z</cp:lastPrinted>
  <dcterms:created xsi:type="dcterms:W3CDTF">2025-12-26T03:37:00Z</dcterms:created>
  <dcterms:modified xsi:type="dcterms:W3CDTF">2025-12-26T08:08:00Z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9D4561284AC146DCAB63EF1AE39BFBEB_12</vt:lpwstr>
  </property>
</Properties>
</file>