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D21" w:rsidRPr="00B16D21" w:rsidRDefault="00B16D21" w:rsidP="00B16D21">
      <w:pPr>
        <w:pStyle w:val="Style11"/>
        <w:tabs>
          <w:tab w:val="left" w:pos="0"/>
          <w:tab w:val="left" w:pos="851"/>
          <w:tab w:val="left" w:pos="1418"/>
        </w:tabs>
        <w:spacing w:before="120" w:after="120" w:line="264" w:lineRule="auto"/>
        <w:ind w:firstLine="567"/>
        <w:jc w:val="center"/>
        <w:rPr>
          <w:sz w:val="28"/>
          <w:szCs w:val="28"/>
          <w:lang w:val="nl-NL"/>
        </w:rPr>
      </w:pPr>
      <w:r w:rsidRPr="00B16D21">
        <w:rPr>
          <w:b/>
          <w:sz w:val="28"/>
          <w:szCs w:val="28"/>
          <w:lang w:val="nl-NL"/>
        </w:rPr>
        <w:t>Phần 2. YÊU CẦU VỀ KỸ THUẬT</w:t>
      </w:r>
    </w:p>
    <w:p w:rsidR="00B16D21" w:rsidRPr="00B16D21" w:rsidRDefault="00B16D21" w:rsidP="00B16D21">
      <w:pPr>
        <w:pStyle w:val="Style11"/>
        <w:tabs>
          <w:tab w:val="left" w:pos="0"/>
          <w:tab w:val="left" w:pos="851"/>
          <w:tab w:val="left" w:pos="1418"/>
        </w:tabs>
        <w:spacing w:before="120" w:after="120" w:line="264" w:lineRule="auto"/>
        <w:ind w:firstLine="567"/>
        <w:jc w:val="center"/>
        <w:rPr>
          <w:b/>
          <w:sz w:val="28"/>
          <w:szCs w:val="28"/>
          <w:lang w:val="vi-VN"/>
        </w:rPr>
      </w:pPr>
      <w:r w:rsidRPr="00B16D21">
        <w:rPr>
          <w:sz w:val="28"/>
          <w:szCs w:val="28"/>
          <w:lang w:val="nl-NL"/>
        </w:rPr>
        <w:t xml:space="preserve"> </w:t>
      </w:r>
      <w:r w:rsidRPr="00B16D21">
        <w:rPr>
          <w:b/>
          <w:sz w:val="28"/>
          <w:szCs w:val="28"/>
          <w:lang w:val="vi-VN"/>
        </w:rPr>
        <w:t>Chương V. YÊU CẦU VỀ KỸ THUẬT</w:t>
      </w:r>
    </w:p>
    <w:p w:rsidR="00B16D21" w:rsidRPr="00B16D21" w:rsidRDefault="00B16D21" w:rsidP="00B16D21">
      <w:pPr>
        <w:pStyle w:val="Style11"/>
        <w:tabs>
          <w:tab w:val="left" w:pos="0"/>
          <w:tab w:val="left" w:pos="851"/>
          <w:tab w:val="left" w:pos="1418"/>
        </w:tabs>
        <w:spacing w:before="120" w:after="120" w:line="264" w:lineRule="auto"/>
        <w:ind w:firstLine="567"/>
        <w:jc w:val="center"/>
        <w:rPr>
          <w:b/>
          <w:sz w:val="28"/>
          <w:szCs w:val="28"/>
          <w:lang w:val="vi-VN"/>
        </w:rPr>
      </w:pPr>
    </w:p>
    <w:p w:rsidR="00B16D21" w:rsidRPr="00B16D21" w:rsidRDefault="00B16D21" w:rsidP="00B16D21">
      <w:pPr>
        <w:tabs>
          <w:tab w:val="left" w:pos="1418"/>
        </w:tabs>
        <w:spacing w:before="120" w:after="120" w:line="264" w:lineRule="auto"/>
        <w:ind w:firstLine="709"/>
        <w:rPr>
          <w:rFonts w:ascii="Times New Roman" w:hAnsi="Times New Roman" w:cs="Times New Roman"/>
          <w:b/>
          <w:sz w:val="28"/>
          <w:szCs w:val="28"/>
          <w:lang w:val="vi-VN"/>
        </w:rPr>
      </w:pPr>
      <w:r w:rsidRPr="00B16D21">
        <w:rPr>
          <w:rFonts w:ascii="Times New Roman" w:hAnsi="Times New Roman" w:cs="Times New Roman"/>
          <w:b/>
          <w:sz w:val="28"/>
          <w:szCs w:val="28"/>
          <w:lang w:val="vi-VN"/>
        </w:rPr>
        <w:t>I. Giới thiệu về gói thầu</w:t>
      </w:r>
    </w:p>
    <w:p w:rsidR="00B16D21" w:rsidRPr="00B16D21" w:rsidRDefault="00B16D21" w:rsidP="00B16D21">
      <w:pPr>
        <w:pStyle w:val="Header"/>
        <w:tabs>
          <w:tab w:val="left" w:pos="709"/>
        </w:tabs>
        <w:spacing w:line="276" w:lineRule="auto"/>
        <w:ind w:left="709"/>
        <w:rPr>
          <w:b/>
          <w:sz w:val="28"/>
          <w:szCs w:val="28"/>
          <w:lang w:val="nl-NL"/>
        </w:rPr>
      </w:pPr>
      <w:r w:rsidRPr="00B16D21">
        <w:rPr>
          <w:b/>
          <w:sz w:val="28"/>
          <w:szCs w:val="28"/>
          <w:lang w:val="nl-NL"/>
        </w:rPr>
        <w:t>a. Thông tin về dự án:</w:t>
      </w:r>
    </w:p>
    <w:p w:rsidR="00B16D21" w:rsidRPr="00B16D21" w:rsidRDefault="00B16D21" w:rsidP="00B16D21">
      <w:pPr>
        <w:spacing w:before="120" w:after="120"/>
        <w:ind w:firstLine="720"/>
        <w:rPr>
          <w:rFonts w:ascii="Times New Roman" w:hAnsi="Times New Roman" w:cs="Times New Roman"/>
          <w:sz w:val="28"/>
          <w:szCs w:val="28"/>
          <w:lang w:val="vi-VN"/>
        </w:rPr>
      </w:pPr>
      <w:r w:rsidRPr="00B16D21">
        <w:rPr>
          <w:rFonts w:ascii="Times New Roman" w:hAnsi="Times New Roman" w:cs="Times New Roman"/>
          <w:sz w:val="28"/>
          <w:szCs w:val="28"/>
          <w:lang w:val="nl-NL"/>
        </w:rPr>
        <w:t>i</w:t>
      </w:r>
      <w:r w:rsidRPr="00B16D21">
        <w:rPr>
          <w:rFonts w:ascii="Times New Roman" w:hAnsi="Times New Roman" w:cs="Times New Roman"/>
          <w:sz w:val="28"/>
          <w:szCs w:val="28"/>
          <w:lang w:val="vi-VN"/>
        </w:rPr>
        <w:t xml:space="preserve">) Tên công trình: </w:t>
      </w:r>
      <w:r w:rsidRPr="00B16D21">
        <w:rPr>
          <w:rFonts w:ascii="Times New Roman" w:hAnsi="Times New Roman" w:cs="Times New Roman"/>
          <w:b/>
          <w:sz w:val="28"/>
          <w:szCs w:val="28"/>
          <w:lang w:val="vi-VN"/>
        </w:rPr>
        <w:t>Tăng cường góc bảo vệ chống sét các đường dây 220 kV kết cấu 01 mạch thuộc TTĐ Miền Tây 1 và TTĐ Miền Tây 3</w:t>
      </w:r>
    </w:p>
    <w:p w:rsidR="00B16D21" w:rsidRPr="00B16D21" w:rsidRDefault="00B16D21" w:rsidP="00B16D21">
      <w:pPr>
        <w:spacing w:before="120" w:after="120"/>
        <w:ind w:firstLine="720"/>
        <w:rPr>
          <w:rFonts w:ascii="Times New Roman" w:hAnsi="Times New Roman" w:cs="Times New Roman"/>
          <w:sz w:val="28"/>
          <w:szCs w:val="28"/>
          <w:lang w:val="vi-VN"/>
        </w:rPr>
      </w:pPr>
      <w:r w:rsidRPr="00B16D21">
        <w:rPr>
          <w:rFonts w:ascii="Times New Roman" w:hAnsi="Times New Roman" w:cs="Times New Roman"/>
          <w:sz w:val="28"/>
          <w:szCs w:val="28"/>
          <w:lang w:val="vi-VN"/>
        </w:rPr>
        <w:t xml:space="preserve">ii) Chủ đầu tư: </w:t>
      </w:r>
      <w:r w:rsidRPr="00B16D21">
        <w:rPr>
          <w:rFonts w:ascii="Times New Roman" w:hAnsi="Times New Roman" w:cs="Times New Roman"/>
          <w:sz w:val="28"/>
          <w:szCs w:val="28"/>
          <w:lang w:val="nl-NL"/>
        </w:rPr>
        <w:t>Công ty Truyền tải điện 4</w:t>
      </w:r>
      <w:r w:rsidRPr="00B16D21">
        <w:rPr>
          <w:rFonts w:ascii="Times New Roman" w:hAnsi="Times New Roman" w:cs="Times New Roman"/>
          <w:sz w:val="28"/>
          <w:szCs w:val="28"/>
          <w:lang w:val="vi-VN"/>
        </w:rPr>
        <w:t xml:space="preserve"> - </w:t>
      </w:r>
      <w:r w:rsidRPr="00B16D21">
        <w:rPr>
          <w:rFonts w:ascii="Times New Roman" w:hAnsi="Times New Roman" w:cs="Times New Roman"/>
          <w:sz w:val="28"/>
          <w:szCs w:val="28"/>
          <w:lang w:val="nl-NL"/>
        </w:rPr>
        <w:t>Tổng công ty Truyền tải điện Quốc gia</w:t>
      </w:r>
      <w:r w:rsidRPr="00B16D21">
        <w:rPr>
          <w:rFonts w:ascii="Times New Roman" w:hAnsi="Times New Roman" w:cs="Times New Roman"/>
          <w:sz w:val="28"/>
          <w:szCs w:val="28"/>
          <w:lang w:val="vi-VN"/>
        </w:rPr>
        <w:t>.</w:t>
      </w:r>
    </w:p>
    <w:p w:rsidR="00B16D21" w:rsidRPr="00B16D21" w:rsidRDefault="00B16D21" w:rsidP="00B16D21">
      <w:pPr>
        <w:spacing w:before="120" w:after="120"/>
        <w:ind w:firstLine="720"/>
        <w:rPr>
          <w:rFonts w:ascii="Times New Roman" w:hAnsi="Times New Roman" w:cs="Times New Roman"/>
          <w:sz w:val="28"/>
          <w:szCs w:val="28"/>
          <w:lang w:val="vi-VN"/>
        </w:rPr>
      </w:pPr>
      <w:r w:rsidRPr="00B16D21">
        <w:rPr>
          <w:rFonts w:ascii="Times New Roman" w:hAnsi="Times New Roman" w:cs="Times New Roman"/>
          <w:sz w:val="28"/>
          <w:szCs w:val="28"/>
          <w:lang w:val="it-IT"/>
        </w:rPr>
        <w:t>iii</w:t>
      </w:r>
      <w:r w:rsidRPr="00B16D21">
        <w:rPr>
          <w:rFonts w:ascii="Times New Roman" w:hAnsi="Times New Roman" w:cs="Times New Roman"/>
          <w:sz w:val="28"/>
          <w:szCs w:val="28"/>
          <w:lang w:val="vi-VN"/>
        </w:rPr>
        <w:t xml:space="preserve">) Nguồn vốn: </w:t>
      </w:r>
      <w:r w:rsidRPr="00B16D21">
        <w:rPr>
          <w:rFonts w:ascii="Times New Roman" w:hAnsi="Times New Roman" w:cs="Times New Roman"/>
          <w:sz w:val="28"/>
          <w:szCs w:val="28"/>
          <w:lang w:val="nl-NL"/>
        </w:rPr>
        <w:t>EVNNPT</w:t>
      </w:r>
      <w:r w:rsidRPr="00B16D21">
        <w:rPr>
          <w:rFonts w:ascii="Times New Roman" w:hAnsi="Times New Roman" w:cs="Times New Roman"/>
          <w:sz w:val="28"/>
          <w:szCs w:val="28"/>
          <w:lang w:val="vi-VN"/>
        </w:rPr>
        <w:t>.</w:t>
      </w:r>
    </w:p>
    <w:p w:rsidR="00B16D21" w:rsidRPr="00B16D21" w:rsidRDefault="00B16D21" w:rsidP="00B16D21">
      <w:pPr>
        <w:spacing w:before="120" w:after="120"/>
        <w:ind w:firstLine="720"/>
        <w:rPr>
          <w:rFonts w:ascii="Times New Roman" w:hAnsi="Times New Roman" w:cs="Times New Roman"/>
          <w:sz w:val="28"/>
          <w:szCs w:val="28"/>
          <w:lang w:val="vi-VN"/>
        </w:rPr>
      </w:pPr>
      <w:r w:rsidRPr="00B16D21">
        <w:rPr>
          <w:rFonts w:ascii="Times New Roman" w:hAnsi="Times New Roman" w:cs="Times New Roman"/>
          <w:sz w:val="28"/>
          <w:szCs w:val="28"/>
          <w:lang w:val="it-IT"/>
        </w:rPr>
        <w:t>iv</w:t>
      </w:r>
      <w:r w:rsidRPr="00B16D21">
        <w:rPr>
          <w:rFonts w:ascii="Times New Roman" w:hAnsi="Times New Roman" w:cs="Times New Roman"/>
          <w:sz w:val="28"/>
          <w:szCs w:val="28"/>
          <w:lang w:val="vi-VN"/>
        </w:rPr>
        <w:t xml:space="preserve">) Thời gian thực hiện dự án: </w:t>
      </w:r>
      <w:r w:rsidRPr="00B16D21">
        <w:rPr>
          <w:rFonts w:ascii="Times New Roman" w:hAnsi="Times New Roman" w:cs="Times New Roman"/>
          <w:bCs/>
          <w:sz w:val="28"/>
          <w:szCs w:val="28"/>
          <w:lang w:val="it-IT"/>
        </w:rPr>
        <w:t>dự kiến hoàn thành trong năm 2025</w:t>
      </w:r>
      <w:r w:rsidRPr="00B16D21">
        <w:rPr>
          <w:rFonts w:ascii="Times New Roman" w:hAnsi="Times New Roman" w:cs="Times New Roman"/>
          <w:sz w:val="28"/>
          <w:szCs w:val="28"/>
          <w:lang w:val="vi-VN"/>
        </w:rPr>
        <w:t>.</w:t>
      </w:r>
    </w:p>
    <w:p w:rsidR="00B16D21" w:rsidRPr="00B16D21" w:rsidRDefault="00B16D21" w:rsidP="00B16D21">
      <w:pPr>
        <w:spacing w:before="120" w:after="120"/>
        <w:ind w:firstLine="720"/>
        <w:rPr>
          <w:rFonts w:ascii="Times New Roman" w:hAnsi="Times New Roman" w:cs="Times New Roman"/>
          <w:sz w:val="28"/>
          <w:szCs w:val="28"/>
          <w:lang w:val="vi-VN"/>
        </w:rPr>
      </w:pPr>
      <w:r w:rsidRPr="00B16D21">
        <w:rPr>
          <w:rFonts w:ascii="Times New Roman" w:hAnsi="Times New Roman" w:cs="Times New Roman"/>
          <w:sz w:val="28"/>
          <w:szCs w:val="28"/>
          <w:lang w:val="vi-VN"/>
        </w:rPr>
        <w:t xml:space="preserve">v) </w:t>
      </w:r>
      <w:r w:rsidRPr="00B16D21">
        <w:rPr>
          <w:rFonts w:ascii="Times New Roman" w:hAnsi="Times New Roman" w:cs="Times New Roman"/>
          <w:sz w:val="28"/>
          <w:szCs w:val="28"/>
          <w:lang w:val="it-IT"/>
        </w:rPr>
        <w:t xml:space="preserve">Địa điểm </w:t>
      </w:r>
      <w:r w:rsidRPr="00B16D21">
        <w:rPr>
          <w:rFonts w:ascii="Times New Roman" w:hAnsi="Times New Roman" w:cs="Times New Roman"/>
          <w:sz w:val="28"/>
          <w:szCs w:val="28"/>
          <w:lang w:val="vi-VN"/>
        </w:rPr>
        <w:t xml:space="preserve">và </w:t>
      </w:r>
      <w:r w:rsidRPr="00B16D21">
        <w:rPr>
          <w:rFonts w:ascii="Times New Roman" w:hAnsi="Times New Roman" w:cs="Times New Roman"/>
          <w:sz w:val="28"/>
          <w:szCs w:val="28"/>
          <w:lang w:val="it-IT"/>
        </w:rPr>
        <w:t>quy mô đầu tư xây dựng</w:t>
      </w:r>
      <w:r w:rsidRPr="00B16D21">
        <w:rPr>
          <w:rFonts w:ascii="Times New Roman" w:hAnsi="Times New Roman" w:cs="Times New Roman"/>
          <w:sz w:val="28"/>
          <w:szCs w:val="28"/>
          <w:lang w:val="vi-VN"/>
        </w:rPr>
        <w:t>:</w:t>
      </w:r>
    </w:p>
    <w:p w:rsidR="00B16D21" w:rsidRPr="00B16D21" w:rsidRDefault="00B16D21" w:rsidP="00B16D21">
      <w:pPr>
        <w:pStyle w:val="ListParagraph"/>
        <w:keepNext/>
        <w:numPr>
          <w:ilvl w:val="0"/>
          <w:numId w:val="4"/>
        </w:numPr>
        <w:tabs>
          <w:tab w:val="left" w:pos="0"/>
          <w:tab w:val="left" w:pos="900"/>
        </w:tabs>
        <w:autoSpaceDE w:val="0"/>
        <w:autoSpaceDN w:val="0"/>
        <w:adjustRightInd w:val="0"/>
        <w:spacing w:before="40" w:after="20" w:line="276" w:lineRule="auto"/>
        <w:ind w:left="0" w:firstLine="630"/>
        <w:rPr>
          <w:sz w:val="28"/>
          <w:szCs w:val="28"/>
          <w:lang w:val="vi-VN"/>
        </w:rPr>
      </w:pPr>
      <w:r w:rsidRPr="00B16D21">
        <w:rPr>
          <w:b/>
          <w:bCs/>
          <w:sz w:val="28"/>
          <w:szCs w:val="28"/>
          <w:lang w:val="vi-VN"/>
        </w:rPr>
        <w:t xml:space="preserve">Địa điểm: </w:t>
      </w:r>
      <w:r w:rsidRPr="00B16D21">
        <w:rPr>
          <w:sz w:val="28"/>
          <w:szCs w:val="28"/>
          <w:lang w:val="it-IT"/>
        </w:rPr>
        <w:t>Dự án Tăng cường góc bảo vệ chống sét các đường dây 220 kV kết cấu 01 mạch thuộc TTĐ miền Tây 1 và TTĐ miền Tây 3 đi qua 4 tỉnh, cụ thể như sau:</w:t>
      </w:r>
    </w:p>
    <w:p w:rsidR="00B16D21" w:rsidRPr="00B16D21" w:rsidRDefault="00B16D21" w:rsidP="00B16D21">
      <w:pPr>
        <w:pStyle w:val="Bodytextlist1"/>
        <w:spacing w:line="276" w:lineRule="auto"/>
        <w:rPr>
          <w:sz w:val="28"/>
          <w:szCs w:val="28"/>
          <w:lang w:val="it-IT"/>
        </w:rPr>
      </w:pPr>
      <w:r w:rsidRPr="00B16D21">
        <w:rPr>
          <w:sz w:val="28"/>
          <w:szCs w:val="28"/>
          <w:lang w:val="it-IT"/>
        </w:rPr>
        <w:t xml:space="preserve">Tuyến đường dây 220 kV Thốt Nốt – Rạch Giá đi qua địa phận: huyện Cờ Đỏ và quận Thốt Nốt, thành phố Cần Thơ; </w:t>
      </w:r>
      <w:r w:rsidRPr="00B16D21">
        <w:rPr>
          <w:sz w:val="28"/>
          <w:szCs w:val="28"/>
          <w:lang w:val="vi-VN"/>
        </w:rPr>
        <w:t>nay là Phường Thuận Hưng, Xã Trung Hưng, Xã Cờ Đỏ thành phố Cần Thơ</w:t>
      </w:r>
      <w:r w:rsidRPr="00B16D21">
        <w:rPr>
          <w:sz w:val="28"/>
          <w:szCs w:val="28"/>
          <w:lang w:val="it-IT"/>
        </w:rPr>
        <w:t xml:space="preserve"> .</w:t>
      </w:r>
    </w:p>
    <w:p w:rsidR="00B16D21" w:rsidRPr="00B16D21" w:rsidRDefault="00B16D21" w:rsidP="00B16D21">
      <w:pPr>
        <w:pStyle w:val="Bodytextlist1"/>
        <w:spacing w:line="276" w:lineRule="auto"/>
        <w:rPr>
          <w:sz w:val="28"/>
          <w:szCs w:val="28"/>
          <w:lang w:val="it-IT"/>
        </w:rPr>
      </w:pPr>
      <w:r w:rsidRPr="00B16D21">
        <w:rPr>
          <w:sz w:val="28"/>
          <w:szCs w:val="28"/>
          <w:lang w:val="it-IT"/>
        </w:rPr>
        <w:t>Tuyến đường dây 220 kV Rạch Giá – Ô Môn đi qua địa phận: huyện Cờ Đỏ, huyện Thới Lai và quận Ô Môn, thành phố Cần Thơ; nay là xã Cờ Đỏ, xã Đông Hiệp, xã Thới Lai, Phường Ô Môn thành phố Cần Thơ.</w:t>
      </w:r>
    </w:p>
    <w:p w:rsidR="00B16D21" w:rsidRPr="00B16D21" w:rsidRDefault="00B16D21" w:rsidP="00B16D21">
      <w:pPr>
        <w:pStyle w:val="Bodytextlist1"/>
        <w:spacing w:line="276" w:lineRule="auto"/>
        <w:rPr>
          <w:sz w:val="28"/>
          <w:szCs w:val="28"/>
          <w:lang w:val="it-IT"/>
        </w:rPr>
      </w:pPr>
      <w:r w:rsidRPr="00B16D21">
        <w:rPr>
          <w:sz w:val="28"/>
          <w:szCs w:val="28"/>
          <w:lang w:val="it-IT"/>
        </w:rPr>
        <w:t>Tuyến đường dây 220 kV NMĐ Cà Mau – Rạch Giá đi qua địa phận: huyện Gò Quao, huyện Giồng Riềng, huyện Châu Thành, tỉnh Kiên Giang; nay là Xã Châu Thành, Xã Long Thạnh, Xã Gò Quao, Xã Vĩnh Tuy tỉnh An Giang.</w:t>
      </w:r>
    </w:p>
    <w:p w:rsidR="00B16D21" w:rsidRPr="00B16D21" w:rsidRDefault="00B16D21" w:rsidP="00B16D21">
      <w:pPr>
        <w:pStyle w:val="Bodytextlist1"/>
        <w:spacing w:line="276" w:lineRule="auto"/>
        <w:rPr>
          <w:sz w:val="28"/>
          <w:szCs w:val="28"/>
          <w:lang w:val="it-IT"/>
        </w:rPr>
      </w:pPr>
      <w:r w:rsidRPr="00B16D21">
        <w:rPr>
          <w:sz w:val="28"/>
          <w:szCs w:val="28"/>
          <w:lang w:val="it-IT"/>
        </w:rPr>
        <w:t>Tuyến đường dây 220 kV NMĐ Cà Mau – Sóc Trăng đi qua địa phận các tỉnh thành như sau: huyện Gò Quao tỉnh Kiên Giang; huyện Long Mỹ tỉnh Hậu Giang và các huyện Hồng Dân, Phước Long, Vĩnh Lợi và Hòa Bình thuộc tỉnh Bạc Liêu; nay là Xã Vĩnh Tuy,  tỉnh An Giang, Xã Vĩnh Lộc, Xã Hồng Dân, Xã Ninh Quới, Xã Châu Thới, Xã Vĩnh Mỹ tỉnh Cà Mau.</w:t>
      </w:r>
    </w:p>
    <w:p w:rsidR="00B16D21" w:rsidRPr="00B16D21" w:rsidRDefault="00B16D21" w:rsidP="00B16D21">
      <w:pPr>
        <w:pStyle w:val="ListParagraph"/>
        <w:keepNext/>
        <w:numPr>
          <w:ilvl w:val="0"/>
          <w:numId w:val="4"/>
        </w:numPr>
        <w:tabs>
          <w:tab w:val="left" w:pos="0"/>
          <w:tab w:val="left" w:pos="900"/>
        </w:tabs>
        <w:autoSpaceDE w:val="0"/>
        <w:autoSpaceDN w:val="0"/>
        <w:adjustRightInd w:val="0"/>
        <w:spacing w:before="40" w:after="20" w:line="276" w:lineRule="auto"/>
        <w:ind w:left="1440" w:hanging="810"/>
        <w:rPr>
          <w:b/>
          <w:bCs/>
          <w:sz w:val="28"/>
          <w:szCs w:val="28"/>
        </w:rPr>
      </w:pPr>
      <w:r w:rsidRPr="00B16D21">
        <w:rPr>
          <w:b/>
          <w:bCs/>
          <w:sz w:val="28"/>
          <w:szCs w:val="28"/>
        </w:rPr>
        <w:lastRenderedPageBreak/>
        <w:t xml:space="preserve">Quy mô </w:t>
      </w:r>
      <w:r w:rsidRPr="00B16D21">
        <w:rPr>
          <w:b/>
          <w:bCs/>
          <w:sz w:val="28"/>
          <w:szCs w:val="28"/>
          <w:lang w:val="vi-VN"/>
        </w:rPr>
        <w:t>d</w:t>
      </w:r>
      <w:r w:rsidRPr="00B16D21">
        <w:rPr>
          <w:b/>
          <w:sz w:val="28"/>
          <w:szCs w:val="28"/>
          <w:lang w:val="vi-VN"/>
        </w:rPr>
        <w:t>ự án</w:t>
      </w:r>
      <w:r w:rsidRPr="00B16D21">
        <w:rPr>
          <w:b/>
          <w:bCs/>
          <w:sz w:val="28"/>
          <w:szCs w:val="28"/>
        </w:rPr>
        <w:t>:</w:t>
      </w:r>
    </w:p>
    <w:p w:rsidR="00B16D21" w:rsidRPr="00B16D21" w:rsidRDefault="00B16D21" w:rsidP="00B16D21">
      <w:pPr>
        <w:pStyle w:val="Bodytextlist1"/>
        <w:numPr>
          <w:ilvl w:val="0"/>
          <w:numId w:val="0"/>
        </w:numPr>
        <w:spacing w:before="60" w:after="60" w:line="276" w:lineRule="auto"/>
        <w:ind w:left="993"/>
        <w:rPr>
          <w:sz w:val="28"/>
          <w:szCs w:val="28"/>
        </w:rPr>
      </w:pPr>
      <w:r w:rsidRPr="00B16D21">
        <w:rPr>
          <w:sz w:val="28"/>
          <w:szCs w:val="28"/>
        </w:rPr>
        <w:t xml:space="preserve">Dự án “Tăng cường góc bảo vệ chống sét các đường dây 220 kV kết cấu 01 mạch thuộc TTĐ Miền Tây 1 và TTĐ Miền Tây 3” thực hiện cho các đường dây sau: </w:t>
      </w:r>
    </w:p>
    <w:p w:rsidR="00B16D21" w:rsidRPr="00B16D21" w:rsidRDefault="00B16D21" w:rsidP="00B16D21">
      <w:pPr>
        <w:pStyle w:val="Bodytextlist1"/>
        <w:spacing w:before="60" w:after="60" w:line="276" w:lineRule="auto"/>
        <w:ind w:left="1418" w:hanging="284"/>
        <w:rPr>
          <w:sz w:val="28"/>
          <w:szCs w:val="28"/>
        </w:rPr>
      </w:pPr>
      <w:r w:rsidRPr="00B16D21">
        <w:rPr>
          <w:sz w:val="28"/>
          <w:szCs w:val="28"/>
        </w:rPr>
        <w:t>Đường dây 220 kV Thốt Nốt – Rạch Giá:</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Điểm đầu: trụ ĐN3.</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Điểm cuối: trụ 288.</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Chiều dài: khoảng 22,58 km.</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Các loại cột cần cải tạo, tăng cường góc bảo vệ chống sét: cột đỡ loại Đ220-5, Đ220-5+5, ĐP220-5; cột néo loại 2.S(6)+4, N220-1+5, N220-1+9.</w:t>
      </w:r>
    </w:p>
    <w:p w:rsidR="00B16D21" w:rsidRPr="00B16D21" w:rsidRDefault="00B16D21" w:rsidP="00B16D21">
      <w:pPr>
        <w:pStyle w:val="Bodytextlist1"/>
        <w:spacing w:before="60" w:after="60" w:line="276" w:lineRule="auto"/>
        <w:ind w:left="1418" w:hanging="284"/>
        <w:rPr>
          <w:sz w:val="28"/>
          <w:szCs w:val="28"/>
        </w:rPr>
      </w:pPr>
      <w:r w:rsidRPr="00B16D21">
        <w:rPr>
          <w:sz w:val="28"/>
          <w:szCs w:val="28"/>
        </w:rPr>
        <w:t>Đường dây 220 kV Rạch Giá – Ô Môn:</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Điểm đầu: trụ 105.</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Điểm cuối: trụ 10A.</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Chiều dài: khoảng 25,45 km.</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Các loại cột cần cải tạo, tăng cường góc bảo vệ chống sét: cột đỡ loại Đ220-5, Đ220-5+7; cột néo loại N220-1+5, N220-1+9.</w:t>
      </w:r>
    </w:p>
    <w:p w:rsidR="00B16D21" w:rsidRPr="00B16D21" w:rsidRDefault="00B16D21" w:rsidP="00B16D21">
      <w:pPr>
        <w:pStyle w:val="Bodytextlist1"/>
        <w:spacing w:before="60" w:after="60" w:line="276" w:lineRule="auto"/>
        <w:ind w:left="1418" w:hanging="284"/>
        <w:rPr>
          <w:sz w:val="28"/>
          <w:szCs w:val="28"/>
        </w:rPr>
      </w:pPr>
      <w:r w:rsidRPr="00B16D21">
        <w:rPr>
          <w:sz w:val="28"/>
          <w:szCs w:val="28"/>
        </w:rPr>
        <w:t>Đường dây 220 kV NMĐ Cà Mau – Rạch Giá:</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Điểm đầu: trụ 22.</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Điểm cuối: trụ 159.</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Chiều dài: khoảng 39,56 km.</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Các loại cột cần cải tạo, tăng cường góc bảo vệ chống sét: cột đỡ loại 2SL, 2SL+3, 2SL+6, 2SL+9, 2SL+24; cột néo loại 2S3, 2S3-TR.</w:t>
      </w:r>
    </w:p>
    <w:p w:rsidR="00B16D21" w:rsidRPr="00B16D21" w:rsidRDefault="00B16D21" w:rsidP="00B16D21">
      <w:pPr>
        <w:pStyle w:val="Bodytextlist1"/>
        <w:spacing w:before="60" w:after="60" w:line="276" w:lineRule="auto"/>
        <w:ind w:left="1418" w:hanging="284"/>
        <w:rPr>
          <w:sz w:val="28"/>
          <w:szCs w:val="28"/>
        </w:rPr>
      </w:pPr>
      <w:r w:rsidRPr="00B16D21">
        <w:rPr>
          <w:sz w:val="28"/>
          <w:szCs w:val="28"/>
        </w:rPr>
        <w:t>Đường dây 220 kV NMĐ Cà Mau – Sóc Trăng:</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Điểm đầu: trụ 159;</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Điểm cuối: trụ 268;</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Chiều dài: khoảng 50,89 km.</w:t>
      </w:r>
    </w:p>
    <w:p w:rsidR="00B16D21" w:rsidRPr="00B16D21" w:rsidRDefault="00B16D21" w:rsidP="00B16D21">
      <w:pPr>
        <w:pStyle w:val="Style"/>
        <w:spacing w:before="60" w:after="60" w:line="276" w:lineRule="auto"/>
        <w:rPr>
          <w:color w:val="auto"/>
          <w:sz w:val="28"/>
          <w:szCs w:val="28"/>
        </w:rPr>
      </w:pPr>
      <w:r w:rsidRPr="00B16D21">
        <w:rPr>
          <w:color w:val="auto"/>
          <w:sz w:val="28"/>
          <w:szCs w:val="28"/>
        </w:rPr>
        <w:t>Các loại cột cần cải tạo, tăng cường góc bảo vệ chống sét: cột đỡ loại 2SL, 2SL+3, 2SL+6, 2SL+9; cột néo loại 2S3, 2S6, 2S3-TR.</w:t>
      </w:r>
    </w:p>
    <w:p w:rsidR="00B16D21" w:rsidRPr="00B16D21" w:rsidRDefault="00B16D21" w:rsidP="00B16D21">
      <w:pPr>
        <w:pStyle w:val="ListParagraph"/>
        <w:widowControl w:val="0"/>
        <w:numPr>
          <w:ilvl w:val="0"/>
          <w:numId w:val="3"/>
        </w:numPr>
        <w:tabs>
          <w:tab w:val="left" w:pos="709"/>
        </w:tabs>
        <w:spacing w:line="276" w:lineRule="auto"/>
        <w:rPr>
          <w:b/>
          <w:sz w:val="28"/>
          <w:szCs w:val="28"/>
          <w:lang w:val="vi-VN"/>
        </w:rPr>
      </w:pPr>
      <w:r w:rsidRPr="00B16D21">
        <w:rPr>
          <w:b/>
          <w:sz w:val="28"/>
          <w:szCs w:val="28"/>
          <w:lang w:val="vi-VN"/>
        </w:rPr>
        <w:t>Mục tiêu đầu tư xây dựng:</w:t>
      </w:r>
    </w:p>
    <w:p w:rsidR="00B16D21" w:rsidRPr="00B16D21" w:rsidRDefault="00B16D21" w:rsidP="00B16D21">
      <w:pPr>
        <w:pStyle w:val="ListParagraph"/>
        <w:keepNext/>
        <w:numPr>
          <w:ilvl w:val="0"/>
          <w:numId w:val="4"/>
        </w:numPr>
        <w:tabs>
          <w:tab w:val="left" w:pos="0"/>
          <w:tab w:val="left" w:pos="900"/>
        </w:tabs>
        <w:autoSpaceDE w:val="0"/>
        <w:autoSpaceDN w:val="0"/>
        <w:adjustRightInd w:val="0"/>
        <w:spacing w:line="276" w:lineRule="auto"/>
        <w:ind w:left="0" w:firstLine="630"/>
        <w:rPr>
          <w:sz w:val="28"/>
          <w:szCs w:val="28"/>
          <w:lang w:val="vi-VN"/>
        </w:rPr>
      </w:pPr>
      <w:bookmarkStart w:id="0" w:name="_Hlk156483325"/>
      <w:r w:rsidRPr="00B16D21">
        <w:rPr>
          <w:sz w:val="28"/>
          <w:szCs w:val="28"/>
          <w:lang w:val="vi-VN"/>
        </w:rPr>
        <w:t>Công trình Tăng cường góc bảo vệ chống sét các đường dây 220 kV kết cấu 01 mạch thuộc TTĐ Miền Tây 1 và TTĐ Miền Tây 3</w:t>
      </w:r>
      <w:bookmarkEnd w:id="0"/>
      <w:r w:rsidRPr="00B16D21" w:rsidDel="00BC40F6">
        <w:rPr>
          <w:sz w:val="28"/>
          <w:szCs w:val="28"/>
          <w:lang w:val="vi-VN"/>
        </w:rPr>
        <w:t xml:space="preserve"> </w:t>
      </w:r>
      <w:r w:rsidRPr="00B16D21">
        <w:rPr>
          <w:sz w:val="28"/>
          <w:szCs w:val="28"/>
          <w:lang w:val="vi-VN"/>
        </w:rPr>
        <w:t xml:space="preserve">được thực hiện với mục tiêu: Tăng cường góc bảo vệ chống sét nhằm giảm sự cố do sét cho các đường dây </w:t>
      </w:r>
      <w:r w:rsidRPr="00B16D21">
        <w:rPr>
          <w:sz w:val="28"/>
          <w:szCs w:val="28"/>
          <w:lang w:val="vi-VN"/>
        </w:rPr>
        <w:lastRenderedPageBreak/>
        <w:t>220 kV mạch đơn (đường dây 1 mạch) ba pha bố trí tam giác do Truyền tải điện miền Tây 1 và Truyền tải điện miền Tây 3 quản lý vận hành.</w:t>
      </w:r>
    </w:p>
    <w:p w:rsidR="00B16D21" w:rsidRPr="00B16D21" w:rsidRDefault="00B16D21" w:rsidP="00B16D21">
      <w:pPr>
        <w:pStyle w:val="ListParagraph"/>
        <w:keepNext/>
        <w:numPr>
          <w:ilvl w:val="0"/>
          <w:numId w:val="4"/>
        </w:numPr>
        <w:tabs>
          <w:tab w:val="left" w:pos="0"/>
          <w:tab w:val="left" w:pos="900"/>
        </w:tabs>
        <w:autoSpaceDE w:val="0"/>
        <w:autoSpaceDN w:val="0"/>
        <w:adjustRightInd w:val="0"/>
        <w:spacing w:line="276" w:lineRule="auto"/>
        <w:ind w:left="0" w:firstLine="630"/>
        <w:rPr>
          <w:sz w:val="28"/>
          <w:szCs w:val="28"/>
          <w:lang w:val="vi-VN"/>
        </w:rPr>
      </w:pPr>
      <w:r w:rsidRPr="00B16D21">
        <w:rPr>
          <w:sz w:val="28"/>
          <w:szCs w:val="28"/>
          <w:lang w:val="vi-VN"/>
        </w:rPr>
        <w:t>Công trình được thực hiện hoàn toàn trên hướng tuyến và hành lang tuyến của các đường dây hiện hữu.</w:t>
      </w:r>
    </w:p>
    <w:p w:rsidR="00B16D21" w:rsidRPr="00B16D21" w:rsidRDefault="00B16D21" w:rsidP="00B16D21">
      <w:pPr>
        <w:pStyle w:val="Header"/>
        <w:tabs>
          <w:tab w:val="left" w:pos="709"/>
        </w:tabs>
        <w:spacing w:before="240" w:line="276" w:lineRule="auto"/>
        <w:ind w:left="709"/>
        <w:rPr>
          <w:b/>
          <w:sz w:val="28"/>
          <w:szCs w:val="28"/>
        </w:rPr>
      </w:pPr>
      <w:r w:rsidRPr="00B16D21">
        <w:rPr>
          <w:b/>
          <w:sz w:val="28"/>
          <w:szCs w:val="28"/>
        </w:rPr>
        <w:t>b. Thông tin về gói thầu:</w:t>
      </w:r>
    </w:p>
    <w:p w:rsidR="00B16D21" w:rsidRPr="00B16D21" w:rsidRDefault="00B16D21" w:rsidP="00B16D21">
      <w:pPr>
        <w:pStyle w:val="ListParagraph"/>
        <w:numPr>
          <w:ilvl w:val="0"/>
          <w:numId w:val="2"/>
        </w:numPr>
        <w:tabs>
          <w:tab w:val="left" w:pos="900"/>
        </w:tabs>
        <w:spacing w:before="120" w:line="276" w:lineRule="auto"/>
        <w:ind w:hanging="180"/>
        <w:contextualSpacing w:val="0"/>
        <w:rPr>
          <w:sz w:val="28"/>
          <w:szCs w:val="28"/>
        </w:rPr>
      </w:pPr>
      <w:r w:rsidRPr="00B16D21">
        <w:rPr>
          <w:sz w:val="28"/>
          <w:szCs w:val="28"/>
        </w:rPr>
        <w:t xml:space="preserve">Tên gói thầu: </w:t>
      </w:r>
      <w:r w:rsidRPr="00B16D21">
        <w:rPr>
          <w:sz w:val="28"/>
          <w:szCs w:val="28"/>
          <w:lang w:val="vi-VN"/>
        </w:rPr>
        <w:t xml:space="preserve">Gói </w:t>
      </w:r>
      <w:r w:rsidRPr="00B16D21">
        <w:rPr>
          <w:sz w:val="28"/>
          <w:szCs w:val="28"/>
        </w:rPr>
        <w:t xml:space="preserve">thầu số </w:t>
      </w:r>
      <w:r w:rsidRPr="00B16D21">
        <w:rPr>
          <w:sz w:val="28"/>
          <w:szCs w:val="28"/>
          <w:lang w:val="vi-VN"/>
        </w:rPr>
        <w:t>2: Thi công lắp dựng 04 đường dây 220kV Thốt Nốt – Rạch Giá, NMĐ Cà Mau – Sóc Trăng, Rạch Giá – Ô Môn, NMĐ Cà Mau – Rạch Giá</w:t>
      </w:r>
      <w:r w:rsidRPr="00B16D21">
        <w:rPr>
          <w:rFonts w:eastAsia="MS Mincho"/>
          <w:iCs/>
          <w:sz w:val="28"/>
          <w:szCs w:val="28"/>
          <w:lang w:eastAsia="ja-JP"/>
        </w:rPr>
        <w:t>;</w:t>
      </w:r>
    </w:p>
    <w:p w:rsidR="00B16D21" w:rsidRPr="00B16D21" w:rsidRDefault="00B16D21" w:rsidP="00B16D21">
      <w:pPr>
        <w:numPr>
          <w:ilvl w:val="0"/>
          <w:numId w:val="2"/>
        </w:numPr>
        <w:tabs>
          <w:tab w:val="left" w:pos="900"/>
        </w:tabs>
        <w:spacing w:after="0"/>
        <w:ind w:hanging="180"/>
        <w:jc w:val="both"/>
        <w:rPr>
          <w:rFonts w:ascii="Times New Roman" w:hAnsi="Times New Roman" w:cs="Times New Roman"/>
          <w:sz w:val="28"/>
          <w:szCs w:val="28"/>
        </w:rPr>
      </w:pPr>
      <w:r w:rsidRPr="00B16D21">
        <w:rPr>
          <w:rFonts w:ascii="Times New Roman" w:hAnsi="Times New Roman" w:cs="Times New Roman"/>
          <w:sz w:val="28"/>
          <w:szCs w:val="28"/>
        </w:rPr>
        <w:t xml:space="preserve">Giá trị dự toán gói thầu: </w:t>
      </w:r>
      <w:r w:rsidRPr="00B16D21">
        <w:rPr>
          <w:rFonts w:ascii="Times New Roman" w:hAnsi="Times New Roman" w:cs="Times New Roman"/>
          <w:b/>
          <w:bCs/>
          <w:sz w:val="28"/>
          <w:szCs w:val="28"/>
        </w:rPr>
        <w:t>13.128.804.756</w:t>
      </w:r>
      <w:r w:rsidRPr="00B16D21">
        <w:rPr>
          <w:rFonts w:ascii="Times New Roman" w:hAnsi="Times New Roman" w:cs="Times New Roman"/>
          <w:sz w:val="28"/>
          <w:szCs w:val="28"/>
        </w:rPr>
        <w:t xml:space="preserve"> đồng (bao gồm thuế VAT);</w:t>
      </w:r>
    </w:p>
    <w:p w:rsidR="00B16D21" w:rsidRPr="00B16D21" w:rsidRDefault="00B16D21" w:rsidP="00B16D21">
      <w:pPr>
        <w:numPr>
          <w:ilvl w:val="0"/>
          <w:numId w:val="2"/>
        </w:numPr>
        <w:tabs>
          <w:tab w:val="left" w:pos="900"/>
        </w:tabs>
        <w:spacing w:after="0"/>
        <w:ind w:hanging="180"/>
        <w:jc w:val="both"/>
        <w:rPr>
          <w:rFonts w:ascii="Times New Roman" w:hAnsi="Times New Roman" w:cs="Times New Roman"/>
          <w:sz w:val="28"/>
          <w:szCs w:val="28"/>
        </w:rPr>
      </w:pPr>
      <w:r w:rsidRPr="00B16D21">
        <w:rPr>
          <w:rFonts w:ascii="Times New Roman" w:hAnsi="Times New Roman" w:cs="Times New Roman"/>
          <w:sz w:val="28"/>
          <w:szCs w:val="28"/>
        </w:rPr>
        <w:t>Hình thức lựa chọn nhà thầu: đấu thầu rộng rãi trong nước (qua mạng);</w:t>
      </w:r>
    </w:p>
    <w:p w:rsidR="00B16D21" w:rsidRPr="00B16D21" w:rsidRDefault="00B16D21" w:rsidP="00B16D21">
      <w:pPr>
        <w:numPr>
          <w:ilvl w:val="0"/>
          <w:numId w:val="2"/>
        </w:numPr>
        <w:tabs>
          <w:tab w:val="left" w:pos="900"/>
        </w:tabs>
        <w:spacing w:after="0"/>
        <w:ind w:hanging="180"/>
        <w:jc w:val="both"/>
        <w:rPr>
          <w:rFonts w:ascii="Times New Roman" w:hAnsi="Times New Roman" w:cs="Times New Roman"/>
          <w:sz w:val="28"/>
          <w:szCs w:val="28"/>
        </w:rPr>
      </w:pPr>
      <w:r w:rsidRPr="00B16D21">
        <w:rPr>
          <w:rFonts w:ascii="Times New Roman" w:hAnsi="Times New Roman" w:cs="Times New Roman"/>
          <w:sz w:val="28"/>
          <w:szCs w:val="28"/>
        </w:rPr>
        <w:t>Phương thức đấu thầu: 01 giai đoạn 01 túi hồ sơ;</w:t>
      </w:r>
    </w:p>
    <w:p w:rsidR="00B16D21" w:rsidRPr="00B16D21" w:rsidRDefault="00B16D21" w:rsidP="00B16D21">
      <w:pPr>
        <w:numPr>
          <w:ilvl w:val="0"/>
          <w:numId w:val="2"/>
        </w:numPr>
        <w:tabs>
          <w:tab w:val="left" w:pos="900"/>
        </w:tabs>
        <w:spacing w:after="0"/>
        <w:ind w:hanging="180"/>
        <w:jc w:val="both"/>
        <w:rPr>
          <w:rFonts w:ascii="Times New Roman" w:hAnsi="Times New Roman" w:cs="Times New Roman"/>
          <w:sz w:val="28"/>
          <w:szCs w:val="28"/>
        </w:rPr>
      </w:pPr>
      <w:r w:rsidRPr="00B16D21">
        <w:rPr>
          <w:rFonts w:ascii="Times New Roman" w:hAnsi="Times New Roman" w:cs="Times New Roman"/>
          <w:sz w:val="28"/>
          <w:szCs w:val="28"/>
        </w:rPr>
        <w:t>Thời gian hiệu lực của E-HSDT: 120 ngày;</w:t>
      </w:r>
    </w:p>
    <w:p w:rsidR="00B16D21" w:rsidRPr="00B16D21" w:rsidRDefault="00B16D21" w:rsidP="00B16D21">
      <w:pPr>
        <w:numPr>
          <w:ilvl w:val="0"/>
          <w:numId w:val="2"/>
        </w:numPr>
        <w:tabs>
          <w:tab w:val="left" w:pos="900"/>
        </w:tabs>
        <w:spacing w:after="0"/>
        <w:ind w:hanging="180"/>
        <w:jc w:val="both"/>
        <w:rPr>
          <w:rFonts w:ascii="Times New Roman" w:hAnsi="Times New Roman" w:cs="Times New Roman"/>
          <w:sz w:val="28"/>
          <w:szCs w:val="28"/>
        </w:rPr>
      </w:pPr>
      <w:r w:rsidRPr="00B16D21">
        <w:rPr>
          <w:rFonts w:ascii="Times New Roman" w:hAnsi="Times New Roman" w:cs="Times New Roman"/>
          <w:sz w:val="28"/>
          <w:szCs w:val="28"/>
        </w:rPr>
        <w:t>Thời gian thực hiện gói thầu: 60 ngày;</w:t>
      </w:r>
    </w:p>
    <w:p w:rsidR="00B16D21" w:rsidRPr="00B16D21" w:rsidRDefault="00B16D21" w:rsidP="00B16D21">
      <w:pPr>
        <w:numPr>
          <w:ilvl w:val="0"/>
          <w:numId w:val="2"/>
        </w:numPr>
        <w:tabs>
          <w:tab w:val="left" w:pos="900"/>
        </w:tabs>
        <w:spacing w:after="0"/>
        <w:ind w:hanging="180"/>
        <w:jc w:val="both"/>
        <w:rPr>
          <w:rFonts w:ascii="Times New Roman" w:hAnsi="Times New Roman" w:cs="Times New Roman"/>
          <w:sz w:val="28"/>
          <w:szCs w:val="28"/>
        </w:rPr>
      </w:pPr>
      <w:r w:rsidRPr="00B16D21">
        <w:rPr>
          <w:rFonts w:ascii="Times New Roman" w:hAnsi="Times New Roman" w:cs="Times New Roman"/>
          <w:sz w:val="28"/>
          <w:szCs w:val="28"/>
        </w:rPr>
        <w:t>Loại hợp đồng: Trọn gói.</w:t>
      </w:r>
    </w:p>
    <w:p w:rsidR="00B16D21" w:rsidRPr="00B16D21" w:rsidRDefault="00B16D21" w:rsidP="00B16D21">
      <w:pPr>
        <w:widowControl w:val="0"/>
        <w:tabs>
          <w:tab w:val="left" w:pos="1418"/>
        </w:tabs>
        <w:spacing w:before="120" w:after="120" w:line="264" w:lineRule="auto"/>
        <w:ind w:firstLine="709"/>
        <w:rPr>
          <w:rFonts w:ascii="Times New Roman" w:hAnsi="Times New Roman" w:cs="Times New Roman"/>
          <w:b/>
          <w:sz w:val="28"/>
          <w:szCs w:val="28"/>
          <w:lang w:val="vi-VN"/>
        </w:rPr>
      </w:pPr>
      <w:r w:rsidRPr="00B16D21">
        <w:rPr>
          <w:rFonts w:ascii="Times New Roman" w:hAnsi="Times New Roman" w:cs="Times New Roman"/>
          <w:b/>
          <w:sz w:val="28"/>
          <w:szCs w:val="28"/>
          <w:lang w:val="vi-VN"/>
        </w:rPr>
        <w:t>II. Yêu cầu về tiến độ thực hiện</w:t>
      </w:r>
    </w:p>
    <w:tbl>
      <w:tblPr>
        <w:tblW w:w="88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4147"/>
        <w:gridCol w:w="1701"/>
        <w:gridCol w:w="2079"/>
      </w:tblGrid>
      <w:tr w:rsidR="00B16D21" w:rsidRPr="00B16D21" w:rsidTr="00493DF5">
        <w:trPr>
          <w:trHeight w:val="552"/>
        </w:trPr>
        <w:tc>
          <w:tcPr>
            <w:tcW w:w="879" w:type="dxa"/>
            <w:shd w:val="clear" w:color="auto" w:fill="E2EFD9"/>
            <w:vAlign w:val="center"/>
          </w:tcPr>
          <w:p w:rsidR="00B16D21" w:rsidRPr="00B16D21" w:rsidRDefault="00B16D21" w:rsidP="00493DF5">
            <w:pPr>
              <w:widowControl w:val="0"/>
              <w:tabs>
                <w:tab w:val="left" w:pos="1418"/>
              </w:tabs>
              <w:spacing w:before="120" w:after="120" w:line="264" w:lineRule="auto"/>
              <w:jc w:val="center"/>
              <w:rPr>
                <w:rFonts w:ascii="Times New Roman" w:hAnsi="Times New Roman" w:cs="Times New Roman"/>
                <w:b/>
                <w:sz w:val="28"/>
                <w:szCs w:val="28"/>
                <w:lang w:val="en-GB"/>
              </w:rPr>
            </w:pPr>
            <w:r w:rsidRPr="00B16D21">
              <w:rPr>
                <w:rFonts w:ascii="Times New Roman" w:hAnsi="Times New Roman" w:cs="Times New Roman"/>
                <w:b/>
                <w:sz w:val="28"/>
                <w:szCs w:val="28"/>
              </w:rPr>
              <w:t>STT</w:t>
            </w:r>
          </w:p>
        </w:tc>
        <w:tc>
          <w:tcPr>
            <w:tcW w:w="4147" w:type="dxa"/>
            <w:shd w:val="clear" w:color="auto" w:fill="E2EFD9"/>
            <w:vAlign w:val="center"/>
          </w:tcPr>
          <w:p w:rsidR="00B16D21" w:rsidRPr="00B16D21" w:rsidRDefault="00B16D21" w:rsidP="00493DF5">
            <w:pPr>
              <w:widowControl w:val="0"/>
              <w:tabs>
                <w:tab w:val="left" w:pos="1418"/>
              </w:tabs>
              <w:spacing w:before="120" w:after="120" w:line="264" w:lineRule="auto"/>
              <w:jc w:val="center"/>
              <w:rPr>
                <w:rFonts w:ascii="Times New Roman" w:hAnsi="Times New Roman" w:cs="Times New Roman"/>
                <w:b/>
                <w:sz w:val="28"/>
                <w:szCs w:val="28"/>
              </w:rPr>
            </w:pPr>
            <w:r w:rsidRPr="00B16D21">
              <w:rPr>
                <w:rFonts w:ascii="Times New Roman" w:hAnsi="Times New Roman" w:cs="Times New Roman"/>
                <w:b/>
                <w:sz w:val="28"/>
                <w:szCs w:val="28"/>
              </w:rPr>
              <w:t>Hạng mục công trình</w:t>
            </w:r>
          </w:p>
        </w:tc>
        <w:tc>
          <w:tcPr>
            <w:tcW w:w="1701" w:type="dxa"/>
            <w:shd w:val="clear" w:color="auto" w:fill="E2EFD9"/>
            <w:vAlign w:val="center"/>
          </w:tcPr>
          <w:p w:rsidR="00B16D21" w:rsidRPr="00B16D21" w:rsidRDefault="00B16D21" w:rsidP="00493DF5">
            <w:pPr>
              <w:widowControl w:val="0"/>
              <w:tabs>
                <w:tab w:val="left" w:pos="1418"/>
              </w:tabs>
              <w:spacing w:before="120" w:after="120" w:line="264" w:lineRule="auto"/>
              <w:jc w:val="center"/>
              <w:rPr>
                <w:rFonts w:ascii="Times New Roman" w:hAnsi="Times New Roman" w:cs="Times New Roman"/>
                <w:b/>
                <w:sz w:val="28"/>
                <w:szCs w:val="28"/>
              </w:rPr>
            </w:pPr>
            <w:r w:rsidRPr="00B16D21">
              <w:rPr>
                <w:rFonts w:ascii="Times New Roman" w:hAnsi="Times New Roman" w:cs="Times New Roman"/>
                <w:b/>
                <w:sz w:val="28"/>
                <w:szCs w:val="28"/>
              </w:rPr>
              <w:t>Ngày bắt đầu</w:t>
            </w:r>
          </w:p>
        </w:tc>
        <w:tc>
          <w:tcPr>
            <w:tcW w:w="2079" w:type="dxa"/>
            <w:shd w:val="clear" w:color="auto" w:fill="E2EFD9"/>
            <w:vAlign w:val="center"/>
          </w:tcPr>
          <w:p w:rsidR="00B16D21" w:rsidRPr="00B16D21" w:rsidRDefault="00B16D21" w:rsidP="00493DF5">
            <w:pPr>
              <w:widowControl w:val="0"/>
              <w:tabs>
                <w:tab w:val="left" w:pos="1418"/>
              </w:tabs>
              <w:spacing w:before="120" w:after="120" w:line="264" w:lineRule="auto"/>
              <w:jc w:val="center"/>
              <w:rPr>
                <w:rFonts w:ascii="Times New Roman" w:hAnsi="Times New Roman" w:cs="Times New Roman"/>
                <w:b/>
                <w:sz w:val="28"/>
                <w:szCs w:val="28"/>
                <w:lang w:val="en-GB"/>
              </w:rPr>
            </w:pPr>
            <w:r w:rsidRPr="00B16D21">
              <w:rPr>
                <w:rFonts w:ascii="Times New Roman" w:hAnsi="Times New Roman" w:cs="Times New Roman"/>
                <w:b/>
                <w:sz w:val="28"/>
                <w:szCs w:val="28"/>
              </w:rPr>
              <w:t>Ngày hoàn thành</w:t>
            </w:r>
          </w:p>
        </w:tc>
      </w:tr>
      <w:tr w:rsidR="00B16D21" w:rsidRPr="00B16D21" w:rsidTr="00493DF5">
        <w:tc>
          <w:tcPr>
            <w:tcW w:w="879" w:type="dxa"/>
            <w:vAlign w:val="center"/>
          </w:tcPr>
          <w:p w:rsidR="00B16D21" w:rsidRPr="00B16D21" w:rsidRDefault="00B16D21" w:rsidP="00493DF5">
            <w:pPr>
              <w:widowControl w:val="0"/>
              <w:tabs>
                <w:tab w:val="left" w:pos="1418"/>
              </w:tabs>
              <w:spacing w:before="120" w:after="120" w:line="264" w:lineRule="auto"/>
              <w:jc w:val="center"/>
              <w:rPr>
                <w:rFonts w:ascii="Times New Roman" w:hAnsi="Times New Roman" w:cs="Times New Roman"/>
                <w:sz w:val="28"/>
                <w:szCs w:val="28"/>
                <w:lang w:val="en-GB"/>
              </w:rPr>
            </w:pPr>
            <w:r w:rsidRPr="00B16D21">
              <w:rPr>
                <w:rFonts w:ascii="Times New Roman" w:hAnsi="Times New Roman" w:cs="Times New Roman"/>
                <w:sz w:val="28"/>
                <w:szCs w:val="28"/>
                <w:lang w:val="en-GB"/>
              </w:rPr>
              <w:t>1</w:t>
            </w:r>
          </w:p>
        </w:tc>
        <w:tc>
          <w:tcPr>
            <w:tcW w:w="4147" w:type="dxa"/>
            <w:vAlign w:val="center"/>
          </w:tcPr>
          <w:p w:rsidR="00B16D21" w:rsidRPr="00B16D21" w:rsidRDefault="00B16D21" w:rsidP="00493DF5">
            <w:pPr>
              <w:widowControl w:val="0"/>
              <w:tabs>
                <w:tab w:val="left" w:pos="1418"/>
              </w:tabs>
              <w:spacing w:before="120" w:after="120" w:line="264" w:lineRule="auto"/>
              <w:jc w:val="center"/>
              <w:rPr>
                <w:rFonts w:ascii="Times New Roman" w:hAnsi="Times New Roman" w:cs="Times New Roman"/>
                <w:sz w:val="28"/>
                <w:szCs w:val="28"/>
                <w:lang w:val="en-GB"/>
              </w:rPr>
            </w:pPr>
            <w:r w:rsidRPr="00B16D21">
              <w:rPr>
                <w:rFonts w:ascii="Times New Roman" w:hAnsi="Times New Roman" w:cs="Times New Roman"/>
                <w:sz w:val="28"/>
                <w:szCs w:val="28"/>
                <w:lang w:val="vi-VN"/>
              </w:rPr>
              <w:t xml:space="preserve">Gói </w:t>
            </w:r>
            <w:r w:rsidRPr="00B16D21">
              <w:rPr>
                <w:rFonts w:ascii="Times New Roman" w:hAnsi="Times New Roman" w:cs="Times New Roman"/>
                <w:sz w:val="28"/>
                <w:szCs w:val="28"/>
              </w:rPr>
              <w:t xml:space="preserve">thầu số </w:t>
            </w:r>
            <w:r w:rsidRPr="00B16D21">
              <w:rPr>
                <w:rFonts w:ascii="Times New Roman" w:hAnsi="Times New Roman" w:cs="Times New Roman"/>
                <w:sz w:val="28"/>
                <w:szCs w:val="28"/>
                <w:lang w:val="vi-VN"/>
              </w:rPr>
              <w:t>2: Thi công lắp dựng 04 đường dây 220kV Thốt Nốt – Rạch Giá, NMĐ Cà Mau – Sóc Trăng, Rạch Giá – Ô Môn, NMĐ Cà Mau – Rạch Giá</w:t>
            </w:r>
          </w:p>
        </w:tc>
        <w:tc>
          <w:tcPr>
            <w:tcW w:w="1701" w:type="dxa"/>
            <w:vAlign w:val="center"/>
          </w:tcPr>
          <w:p w:rsidR="00B16D21" w:rsidRPr="00B16D21" w:rsidRDefault="00B16D21" w:rsidP="00493DF5">
            <w:pPr>
              <w:widowControl w:val="0"/>
              <w:tabs>
                <w:tab w:val="left" w:pos="1418"/>
              </w:tabs>
              <w:spacing w:before="120" w:after="120" w:line="264" w:lineRule="auto"/>
              <w:jc w:val="center"/>
              <w:rPr>
                <w:rFonts w:ascii="Times New Roman" w:hAnsi="Times New Roman" w:cs="Times New Roman"/>
                <w:sz w:val="28"/>
                <w:szCs w:val="28"/>
                <w:lang w:val="en-GB"/>
              </w:rPr>
            </w:pPr>
            <w:r w:rsidRPr="00B16D21">
              <w:rPr>
                <w:rFonts w:ascii="Times New Roman" w:hAnsi="Times New Roman" w:cs="Times New Roman"/>
                <w:sz w:val="28"/>
                <w:szCs w:val="28"/>
                <w:lang w:val="en-GB"/>
              </w:rPr>
              <w:t>Kể từ ngày khởi công công trình</w:t>
            </w:r>
          </w:p>
        </w:tc>
        <w:tc>
          <w:tcPr>
            <w:tcW w:w="2079" w:type="dxa"/>
            <w:vAlign w:val="center"/>
          </w:tcPr>
          <w:p w:rsidR="00B16D21" w:rsidRPr="00B16D21" w:rsidRDefault="00B16D21" w:rsidP="00493DF5">
            <w:pPr>
              <w:widowControl w:val="0"/>
              <w:tabs>
                <w:tab w:val="left" w:pos="1418"/>
              </w:tabs>
              <w:spacing w:before="120" w:after="120" w:line="264" w:lineRule="auto"/>
              <w:jc w:val="center"/>
              <w:rPr>
                <w:rFonts w:ascii="Times New Roman" w:hAnsi="Times New Roman" w:cs="Times New Roman"/>
                <w:sz w:val="28"/>
                <w:szCs w:val="28"/>
                <w:lang w:val="en-GB"/>
              </w:rPr>
            </w:pPr>
            <w:r w:rsidRPr="00B16D21">
              <w:rPr>
                <w:rFonts w:ascii="Times New Roman" w:hAnsi="Times New Roman" w:cs="Times New Roman"/>
                <w:sz w:val="28"/>
                <w:szCs w:val="28"/>
              </w:rPr>
              <w:t>60</w:t>
            </w:r>
            <w:r w:rsidRPr="00B16D21">
              <w:rPr>
                <w:rFonts w:ascii="Times New Roman" w:hAnsi="Times New Roman" w:cs="Times New Roman"/>
                <w:sz w:val="28"/>
                <w:szCs w:val="28"/>
                <w:lang w:val="vi-VN"/>
              </w:rPr>
              <w:t xml:space="preserve"> ngày kể từ ngày hợp đồng có hiệu lực</w:t>
            </w:r>
          </w:p>
        </w:tc>
      </w:tr>
    </w:tbl>
    <w:p w:rsidR="00B16D21" w:rsidRPr="00B16D21" w:rsidRDefault="00B16D21" w:rsidP="00B16D21">
      <w:pPr>
        <w:widowControl w:val="0"/>
        <w:tabs>
          <w:tab w:val="left" w:pos="700"/>
          <w:tab w:val="left" w:pos="1418"/>
        </w:tabs>
        <w:spacing w:before="120" w:after="120" w:line="264" w:lineRule="auto"/>
        <w:ind w:firstLine="709"/>
        <w:rPr>
          <w:rFonts w:ascii="Times New Roman" w:hAnsi="Times New Roman" w:cs="Times New Roman"/>
          <w:b/>
          <w:bCs/>
          <w:sz w:val="28"/>
          <w:szCs w:val="28"/>
        </w:rPr>
      </w:pPr>
      <w:r w:rsidRPr="00B16D21">
        <w:rPr>
          <w:rFonts w:ascii="Times New Roman" w:hAnsi="Times New Roman" w:cs="Times New Roman"/>
          <w:b/>
          <w:bCs/>
          <w:sz w:val="28"/>
          <w:szCs w:val="28"/>
        </w:rPr>
        <w:t xml:space="preserve">III. Yêu cầu về kỹ thuật/chỉ dẫn kỹ thuật: </w:t>
      </w:r>
      <w:r w:rsidRPr="00B16D21">
        <w:rPr>
          <w:rFonts w:ascii="Times New Roman" w:hAnsi="Times New Roman" w:cs="Times New Roman"/>
          <w:sz w:val="28"/>
          <w:szCs w:val="28"/>
          <w:lang w:val="vi-VN"/>
        </w:rPr>
        <w:t>Tham chiếu Tập 2 – Hồ sơ kỹ thuật</w:t>
      </w:r>
      <w:r w:rsidRPr="00B16D21">
        <w:rPr>
          <w:rFonts w:ascii="Times New Roman" w:hAnsi="Times New Roman" w:cs="Times New Roman"/>
          <w:sz w:val="28"/>
          <w:szCs w:val="28"/>
        </w:rPr>
        <w:t>.</w:t>
      </w:r>
    </w:p>
    <w:p w:rsidR="00B16D21" w:rsidRPr="00B16D21" w:rsidRDefault="00B16D21" w:rsidP="00B16D21">
      <w:pPr>
        <w:widowControl w:val="0"/>
        <w:tabs>
          <w:tab w:val="left" w:pos="1418"/>
        </w:tabs>
        <w:spacing w:before="120" w:after="120" w:line="264" w:lineRule="auto"/>
        <w:ind w:firstLine="709"/>
        <w:rPr>
          <w:rFonts w:ascii="Times New Roman" w:hAnsi="Times New Roman" w:cs="Times New Roman"/>
          <w:b/>
          <w:color w:val="EE0000"/>
          <w:sz w:val="28"/>
          <w:szCs w:val="28"/>
        </w:rPr>
      </w:pPr>
      <w:r w:rsidRPr="00B16D21">
        <w:rPr>
          <w:rFonts w:ascii="Times New Roman" w:hAnsi="Times New Roman" w:cs="Times New Roman"/>
          <w:b/>
          <w:sz w:val="28"/>
          <w:szCs w:val="28"/>
          <w:lang w:val="vi-VN"/>
        </w:rPr>
        <w:t>IV. Các bản vẽ</w:t>
      </w:r>
      <w:r w:rsidRPr="00B16D21">
        <w:rPr>
          <w:rFonts w:ascii="Times New Roman" w:hAnsi="Times New Roman" w:cs="Times New Roman"/>
          <w:b/>
          <w:sz w:val="28"/>
          <w:szCs w:val="28"/>
        </w:rPr>
        <w:t xml:space="preserve">: </w:t>
      </w:r>
      <w:r w:rsidRPr="00B16D21">
        <w:rPr>
          <w:rFonts w:ascii="Times New Roman" w:hAnsi="Times New Roman" w:cs="Times New Roman"/>
          <w:sz w:val="28"/>
          <w:szCs w:val="28"/>
          <w:lang w:val="vi-VN"/>
        </w:rPr>
        <w:t xml:space="preserve">Tham chiếu Tập </w:t>
      </w:r>
      <w:r w:rsidRPr="00B16D21">
        <w:rPr>
          <w:rFonts w:ascii="Times New Roman" w:hAnsi="Times New Roman" w:cs="Times New Roman"/>
          <w:sz w:val="28"/>
          <w:szCs w:val="28"/>
        </w:rPr>
        <w:t>3</w:t>
      </w:r>
      <w:r w:rsidRPr="00B16D21">
        <w:rPr>
          <w:rFonts w:ascii="Times New Roman" w:hAnsi="Times New Roman" w:cs="Times New Roman"/>
          <w:sz w:val="28"/>
          <w:szCs w:val="28"/>
          <w:lang w:val="vi-VN"/>
        </w:rPr>
        <w:t xml:space="preserve"> – </w:t>
      </w:r>
      <w:r w:rsidRPr="00B16D21">
        <w:rPr>
          <w:rFonts w:ascii="Times New Roman" w:hAnsi="Times New Roman" w:cs="Times New Roman"/>
          <w:sz w:val="28"/>
          <w:szCs w:val="28"/>
        </w:rPr>
        <w:t>Tập bản vẽ.</w:t>
      </w:r>
    </w:p>
    <w:p w:rsidR="00B16D21" w:rsidRPr="00B16D21" w:rsidRDefault="00B16D21" w:rsidP="00B16D21">
      <w:pPr>
        <w:widowControl w:val="0"/>
        <w:tabs>
          <w:tab w:val="left" w:pos="1418"/>
          <w:tab w:val="left" w:pos="2127"/>
        </w:tabs>
        <w:spacing w:before="120" w:after="120" w:line="264" w:lineRule="auto"/>
        <w:ind w:firstLine="567"/>
        <w:rPr>
          <w:rFonts w:ascii="Times New Roman" w:hAnsi="Times New Roman" w:cs="Times New Roman"/>
          <w:i/>
          <w:sz w:val="28"/>
          <w:szCs w:val="28"/>
        </w:rPr>
        <w:sectPr w:rsidR="00B16D21" w:rsidRPr="00B16D21" w:rsidSect="00B16D21">
          <w:footnotePr>
            <w:numRestart w:val="eachPage"/>
          </w:footnotePr>
          <w:pgSz w:w="11907" w:h="16839" w:code="9"/>
          <w:pgMar w:top="1134" w:right="1134" w:bottom="1134" w:left="1530" w:header="720" w:footer="403" w:gutter="0"/>
          <w:cols w:space="720"/>
          <w:docGrid w:linePitch="360"/>
        </w:sectPr>
      </w:pPr>
    </w:p>
    <w:tbl>
      <w:tblPr>
        <w:tblW w:w="14280" w:type="dxa"/>
        <w:jc w:val="center"/>
        <w:tblInd w:w="120" w:type="dxa"/>
        <w:tblLook w:val="04A0" w:firstRow="1" w:lastRow="0" w:firstColumn="1" w:lastColumn="0" w:noHBand="0" w:noVBand="1"/>
      </w:tblPr>
      <w:tblGrid>
        <w:gridCol w:w="14280"/>
      </w:tblGrid>
      <w:tr w:rsidR="00B16D21" w:rsidRPr="00B16D21" w:rsidTr="00B16D21">
        <w:trPr>
          <w:jc w:val="center"/>
        </w:trPr>
        <w:tc>
          <w:tcPr>
            <w:tcW w:w="14280" w:type="dxa"/>
            <w:vAlign w:val="center"/>
          </w:tcPr>
          <w:p w:rsidR="00B16D21" w:rsidRPr="00B16D21" w:rsidRDefault="00B16D21" w:rsidP="00493DF5">
            <w:pPr>
              <w:spacing w:before="40" w:after="40" w:line="380" w:lineRule="exact"/>
              <w:jc w:val="center"/>
              <w:rPr>
                <w:rFonts w:ascii="Times New Roman" w:hAnsi="Times New Roman" w:cs="Times New Roman"/>
                <w:i/>
                <w:iCs/>
                <w:sz w:val="28"/>
                <w:szCs w:val="28"/>
                <w:lang w:val="nl-NL"/>
              </w:rPr>
            </w:pPr>
            <w:r w:rsidRPr="00B16D21">
              <w:rPr>
                <w:rFonts w:ascii="Times New Roman" w:hAnsi="Times New Roman" w:cs="Times New Roman"/>
                <w:sz w:val="28"/>
                <w:szCs w:val="28"/>
                <w:lang w:val="nl-NL"/>
              </w:rPr>
              <w:lastRenderedPageBreak/>
              <w:br w:type="page"/>
            </w:r>
            <w:r w:rsidRPr="00B16D21">
              <w:rPr>
                <w:rFonts w:ascii="Times New Roman" w:hAnsi="Times New Roman" w:cs="Times New Roman"/>
                <w:b/>
                <w:bCs/>
                <w:sz w:val="28"/>
                <w:szCs w:val="28"/>
                <w:lang w:val="nl-NL"/>
              </w:rPr>
              <w:t xml:space="preserve">QUY ĐỊNH CHO BẢNG CHI TIẾT HẠNG MỤC XÂY LẮP </w:t>
            </w:r>
          </w:p>
        </w:tc>
      </w:tr>
      <w:tr w:rsidR="00B16D21" w:rsidRPr="00B16D21" w:rsidTr="00B16D21">
        <w:trPr>
          <w:jc w:val="center"/>
        </w:trPr>
        <w:tc>
          <w:tcPr>
            <w:tcW w:w="14280" w:type="dxa"/>
            <w:vAlign w:val="center"/>
          </w:tcPr>
          <w:p w:rsidR="00B16D21" w:rsidRPr="00B16D21" w:rsidRDefault="00B16D21" w:rsidP="00493DF5">
            <w:pPr>
              <w:tabs>
                <w:tab w:val="left" w:pos="580"/>
              </w:tabs>
              <w:spacing w:before="40" w:after="40" w:line="380" w:lineRule="exact"/>
              <w:rPr>
                <w:rFonts w:ascii="Times New Roman" w:hAnsi="Times New Roman" w:cs="Times New Roman"/>
                <w:b/>
                <w:i/>
                <w:iCs/>
                <w:sz w:val="28"/>
                <w:szCs w:val="28"/>
              </w:rPr>
            </w:pPr>
            <w:r w:rsidRPr="00B16D21">
              <w:rPr>
                <w:rFonts w:ascii="Times New Roman" w:hAnsi="Times New Roman" w:cs="Times New Roman"/>
                <w:b/>
                <w:sz w:val="28"/>
                <w:szCs w:val="28"/>
              </w:rPr>
              <w:t>Qui định chung: (phần vật tư do chủ đầu tư cung cấp)</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hanging="1472"/>
              <w:jc w:val="both"/>
              <w:rPr>
                <w:rFonts w:ascii="Times New Roman" w:hAnsi="Times New Roman" w:cs="Times New Roman"/>
                <w:sz w:val="28"/>
                <w:szCs w:val="28"/>
              </w:rPr>
            </w:pPr>
            <w:r w:rsidRPr="00B16D21">
              <w:rPr>
                <w:rFonts w:ascii="Times New Roman" w:hAnsi="Times New Roman" w:cs="Times New Roman"/>
                <w:sz w:val="28"/>
                <w:szCs w:val="28"/>
              </w:rPr>
              <w:t>Nhà thầu phải điền đầy đủ các đơn giá chào thầu. Trường hợp nhà thầu không điền giá, xem như nhà thầu hiến thầu.</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 xml:space="preserve">Giá dự thầu của nhà thầu phải bao gồm chi phí cho các loại thuế, phí, lệ phí (nếu có) và bảo hiểm xây dựng, bảo hiểm lắp đặt VTTB. Nhà thầu phải tính toán các chi phí nêu trên và phân bổ vào trong giá dự thầu. </w:t>
            </w:r>
            <w:r w:rsidRPr="00B16D21">
              <w:rPr>
                <w:rFonts w:ascii="Times New Roman" w:hAnsi="Times New Roman" w:cs="Times New Roman"/>
                <w:sz w:val="28"/>
                <w:szCs w:val="28"/>
                <w:lang w:val="nl-NL"/>
              </w:rPr>
              <w:t>Lưu ý: Thuế VAT là 10%.</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Nhà thầu phải điền đầy đủ các đơn giá dự thầu và thành tiền. Trường hợp tại cột “đơn giá dự thầu”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HSMT và không được Chủ đầu tư thanh toán trong quá trình thực hiện hợp đồng.</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Phần vật tư vận chuyển đến chân công trình và lắp đặt tại công trường - Trường hợp nhà thầu phát hiện tiên lượng chưa chính xác so với thiết kế (thừa/thiếu hoặc không có trong tiên lượng mời thầu), nhà thầu lập thành bảng riêng (có ghi giá) cho phần khối lượng sai khác này để chủ đầu tư xem xét khi thương thảo thương thảo, không cộng chung vào tổng giá trị dự thầu.</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Bảng tiên lượng mời thầu phải được đọc chung với hồ sơ bản vẽ mời thầu. Nếu trong quá trình kiểm tra tính toán có phát hiện sai biệt giữa khối lượng trong bản vẽ mời thầu và phần mục khối lượng mời thầu đề nghị nhà thầu bổ sung thêm mục:</w:t>
            </w:r>
          </w:p>
          <w:p w:rsidR="00B16D21" w:rsidRPr="00B16D21" w:rsidRDefault="00B16D21" w:rsidP="00493DF5">
            <w:pPr>
              <w:tabs>
                <w:tab w:val="left" w:pos="956"/>
              </w:tabs>
              <w:spacing w:before="40" w:after="40" w:line="380" w:lineRule="exact"/>
              <w:ind w:left="530" w:firstLine="426"/>
              <w:rPr>
                <w:rFonts w:ascii="Times New Roman" w:hAnsi="Times New Roman" w:cs="Times New Roman"/>
                <w:sz w:val="28"/>
                <w:szCs w:val="28"/>
              </w:rPr>
            </w:pPr>
            <w:r w:rsidRPr="00B16D21">
              <w:rPr>
                <w:rFonts w:ascii="Times New Roman" w:hAnsi="Times New Roman" w:cs="Times New Roman"/>
                <w:sz w:val="28"/>
                <w:szCs w:val="28"/>
              </w:rPr>
              <w:t>+</w:t>
            </w:r>
            <w:r w:rsidRPr="00B16D21">
              <w:rPr>
                <w:rFonts w:ascii="Times New Roman" w:hAnsi="Times New Roman" w:cs="Times New Roman"/>
                <w:sz w:val="28"/>
                <w:szCs w:val="28"/>
              </w:rPr>
              <w:tab/>
              <w:t>Khối lượng ngoài khối lượng mời thầu (không có trong tiên lượng mời thầu).</w:t>
            </w:r>
          </w:p>
          <w:p w:rsidR="00B16D21" w:rsidRPr="00B16D21" w:rsidRDefault="00B16D21" w:rsidP="00493DF5">
            <w:pPr>
              <w:tabs>
                <w:tab w:val="left" w:pos="956"/>
              </w:tabs>
              <w:spacing w:before="40" w:after="40" w:line="380" w:lineRule="exact"/>
              <w:ind w:left="530" w:firstLine="426"/>
              <w:rPr>
                <w:rFonts w:ascii="Times New Roman" w:hAnsi="Times New Roman" w:cs="Times New Roman"/>
                <w:sz w:val="28"/>
                <w:szCs w:val="28"/>
              </w:rPr>
            </w:pPr>
            <w:r w:rsidRPr="00B16D21">
              <w:rPr>
                <w:rFonts w:ascii="Times New Roman" w:hAnsi="Times New Roman" w:cs="Times New Roman"/>
                <w:sz w:val="28"/>
                <w:szCs w:val="28"/>
              </w:rPr>
              <w:t>+</w:t>
            </w:r>
            <w:r w:rsidRPr="00B16D21">
              <w:rPr>
                <w:rFonts w:ascii="Times New Roman" w:hAnsi="Times New Roman" w:cs="Times New Roman"/>
                <w:sz w:val="28"/>
                <w:szCs w:val="28"/>
              </w:rPr>
              <w:tab/>
              <w:t>Khối lượng cần hiệu chỉnh (khối lượng thừa hoặc thiếu so với khối lượng mời thầu).</w:t>
            </w:r>
          </w:p>
          <w:p w:rsidR="00B16D21" w:rsidRPr="00B16D21" w:rsidRDefault="00B16D21" w:rsidP="00493DF5">
            <w:pPr>
              <w:tabs>
                <w:tab w:val="left" w:pos="956"/>
              </w:tabs>
              <w:spacing w:before="40" w:after="40" w:line="380" w:lineRule="exact"/>
              <w:ind w:left="530" w:firstLine="426"/>
              <w:rPr>
                <w:rFonts w:ascii="Times New Roman" w:hAnsi="Times New Roman" w:cs="Times New Roman"/>
                <w:sz w:val="28"/>
                <w:szCs w:val="28"/>
              </w:rPr>
            </w:pPr>
            <w:r w:rsidRPr="00B16D21">
              <w:rPr>
                <w:rFonts w:ascii="Times New Roman" w:hAnsi="Times New Roman" w:cs="Times New Roman"/>
                <w:sz w:val="28"/>
                <w:szCs w:val="28"/>
              </w:rPr>
              <w:t>+</w:t>
            </w:r>
            <w:r w:rsidRPr="00B16D21">
              <w:rPr>
                <w:rFonts w:ascii="Times New Roman" w:hAnsi="Times New Roman" w:cs="Times New Roman"/>
                <w:sz w:val="28"/>
                <w:szCs w:val="28"/>
              </w:rPr>
              <w:tab/>
              <w:t>Các khối lượng trên được lập thành hạng mục riêng biệt và không cộng chung vào tổng giá trị dự thầu, được xem xét trong quá trình thương thảo hợp đồng.</w:t>
            </w:r>
          </w:p>
          <w:p w:rsidR="00B16D21" w:rsidRPr="00B16D21" w:rsidRDefault="00B16D21" w:rsidP="00493DF5">
            <w:pPr>
              <w:tabs>
                <w:tab w:val="left" w:pos="956"/>
              </w:tabs>
              <w:spacing w:before="40" w:after="40" w:line="380" w:lineRule="exact"/>
              <w:ind w:left="530" w:firstLine="426"/>
              <w:rPr>
                <w:rFonts w:ascii="Times New Roman" w:hAnsi="Times New Roman" w:cs="Times New Roman"/>
                <w:sz w:val="28"/>
                <w:szCs w:val="28"/>
              </w:rPr>
            </w:pPr>
            <w:r w:rsidRPr="00B16D21">
              <w:rPr>
                <w:rFonts w:ascii="Times New Roman" w:hAnsi="Times New Roman" w:cs="Times New Roman"/>
                <w:sz w:val="28"/>
                <w:szCs w:val="28"/>
              </w:rPr>
              <w:t>+</w:t>
            </w:r>
            <w:r w:rsidRPr="00B16D21">
              <w:rPr>
                <w:rFonts w:ascii="Times New Roman" w:hAnsi="Times New Roman" w:cs="Times New Roman"/>
                <w:sz w:val="28"/>
                <w:szCs w:val="28"/>
              </w:rPr>
              <w:tab/>
              <w:t>Khối lượng chi tiết nhà thầu xem trong bản vẽ thiết kế thi công Tập 3 của HSMT</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Nhà thầu tự kiểm tra và tính toán biện pháp thi công để chào giá cho toàn bộ công tác đền bù phục vụ thi công, Chi phí đất mượn tạm phục vụ thi công. Nhà thầu phải chịu mọi chi phí về đền bù do quá trình thi công gây ra.</w:t>
            </w:r>
          </w:p>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bCs/>
                <w:sz w:val="28"/>
                <w:szCs w:val="28"/>
              </w:rPr>
            </w:pPr>
            <w:r w:rsidRPr="00B16D21">
              <w:rPr>
                <w:rFonts w:ascii="Times New Roman" w:hAnsi="Times New Roman" w:cs="Times New Roman"/>
                <w:bCs/>
                <w:sz w:val="28"/>
                <w:szCs w:val="28"/>
              </w:rPr>
              <w:lastRenderedPageBreak/>
              <w:t>Nhà thầu tự tính toán chi phí phát quang hành lang tuyến phục vụ đóng điện và chào giá vào tổng giá dự thầu.</w:t>
            </w:r>
          </w:p>
        </w:tc>
      </w:tr>
      <w:tr w:rsidR="00B16D21" w:rsidRPr="00B16D21" w:rsidTr="00B16D21">
        <w:trPr>
          <w:jc w:val="center"/>
        </w:trPr>
        <w:tc>
          <w:tcPr>
            <w:tcW w:w="14280" w:type="dxa"/>
            <w:vAlign w:val="center"/>
          </w:tcPr>
          <w:p w:rsidR="00B16D21" w:rsidRPr="00B16D21" w:rsidRDefault="00B16D21" w:rsidP="00D9337F">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lastRenderedPageBreak/>
              <w:t>Về công tác liên quan đến lắp dựng trên cột thép hiện hữu, kéo dây (các giải pháp cho việc thi công, đường vận chuyển cột thép vào vị trí, lắp dựng xà vào cột hiện hữu, …). Nhà thầu tự tính toán, kiểm tra xem xét điều kiện thực tế tại hiện trường để đưa ra biện pháp cho phù hợp theo biện pháp thi công của mình và chào giá vào tổng giá dự thầu theo lô cho toàn bộ dự án.</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Trên cơ sở bản vẽ mời thầu và đi khảo sát hiện trường, nhà thầu đưa ra biện pháp tổ chức thi công và tính toán các loại chi phí sau đây để phân bổ vào giá dự thầu bao gồm : (i) chi phí phát quang, đền bù phục vụ biện pháp thi công; (ii) chi phí cảnh giới giao thông; (iii) chi phí di chuyển bộ máy thi công xây lắp; (iv) chi phí kho bãi để tiếp nhận VTTB A cấp và B cấp; (v) chi phí lán trại phục vụ thi công; (vi) chi phí xin giấy phép thi công xây dựng; (vii) chi phí điện nước phục vụ thi công xây dựng …</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Chi phí đóng cắt điện để thi công, đấu nối nhà thầu tính toán để phân bổ vào giá dự thầu.</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Các công tác phần xây dựng được hiểu bao gồm cả phần gia công và lắp đặt hoàn chỉnh</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Nhà thầu chịu trách nhiệm thỏa thuận và bồi thường những thiệt hại do ảnh hưởng trong quá trình thi công của Nhà thầu. Nhà thầu tự tính toán chi phí này để đưa vào giá trị dự thầu xây dựng công trình.</w:t>
            </w:r>
          </w:p>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Phần hạng mục đấu nối hoàn thiện (đối với đường dây, các nhánh rẽ, ngăn lộ) nhà thầu phải dự trù vật tư và chi phí để phục vụ cho việc đấu nối tạm thời trong quá trình thi công hoàn thiện theo kế hoạch cắt, trả điện (nếu có).</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Nhà thầu phải có giấy xác nhận của đơn vị có chức năng quản lý vận hành lưới điện cao áp phù hợp để kiểm tra và xác nhận lực xiết bu lông trụ thép đảm bảo yêu cầu kỹ thuật trước khi kéo dây. Chi phí cho công tác này được phân bổ vào giá dự thầu công tác lắp dựng trụ.</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Nhà thầu chịu trách nhiệm thỏa thuận với người dân địa phương về chi phí để mượn diện tích đất tạm phục vụ thi công đổ đất đào hố móng (nhà thầu phải hoàn trả lại nguyên trạng mặt bằng sau khi thi công móng trụ). Nhà thầu tự tính toán chi phí này để phân bổ vào giá dự thầu xây dựng móng trụ.</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Nhà thầu tính toán chi phí thông cáp quang phục vụ đóng điện công trình để phân bổ vào giá dự thầu.</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bCs/>
                <w:sz w:val="28"/>
                <w:szCs w:val="28"/>
              </w:rPr>
            </w:pPr>
            <w:r w:rsidRPr="00B16D21">
              <w:rPr>
                <w:rFonts w:ascii="Times New Roman" w:hAnsi="Times New Roman" w:cs="Times New Roman"/>
                <w:bCs/>
                <w:sz w:val="28"/>
                <w:szCs w:val="28"/>
              </w:rPr>
              <w:lastRenderedPageBreak/>
              <w:t>Nhà thầu tính toán chi phí lập thủ tục, chi phí cảnh giới kéo dây vượt đường, lắp dựng dàn giáo phục vụ kéo dây giao chéo với đường giao thông, đường dây điện lực, thông tin … để phân bổ vào giá dự thầu.</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Đối với các vị trí vượt sông có lắp đặt biển báo, nhà thầu chịu trách nhiệm liên hệ với Địa phương và Cơ quan quản lý đường sông để thỏa thuận vị trí lắp đặt biển báo và thoả thuận phương án thi công vượt sông, cảnh giới trong quá trình thi công. Nhà thầu tự tính toán chi phí này để phân bổ vào giá dự thầu của gói thầu.</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Nhà thầu phải tính toán và phân bổ vào giá dự thầu khối lượng phá dỡ và tái lập các công trình hạ tầng kiến trúc bị ảnh hưởng trong quá trình thi công.</w:t>
            </w:r>
          </w:p>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Nhà thầu phải tính toán chi phí kiểm tra thử nghiệm cáp quang và phân bổ vào giá dự thầu.</w:t>
            </w:r>
          </w:p>
        </w:tc>
      </w:tr>
      <w:tr w:rsidR="00B16D21" w:rsidRPr="00B16D21" w:rsidTr="00B16D21">
        <w:trPr>
          <w:jc w:val="center"/>
        </w:trPr>
        <w:tc>
          <w:tcPr>
            <w:tcW w:w="14280" w:type="dxa"/>
            <w:vAlign w:val="center"/>
          </w:tcPr>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 xml:space="preserve">Nhà thầu phải tính toán chi phí thực hiện các công tác quản lý môi trường trong quá trình thi công công trình theo yêu cầu của Báo cáo tác động môi trường (ĐTM) được duyệt. Chi phí này được nhà thầu phân bổ vào giá dự thầu của gói thầu. </w:t>
            </w:r>
          </w:p>
          <w:p w:rsidR="00B16D21" w:rsidRPr="00B16D21" w:rsidRDefault="00B16D21" w:rsidP="00B16D21">
            <w:pPr>
              <w:numPr>
                <w:ilvl w:val="0"/>
                <w:numId w:val="6"/>
              </w:numPr>
              <w:tabs>
                <w:tab w:val="left" w:pos="530"/>
              </w:tabs>
              <w:spacing w:before="40" w:after="40" w:line="380" w:lineRule="exact"/>
              <w:ind w:left="530" w:hanging="530"/>
              <w:jc w:val="both"/>
              <w:rPr>
                <w:rFonts w:ascii="Times New Roman" w:hAnsi="Times New Roman" w:cs="Times New Roman"/>
                <w:sz w:val="28"/>
                <w:szCs w:val="28"/>
              </w:rPr>
            </w:pPr>
            <w:r w:rsidRPr="00B16D21">
              <w:rPr>
                <w:rFonts w:ascii="Times New Roman" w:hAnsi="Times New Roman" w:cs="Times New Roman"/>
                <w:sz w:val="28"/>
                <w:szCs w:val="28"/>
              </w:rPr>
              <w:t>Đối với các công trình có VTTB thu hồi trên lưới điện hiện hữu, trước khi tháo gỡ VTTB thu hồi, nhà thầu phải mời đơn vị quản lý vận hành và giám sát A để lập Biên bản xác nhận tình trạng VTTB thu hồi. Sau khi tháo gỡ, nhà thầu phải mời đơn vị quản lý vận hành và giám sát A lập biên bản xác nhận thực tế tình trạng và khối lượng VTTB thu hồi, trong đó xác định rõ sự sai biệt của VTTB thu hồi giữa thiết kế và thực tế. Nhà thầu phải bảo quản VTTB thu hồi và vận chuyển ngay   để hoàn trả cho đơn vị quản lý vận hành. Nhà thầu tự tính toán chi phí bảo quản và vận chuyển VTTB thu hồi để phân bổ vào giá dự thầu của gói thầu. Trường hợp nhà thầu làm thất thoát VTTB thu hồi thì nhà thầu phải bồi thường theo giá trị VTTB hoàn toàn mới tại thời điểm thất thoát.</w:t>
            </w:r>
          </w:p>
          <w:p w:rsidR="00B16D21" w:rsidRPr="00B16D21" w:rsidRDefault="00B16D21" w:rsidP="00C619CE">
            <w:pPr>
              <w:numPr>
                <w:ilvl w:val="0"/>
                <w:numId w:val="6"/>
              </w:numPr>
              <w:tabs>
                <w:tab w:val="left" w:pos="530"/>
              </w:tabs>
              <w:spacing w:before="40" w:after="40" w:line="380" w:lineRule="exact"/>
              <w:ind w:left="530" w:hanging="530"/>
              <w:jc w:val="both"/>
              <w:rPr>
                <w:rFonts w:ascii="Times New Roman" w:hAnsi="Times New Roman" w:cs="Times New Roman"/>
                <w:sz w:val="28"/>
                <w:szCs w:val="28"/>
                <w:lang w:val="nl-NL"/>
              </w:rPr>
            </w:pPr>
            <w:r w:rsidRPr="00B16D21">
              <w:rPr>
                <w:rFonts w:ascii="Times New Roman" w:hAnsi="Times New Roman" w:cs="Times New Roman"/>
                <w:sz w:val="28"/>
                <w:szCs w:val="28"/>
              </w:rPr>
              <w:t xml:space="preserve">Nhà thầu phải thực hiện công việc đo điện trở nối đất của từng vị trí móng trụ điện. Kết quả đo được ghi vào biểu đã thỏa thuận và trình cho </w:t>
            </w:r>
            <w:r w:rsidRPr="00B16D21">
              <w:rPr>
                <w:rFonts w:ascii="Times New Roman" w:hAnsi="Times New Roman" w:cs="Times New Roman"/>
                <w:sz w:val="28"/>
                <w:szCs w:val="28"/>
                <w:lang w:val="es-ES_tradnl"/>
              </w:rPr>
              <w:t>Chủ đầu tư</w:t>
            </w:r>
            <w:r w:rsidRPr="00B16D21">
              <w:rPr>
                <w:rFonts w:ascii="Times New Roman" w:hAnsi="Times New Roman" w:cs="Times New Roman"/>
                <w:sz w:val="28"/>
                <w:szCs w:val="28"/>
              </w:rPr>
              <w:t>. Công việc đo điện trở nối đất móng trụ có thể được thực hiện nhiều lần do giá trị đo điện trở nối đất móng trụ không đạt yêu cầu và phải thực hiện các giải pháp tiếp đất bổ sung. Chi phí công việc đo điện trở nối đất nhà thầu tự tính toán đưa vào giá trị dự thầu.</w:t>
            </w:r>
            <w:bookmarkStart w:id="1" w:name="_GoBack"/>
            <w:bookmarkEnd w:id="1"/>
          </w:p>
        </w:tc>
      </w:tr>
    </w:tbl>
    <w:p w:rsidR="00A250B9" w:rsidRPr="00B16D21" w:rsidRDefault="00A250B9">
      <w:pPr>
        <w:rPr>
          <w:rFonts w:ascii="Times New Roman" w:hAnsi="Times New Roman" w:cs="Times New Roman"/>
          <w:sz w:val="28"/>
          <w:szCs w:val="28"/>
        </w:rPr>
      </w:pPr>
    </w:p>
    <w:sectPr w:rsidR="00A250B9" w:rsidRPr="00B16D21" w:rsidSect="00B16D21">
      <w:pgSz w:w="15840" w:h="12240" w:orient="landscape"/>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65"/>
    <w:multiLevelType w:val="hybridMultilevel"/>
    <w:tmpl w:val="7E02AA32"/>
    <w:lvl w:ilvl="0" w:tplc="04090001">
      <w:start w:val="1"/>
      <w:numFmt w:val="bullet"/>
      <w:lvlText w:val=""/>
      <w:lvlJc w:val="left"/>
      <w:pPr>
        <w:ind w:left="2166" w:hanging="360"/>
      </w:pPr>
      <w:rPr>
        <w:rFonts w:ascii="Symbol" w:hAnsi="Symbol" w:hint="default"/>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1">
    <w:nsid w:val="208F4E86"/>
    <w:multiLevelType w:val="multilevel"/>
    <w:tmpl w:val="52561AB4"/>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pStyle w:val="Bodytextlist2"/>
      <w:lvlText w:val=""/>
      <w:lvlJc w:val="left"/>
      <w:pPr>
        <w:tabs>
          <w:tab w:val="num" w:pos="1418"/>
        </w:tabs>
        <w:ind w:left="1418" w:hanging="284"/>
      </w:pPr>
      <w:rPr>
        <w:rFonts w:ascii="Symbol" w:hAnsi="Symbol" w:hint="default"/>
        <w:color w:val="auto"/>
      </w:rPr>
    </w:lvl>
    <w:lvl w:ilvl="2">
      <w:start w:val="1"/>
      <w:numFmt w:val="bullet"/>
      <w:pStyle w:val="Bodytextlist3"/>
      <w:lvlText w:val="●"/>
      <w:lvlJc w:val="left"/>
      <w:pPr>
        <w:tabs>
          <w:tab w:val="num" w:pos="1701"/>
        </w:tabs>
        <w:ind w:left="1701" w:hanging="283"/>
      </w:pPr>
      <w:rPr>
        <w:rFonts w:ascii="Times New Roman" w:hAnsi="Times New Roman" w:cs="Times New Roman" w:hint="default"/>
      </w:rPr>
    </w:lvl>
    <w:lvl w:ilvl="3">
      <w:start w:val="1"/>
      <w:numFmt w:val="bullet"/>
      <w:pStyle w:val="Bodytextlist4"/>
      <w:lvlText w:val="o"/>
      <w:lvlJc w:val="left"/>
      <w:pPr>
        <w:tabs>
          <w:tab w:val="num" w:pos="1985"/>
        </w:tabs>
        <w:ind w:left="1985" w:hanging="284"/>
      </w:pPr>
      <w:rPr>
        <w:rFonts w:ascii="Courier New" w:hAnsi="Courier New"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
    <w:nsid w:val="22B22F1A"/>
    <w:multiLevelType w:val="hybridMultilevel"/>
    <w:tmpl w:val="7820FD96"/>
    <w:lvl w:ilvl="0" w:tplc="9DBE22BE">
      <w:start w:val="1"/>
      <w:numFmt w:val="bullet"/>
      <w:pStyle w:val="Style"/>
      <w:lvlText w:val=""/>
      <w:lvlJc w:val="left"/>
      <w:pPr>
        <w:ind w:left="1854" w:hanging="360"/>
      </w:pPr>
      <w:rPr>
        <w:rFonts w:ascii="Symbol" w:hAnsi="Symbol" w:hint="default"/>
      </w:rPr>
    </w:lvl>
    <w:lvl w:ilvl="1" w:tplc="042A0003" w:tentative="1">
      <w:start w:val="1"/>
      <w:numFmt w:val="bullet"/>
      <w:lvlText w:val="o"/>
      <w:lvlJc w:val="left"/>
      <w:pPr>
        <w:ind w:left="2574" w:hanging="360"/>
      </w:pPr>
      <w:rPr>
        <w:rFonts w:ascii="Courier New" w:hAnsi="Courier New" w:cs="Courier New" w:hint="default"/>
      </w:rPr>
    </w:lvl>
    <w:lvl w:ilvl="2" w:tplc="042A0005" w:tentative="1">
      <w:start w:val="1"/>
      <w:numFmt w:val="bullet"/>
      <w:lvlText w:val=""/>
      <w:lvlJc w:val="left"/>
      <w:pPr>
        <w:ind w:left="3294" w:hanging="360"/>
      </w:pPr>
      <w:rPr>
        <w:rFonts w:ascii="Wingdings" w:hAnsi="Wingdings" w:hint="default"/>
      </w:rPr>
    </w:lvl>
    <w:lvl w:ilvl="3" w:tplc="042A0001" w:tentative="1">
      <w:start w:val="1"/>
      <w:numFmt w:val="bullet"/>
      <w:lvlText w:val=""/>
      <w:lvlJc w:val="left"/>
      <w:pPr>
        <w:ind w:left="4014" w:hanging="360"/>
      </w:pPr>
      <w:rPr>
        <w:rFonts w:ascii="Symbol" w:hAnsi="Symbol" w:hint="default"/>
      </w:rPr>
    </w:lvl>
    <w:lvl w:ilvl="4" w:tplc="042A0003" w:tentative="1">
      <w:start w:val="1"/>
      <w:numFmt w:val="bullet"/>
      <w:lvlText w:val="o"/>
      <w:lvlJc w:val="left"/>
      <w:pPr>
        <w:ind w:left="4734" w:hanging="360"/>
      </w:pPr>
      <w:rPr>
        <w:rFonts w:ascii="Courier New" w:hAnsi="Courier New" w:cs="Courier New" w:hint="default"/>
      </w:rPr>
    </w:lvl>
    <w:lvl w:ilvl="5" w:tplc="042A0005" w:tentative="1">
      <w:start w:val="1"/>
      <w:numFmt w:val="bullet"/>
      <w:lvlText w:val=""/>
      <w:lvlJc w:val="left"/>
      <w:pPr>
        <w:ind w:left="5454" w:hanging="360"/>
      </w:pPr>
      <w:rPr>
        <w:rFonts w:ascii="Wingdings" w:hAnsi="Wingdings" w:hint="default"/>
      </w:rPr>
    </w:lvl>
    <w:lvl w:ilvl="6" w:tplc="042A0001" w:tentative="1">
      <w:start w:val="1"/>
      <w:numFmt w:val="bullet"/>
      <w:lvlText w:val=""/>
      <w:lvlJc w:val="left"/>
      <w:pPr>
        <w:ind w:left="6174" w:hanging="360"/>
      </w:pPr>
      <w:rPr>
        <w:rFonts w:ascii="Symbol" w:hAnsi="Symbol" w:hint="default"/>
      </w:rPr>
    </w:lvl>
    <w:lvl w:ilvl="7" w:tplc="042A0003" w:tentative="1">
      <w:start w:val="1"/>
      <w:numFmt w:val="bullet"/>
      <w:lvlText w:val="o"/>
      <w:lvlJc w:val="left"/>
      <w:pPr>
        <w:ind w:left="6894" w:hanging="360"/>
      </w:pPr>
      <w:rPr>
        <w:rFonts w:ascii="Courier New" w:hAnsi="Courier New" w:cs="Courier New" w:hint="default"/>
      </w:rPr>
    </w:lvl>
    <w:lvl w:ilvl="8" w:tplc="042A0005" w:tentative="1">
      <w:start w:val="1"/>
      <w:numFmt w:val="bullet"/>
      <w:lvlText w:val=""/>
      <w:lvlJc w:val="left"/>
      <w:pPr>
        <w:ind w:left="7614" w:hanging="360"/>
      </w:pPr>
      <w:rPr>
        <w:rFonts w:ascii="Wingdings" w:hAnsi="Wingdings" w:hint="default"/>
      </w:rPr>
    </w:lvl>
  </w:abstractNum>
  <w:abstractNum w:abstractNumId="3">
    <w:nsid w:val="268B5A40"/>
    <w:multiLevelType w:val="hybridMultilevel"/>
    <w:tmpl w:val="25F23B6E"/>
    <w:lvl w:ilvl="0" w:tplc="4C06F004">
      <w:numFmt w:val="bullet"/>
      <w:lvlText w:val="-"/>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960EDF"/>
    <w:multiLevelType w:val="multilevel"/>
    <w:tmpl w:val="6088AF54"/>
    <w:lvl w:ilvl="0">
      <w:start w:val="1"/>
      <w:numFmt w:val="decimal"/>
      <w:lvlText w:val="%1."/>
      <w:lvlJc w:val="left"/>
      <w:pPr>
        <w:ind w:left="1494" w:hanging="360"/>
      </w:pPr>
      <w:rPr>
        <w:b w:val="0"/>
        <w:i w:val="0"/>
        <w:sz w:val="28"/>
        <w:szCs w:val="28"/>
      </w:rPr>
    </w:lvl>
    <w:lvl w:ilvl="1">
      <w:start w:val="1"/>
      <w:numFmt w:val="decimal"/>
      <w:isLgl/>
      <w:lvlText w:val="%1.%2"/>
      <w:lvlJc w:val="left"/>
      <w:pPr>
        <w:ind w:left="1599" w:hanging="4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2934" w:hanging="1800"/>
      </w:pPr>
      <w:rPr>
        <w:rFonts w:hint="default"/>
      </w:rPr>
    </w:lvl>
  </w:abstractNum>
  <w:abstractNum w:abstractNumId="5">
    <w:nsid w:val="67377F59"/>
    <w:multiLevelType w:val="hybridMultilevel"/>
    <w:tmpl w:val="6292FD30"/>
    <w:lvl w:ilvl="0" w:tplc="4A3EC336">
      <w:start w:val="1"/>
      <w:numFmt w:val="bullet"/>
      <w:lvlText w:val="-"/>
      <w:lvlJc w:val="left"/>
      <w:pPr>
        <w:ind w:left="1065" w:hanging="360"/>
      </w:pPr>
      <w:rPr>
        <w:rFonts w:ascii="Times New Roman" w:eastAsia="MS Mincho" w:hAnsi="Times New Roman" w:cs="Times New Roman" w:hint="default"/>
      </w:rPr>
    </w:lvl>
    <w:lvl w:ilvl="1" w:tplc="042A0003" w:tentative="1">
      <w:start w:val="1"/>
      <w:numFmt w:val="bullet"/>
      <w:lvlText w:val="o"/>
      <w:lvlJc w:val="left"/>
      <w:pPr>
        <w:ind w:left="1785" w:hanging="360"/>
      </w:pPr>
      <w:rPr>
        <w:rFonts w:ascii="Courier New" w:hAnsi="Courier New" w:cs="Courier New" w:hint="default"/>
      </w:rPr>
    </w:lvl>
    <w:lvl w:ilvl="2" w:tplc="042A0005" w:tentative="1">
      <w:start w:val="1"/>
      <w:numFmt w:val="bullet"/>
      <w:lvlText w:val=""/>
      <w:lvlJc w:val="left"/>
      <w:pPr>
        <w:ind w:left="2505" w:hanging="360"/>
      </w:pPr>
      <w:rPr>
        <w:rFonts w:ascii="Wingdings" w:hAnsi="Wingdings" w:hint="default"/>
      </w:rPr>
    </w:lvl>
    <w:lvl w:ilvl="3" w:tplc="042A0001" w:tentative="1">
      <w:start w:val="1"/>
      <w:numFmt w:val="bullet"/>
      <w:lvlText w:val=""/>
      <w:lvlJc w:val="left"/>
      <w:pPr>
        <w:ind w:left="3225" w:hanging="360"/>
      </w:pPr>
      <w:rPr>
        <w:rFonts w:ascii="Symbol" w:hAnsi="Symbol" w:hint="default"/>
      </w:rPr>
    </w:lvl>
    <w:lvl w:ilvl="4" w:tplc="042A0003" w:tentative="1">
      <w:start w:val="1"/>
      <w:numFmt w:val="bullet"/>
      <w:lvlText w:val="o"/>
      <w:lvlJc w:val="left"/>
      <w:pPr>
        <w:ind w:left="3945" w:hanging="360"/>
      </w:pPr>
      <w:rPr>
        <w:rFonts w:ascii="Courier New" w:hAnsi="Courier New" w:cs="Courier New" w:hint="default"/>
      </w:rPr>
    </w:lvl>
    <w:lvl w:ilvl="5" w:tplc="042A0005" w:tentative="1">
      <w:start w:val="1"/>
      <w:numFmt w:val="bullet"/>
      <w:lvlText w:val=""/>
      <w:lvlJc w:val="left"/>
      <w:pPr>
        <w:ind w:left="4665" w:hanging="360"/>
      </w:pPr>
      <w:rPr>
        <w:rFonts w:ascii="Wingdings" w:hAnsi="Wingdings" w:hint="default"/>
      </w:rPr>
    </w:lvl>
    <w:lvl w:ilvl="6" w:tplc="042A0001" w:tentative="1">
      <w:start w:val="1"/>
      <w:numFmt w:val="bullet"/>
      <w:lvlText w:val=""/>
      <w:lvlJc w:val="left"/>
      <w:pPr>
        <w:ind w:left="5385" w:hanging="360"/>
      </w:pPr>
      <w:rPr>
        <w:rFonts w:ascii="Symbol" w:hAnsi="Symbol" w:hint="default"/>
      </w:rPr>
    </w:lvl>
    <w:lvl w:ilvl="7" w:tplc="042A0003" w:tentative="1">
      <w:start w:val="1"/>
      <w:numFmt w:val="bullet"/>
      <w:lvlText w:val="o"/>
      <w:lvlJc w:val="left"/>
      <w:pPr>
        <w:ind w:left="6105" w:hanging="360"/>
      </w:pPr>
      <w:rPr>
        <w:rFonts w:ascii="Courier New" w:hAnsi="Courier New" w:cs="Courier New" w:hint="default"/>
      </w:rPr>
    </w:lvl>
    <w:lvl w:ilvl="8" w:tplc="042A0005" w:tentative="1">
      <w:start w:val="1"/>
      <w:numFmt w:val="bullet"/>
      <w:lvlText w:val=""/>
      <w:lvlJc w:val="left"/>
      <w:pPr>
        <w:ind w:left="6825"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21"/>
    <w:rsid w:val="00520E34"/>
    <w:rsid w:val="00A250B9"/>
    <w:rsid w:val="00B16D21"/>
    <w:rsid w:val="00C619CE"/>
    <w:rsid w:val="00D9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B16D2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B16D21"/>
    <w:rPr>
      <w:rFonts w:ascii="Times New Roman" w:eastAsia="Times New Roman" w:hAnsi="Times New Roman" w:cs="Times New Roman"/>
      <w:sz w:val="20"/>
      <w:szCs w:val="20"/>
    </w:rPr>
  </w:style>
  <w:style w:type="paragraph" w:customStyle="1" w:styleId="Style11">
    <w:name w:val="Style 11"/>
    <w:basedOn w:val="Normal"/>
    <w:rsid w:val="00B16D21"/>
    <w:pPr>
      <w:widowControl w:val="0"/>
      <w:autoSpaceDE w:val="0"/>
      <w:autoSpaceDN w:val="0"/>
      <w:spacing w:after="0" w:line="384" w:lineRule="atLeast"/>
    </w:pPr>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B16D21"/>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6D21"/>
    <w:rPr>
      <w:rFonts w:ascii="Times New Roman" w:eastAsia="Times New Roman" w:hAnsi="Times New Roman" w:cs="Times New Roman"/>
      <w:sz w:val="24"/>
      <w:szCs w:val="20"/>
    </w:rPr>
  </w:style>
  <w:style w:type="paragraph" w:customStyle="1" w:styleId="Bodytextlist2">
    <w:name w:val="Body text list 2"/>
    <w:basedOn w:val="ListContinue3"/>
    <w:autoRedefine/>
    <w:rsid w:val="00B16D21"/>
    <w:pPr>
      <w:numPr>
        <w:ilvl w:val="1"/>
        <w:numId w:val="1"/>
      </w:numPr>
      <w:tabs>
        <w:tab w:val="clear" w:pos="1418"/>
        <w:tab w:val="num" w:pos="360"/>
      </w:tabs>
      <w:spacing w:before="120" w:line="240" w:lineRule="auto"/>
      <w:ind w:left="1080" w:hanging="720"/>
      <w:contextualSpacing w:val="0"/>
      <w:jc w:val="both"/>
    </w:pPr>
    <w:rPr>
      <w:rFonts w:ascii="Times New Roman" w:eastAsia="Times New Roman" w:hAnsi="Times New Roman" w:cs="Times New Roman"/>
      <w:sz w:val="26"/>
      <w:szCs w:val="20"/>
      <w:lang w:val="es-ES"/>
    </w:rPr>
  </w:style>
  <w:style w:type="paragraph" w:customStyle="1" w:styleId="Bodytextlist3">
    <w:name w:val="Body text list 3"/>
    <w:basedOn w:val="Bodytextlist2"/>
    <w:autoRedefine/>
    <w:qFormat/>
    <w:rsid w:val="00B16D21"/>
    <w:pPr>
      <w:numPr>
        <w:ilvl w:val="2"/>
      </w:numPr>
      <w:tabs>
        <w:tab w:val="clear" w:pos="1701"/>
        <w:tab w:val="num" w:pos="360"/>
      </w:tabs>
      <w:ind w:left="1440" w:hanging="720"/>
    </w:pPr>
  </w:style>
  <w:style w:type="paragraph" w:customStyle="1" w:styleId="Bodytextlist4">
    <w:name w:val="Body text list 4"/>
    <w:basedOn w:val="ListBullet2"/>
    <w:autoRedefine/>
    <w:qFormat/>
    <w:rsid w:val="00B16D21"/>
    <w:pPr>
      <w:numPr>
        <w:ilvl w:val="3"/>
      </w:numPr>
      <w:tabs>
        <w:tab w:val="clear" w:pos="1985"/>
        <w:tab w:val="num" w:pos="360"/>
      </w:tabs>
      <w:spacing w:before="120" w:after="120" w:line="240" w:lineRule="auto"/>
      <w:ind w:left="3164" w:hanging="360"/>
      <w:contextualSpacing w:val="0"/>
      <w:jc w:val="both"/>
    </w:pPr>
    <w:rPr>
      <w:rFonts w:ascii="Times New Roman" w:eastAsia="Times New Roman" w:hAnsi="Times New Roman" w:cs="Times New Roman"/>
      <w:sz w:val="26"/>
      <w:szCs w:val="24"/>
    </w:rPr>
  </w:style>
  <w:style w:type="paragraph" w:customStyle="1" w:styleId="Bodytextlist1">
    <w:name w:val="Body text list 1"/>
    <w:basedOn w:val="Normal"/>
    <w:link w:val="Bodytextlist1Char"/>
    <w:qFormat/>
    <w:rsid w:val="00B16D21"/>
    <w:pPr>
      <w:numPr>
        <w:numId w:val="1"/>
      </w:numPr>
      <w:spacing w:before="120" w:after="120" w:line="240" w:lineRule="auto"/>
      <w:jc w:val="both"/>
    </w:pPr>
    <w:rPr>
      <w:rFonts w:ascii="Times New Roman" w:eastAsia="Times New Roman" w:hAnsi="Times New Roman" w:cs="Times New Roman"/>
      <w:sz w:val="26"/>
      <w:szCs w:val="26"/>
    </w:rPr>
  </w:style>
  <w:style w:type="character" w:customStyle="1" w:styleId="Bodytextlist1Char">
    <w:name w:val="Body text list 1 Char"/>
    <w:link w:val="Bodytextlist1"/>
    <w:rsid w:val="00B16D21"/>
    <w:rPr>
      <w:rFonts w:ascii="Times New Roman" w:eastAsia="Times New Roman" w:hAnsi="Times New Roman" w:cs="Times New Roman"/>
      <w:sz w:val="26"/>
      <w:szCs w:val="26"/>
    </w:rPr>
  </w:style>
  <w:style w:type="paragraph" w:customStyle="1" w:styleId="Style">
    <w:name w:val="+Style"/>
    <w:basedOn w:val="Bodytextlist1"/>
    <w:link w:val="StyleChar"/>
    <w:autoRedefine/>
    <w:qFormat/>
    <w:rsid w:val="00B16D21"/>
    <w:pPr>
      <w:numPr>
        <w:numId w:val="5"/>
      </w:numPr>
    </w:pPr>
    <w:rPr>
      <w:color w:val="0000CC"/>
    </w:rPr>
  </w:style>
  <w:style w:type="character" w:customStyle="1" w:styleId="StyleChar">
    <w:name w:val="+Style Char"/>
    <w:link w:val="Style"/>
    <w:rsid w:val="00B16D21"/>
    <w:rPr>
      <w:rFonts w:ascii="Times New Roman" w:eastAsia="Times New Roman" w:hAnsi="Times New Roman" w:cs="Times New Roman"/>
      <w:color w:val="0000CC"/>
      <w:sz w:val="26"/>
      <w:szCs w:val="26"/>
    </w:rPr>
  </w:style>
  <w:style w:type="paragraph" w:styleId="ListContinue3">
    <w:name w:val="List Continue 3"/>
    <w:basedOn w:val="Normal"/>
    <w:uiPriority w:val="99"/>
    <w:semiHidden/>
    <w:unhideWhenUsed/>
    <w:rsid w:val="00B16D21"/>
    <w:pPr>
      <w:spacing w:after="120"/>
      <w:ind w:left="1080"/>
      <w:contextualSpacing/>
    </w:pPr>
  </w:style>
  <w:style w:type="paragraph" w:styleId="ListBullet2">
    <w:name w:val="List Bullet 2"/>
    <w:basedOn w:val="Normal"/>
    <w:uiPriority w:val="99"/>
    <w:semiHidden/>
    <w:unhideWhenUsed/>
    <w:rsid w:val="00B16D21"/>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S-title, Char1 Char Char Char,Header Char2 Char Char Char,Header Char Char1 Char Char Char,Header Char1 Char Char Char Char,Header Char Char Char Char Char Char,Header Char2 Char Char1, Char2,Char2,Char1 Char Char Char,Left Header,MyHeader"/>
    <w:basedOn w:val="Normal"/>
    <w:link w:val="HeaderChar"/>
    <w:rsid w:val="00B16D2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h Char,S-title Char, Char1 Char Char Char Char,Header Char2 Char Char Char Char,Header Char Char1 Char Char Char Char,Header Char1 Char Char Char Char Char,Header Char Char Char Char Char Char Char,Header Char2 Char Char1 Char, Char2 Char"/>
    <w:basedOn w:val="DefaultParagraphFont"/>
    <w:link w:val="Header"/>
    <w:rsid w:val="00B16D21"/>
    <w:rPr>
      <w:rFonts w:ascii="Times New Roman" w:eastAsia="Times New Roman" w:hAnsi="Times New Roman" w:cs="Times New Roman"/>
      <w:sz w:val="20"/>
      <w:szCs w:val="20"/>
    </w:rPr>
  </w:style>
  <w:style w:type="paragraph" w:customStyle="1" w:styleId="Style11">
    <w:name w:val="Style 11"/>
    <w:basedOn w:val="Normal"/>
    <w:rsid w:val="00B16D21"/>
    <w:pPr>
      <w:widowControl w:val="0"/>
      <w:autoSpaceDE w:val="0"/>
      <w:autoSpaceDN w:val="0"/>
      <w:spacing w:after="0" w:line="384" w:lineRule="atLeast"/>
    </w:pPr>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B16D21"/>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6D21"/>
    <w:rPr>
      <w:rFonts w:ascii="Times New Roman" w:eastAsia="Times New Roman" w:hAnsi="Times New Roman" w:cs="Times New Roman"/>
      <w:sz w:val="24"/>
      <w:szCs w:val="20"/>
    </w:rPr>
  </w:style>
  <w:style w:type="paragraph" w:customStyle="1" w:styleId="Bodytextlist2">
    <w:name w:val="Body text list 2"/>
    <w:basedOn w:val="ListContinue3"/>
    <w:autoRedefine/>
    <w:rsid w:val="00B16D21"/>
    <w:pPr>
      <w:numPr>
        <w:ilvl w:val="1"/>
        <w:numId w:val="1"/>
      </w:numPr>
      <w:tabs>
        <w:tab w:val="clear" w:pos="1418"/>
        <w:tab w:val="num" w:pos="360"/>
      </w:tabs>
      <w:spacing w:before="120" w:line="240" w:lineRule="auto"/>
      <w:ind w:left="1080" w:hanging="720"/>
      <w:contextualSpacing w:val="0"/>
      <w:jc w:val="both"/>
    </w:pPr>
    <w:rPr>
      <w:rFonts w:ascii="Times New Roman" w:eastAsia="Times New Roman" w:hAnsi="Times New Roman" w:cs="Times New Roman"/>
      <w:sz w:val="26"/>
      <w:szCs w:val="20"/>
      <w:lang w:val="es-ES"/>
    </w:rPr>
  </w:style>
  <w:style w:type="paragraph" w:customStyle="1" w:styleId="Bodytextlist3">
    <w:name w:val="Body text list 3"/>
    <w:basedOn w:val="Bodytextlist2"/>
    <w:autoRedefine/>
    <w:qFormat/>
    <w:rsid w:val="00B16D21"/>
    <w:pPr>
      <w:numPr>
        <w:ilvl w:val="2"/>
      </w:numPr>
      <w:tabs>
        <w:tab w:val="clear" w:pos="1701"/>
        <w:tab w:val="num" w:pos="360"/>
      </w:tabs>
      <w:ind w:left="1440" w:hanging="720"/>
    </w:pPr>
  </w:style>
  <w:style w:type="paragraph" w:customStyle="1" w:styleId="Bodytextlist4">
    <w:name w:val="Body text list 4"/>
    <w:basedOn w:val="ListBullet2"/>
    <w:autoRedefine/>
    <w:qFormat/>
    <w:rsid w:val="00B16D21"/>
    <w:pPr>
      <w:numPr>
        <w:ilvl w:val="3"/>
      </w:numPr>
      <w:tabs>
        <w:tab w:val="clear" w:pos="1985"/>
        <w:tab w:val="num" w:pos="360"/>
      </w:tabs>
      <w:spacing w:before="120" w:after="120" w:line="240" w:lineRule="auto"/>
      <w:ind w:left="3164" w:hanging="360"/>
      <w:contextualSpacing w:val="0"/>
      <w:jc w:val="both"/>
    </w:pPr>
    <w:rPr>
      <w:rFonts w:ascii="Times New Roman" w:eastAsia="Times New Roman" w:hAnsi="Times New Roman" w:cs="Times New Roman"/>
      <w:sz w:val="26"/>
      <w:szCs w:val="24"/>
    </w:rPr>
  </w:style>
  <w:style w:type="paragraph" w:customStyle="1" w:styleId="Bodytextlist1">
    <w:name w:val="Body text list 1"/>
    <w:basedOn w:val="Normal"/>
    <w:link w:val="Bodytextlist1Char"/>
    <w:qFormat/>
    <w:rsid w:val="00B16D21"/>
    <w:pPr>
      <w:numPr>
        <w:numId w:val="1"/>
      </w:numPr>
      <w:spacing w:before="120" w:after="120" w:line="240" w:lineRule="auto"/>
      <w:jc w:val="both"/>
    </w:pPr>
    <w:rPr>
      <w:rFonts w:ascii="Times New Roman" w:eastAsia="Times New Roman" w:hAnsi="Times New Roman" w:cs="Times New Roman"/>
      <w:sz w:val="26"/>
      <w:szCs w:val="26"/>
    </w:rPr>
  </w:style>
  <w:style w:type="character" w:customStyle="1" w:styleId="Bodytextlist1Char">
    <w:name w:val="Body text list 1 Char"/>
    <w:link w:val="Bodytextlist1"/>
    <w:rsid w:val="00B16D21"/>
    <w:rPr>
      <w:rFonts w:ascii="Times New Roman" w:eastAsia="Times New Roman" w:hAnsi="Times New Roman" w:cs="Times New Roman"/>
      <w:sz w:val="26"/>
      <w:szCs w:val="26"/>
    </w:rPr>
  </w:style>
  <w:style w:type="paragraph" w:customStyle="1" w:styleId="Style">
    <w:name w:val="+Style"/>
    <w:basedOn w:val="Bodytextlist1"/>
    <w:link w:val="StyleChar"/>
    <w:autoRedefine/>
    <w:qFormat/>
    <w:rsid w:val="00B16D21"/>
    <w:pPr>
      <w:numPr>
        <w:numId w:val="5"/>
      </w:numPr>
    </w:pPr>
    <w:rPr>
      <w:color w:val="0000CC"/>
    </w:rPr>
  </w:style>
  <w:style w:type="character" w:customStyle="1" w:styleId="StyleChar">
    <w:name w:val="+Style Char"/>
    <w:link w:val="Style"/>
    <w:rsid w:val="00B16D21"/>
    <w:rPr>
      <w:rFonts w:ascii="Times New Roman" w:eastAsia="Times New Roman" w:hAnsi="Times New Roman" w:cs="Times New Roman"/>
      <w:color w:val="0000CC"/>
      <w:sz w:val="26"/>
      <w:szCs w:val="26"/>
    </w:rPr>
  </w:style>
  <w:style w:type="paragraph" w:styleId="ListContinue3">
    <w:name w:val="List Continue 3"/>
    <w:basedOn w:val="Normal"/>
    <w:uiPriority w:val="99"/>
    <w:semiHidden/>
    <w:unhideWhenUsed/>
    <w:rsid w:val="00B16D21"/>
    <w:pPr>
      <w:spacing w:after="120"/>
      <w:ind w:left="1080"/>
      <w:contextualSpacing/>
    </w:pPr>
  </w:style>
  <w:style w:type="paragraph" w:styleId="ListBullet2">
    <w:name w:val="List Bullet 2"/>
    <w:basedOn w:val="Normal"/>
    <w:uiPriority w:val="99"/>
    <w:semiHidden/>
    <w:unhideWhenUsed/>
    <w:rsid w:val="00B16D2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2025-10-15T09:54:00Z</dcterms:created>
  <dcterms:modified xsi:type="dcterms:W3CDTF">2025-10-15T10:46:00Z</dcterms:modified>
</cp:coreProperties>
</file>