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BD" w:rsidRPr="00CE63CB" w:rsidRDefault="00AF68E8" w:rsidP="00F249BD">
      <w:pPr>
        <w:pStyle w:val="BodyText"/>
        <w:widowControl w:val="0"/>
        <w:ind w:firstLine="567"/>
        <w:jc w:val="center"/>
        <w:rPr>
          <w:rFonts w:ascii="Times New Roman" w:hAnsi="Times New Roman"/>
          <w:b/>
          <w:sz w:val="26"/>
          <w:szCs w:val="26"/>
          <w:lang w:val="es-ES"/>
        </w:rPr>
      </w:pPr>
      <w:r>
        <w:rPr>
          <w:rFonts w:ascii="Times New Roman" w:hAnsi="Times New Roman"/>
          <w:b/>
          <w:sz w:val="26"/>
          <w:szCs w:val="26"/>
          <w:lang w:val="es-ES"/>
        </w:rPr>
        <w:t>Chương V</w:t>
      </w:r>
      <w:r w:rsidR="00F249BD" w:rsidRPr="00CE63CB">
        <w:rPr>
          <w:rFonts w:ascii="Times New Roman" w:hAnsi="Times New Roman"/>
          <w:b/>
          <w:sz w:val="26"/>
          <w:szCs w:val="26"/>
          <w:lang w:val="es-ES"/>
        </w:rPr>
        <w:t>. YÊU CẦU VỀ KỸ THUẬT</w:t>
      </w:r>
    </w:p>
    <w:p w:rsidR="00F249BD" w:rsidRPr="00CE63CB" w:rsidRDefault="00F249BD" w:rsidP="00F249BD">
      <w:pPr>
        <w:pStyle w:val="ListParagraph"/>
        <w:widowControl w:val="0"/>
        <w:numPr>
          <w:ilvl w:val="0"/>
          <w:numId w:val="1"/>
        </w:numPr>
        <w:spacing w:before="120" w:after="120"/>
        <w:jc w:val="both"/>
        <w:rPr>
          <w:b/>
          <w:sz w:val="26"/>
          <w:szCs w:val="26"/>
          <w:lang w:val="nl-NL"/>
        </w:rPr>
      </w:pPr>
      <w:r w:rsidRPr="00CE63CB">
        <w:rPr>
          <w:b/>
          <w:sz w:val="26"/>
          <w:szCs w:val="26"/>
          <w:lang w:val="nl-NL"/>
        </w:rPr>
        <w:t>Yêu cầu kỹ thuật</w:t>
      </w:r>
    </w:p>
    <w:p w:rsidR="00F249BD" w:rsidRPr="00CE63CB" w:rsidRDefault="00F249BD" w:rsidP="00F249BD">
      <w:pPr>
        <w:widowControl w:val="0"/>
        <w:spacing w:before="120" w:after="120"/>
        <w:ind w:firstLine="709"/>
        <w:jc w:val="both"/>
        <w:rPr>
          <w:sz w:val="26"/>
          <w:szCs w:val="26"/>
          <w:lang w:val="nl-NL"/>
        </w:rPr>
      </w:pPr>
      <w:r w:rsidRPr="00CE63CB">
        <w:rPr>
          <w:sz w:val="26"/>
          <w:szCs w:val="26"/>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w:t>
      </w:r>
      <w:r w:rsidR="000A10F2">
        <w:rPr>
          <w:sz w:val="26"/>
          <w:szCs w:val="26"/>
          <w:lang w:val="nl-NL"/>
        </w:rPr>
        <w:t>E-HSDT</w:t>
      </w:r>
      <w:r w:rsidRPr="00CE63CB">
        <w:rPr>
          <w:sz w:val="26"/>
          <w:szCs w:val="26"/>
          <w:lang w:val="nl-NL"/>
        </w:rPr>
        <w:t xml:space="preserve">. </w:t>
      </w:r>
    </w:p>
    <w:p w:rsidR="00F249BD" w:rsidRPr="00CE63CB" w:rsidRDefault="00F249BD" w:rsidP="00F249BD">
      <w:pPr>
        <w:widowControl w:val="0"/>
        <w:spacing w:before="120" w:after="120"/>
        <w:ind w:firstLine="709"/>
        <w:jc w:val="both"/>
        <w:rPr>
          <w:sz w:val="26"/>
          <w:szCs w:val="26"/>
          <w:lang w:val="nl-NL"/>
        </w:rPr>
      </w:pPr>
      <w:r w:rsidRPr="00CE63CB">
        <w:rPr>
          <w:sz w:val="26"/>
          <w:szCs w:val="26"/>
          <w:lang w:val="nl-NL"/>
        </w:rPr>
        <w:t xml:space="preserve">Trong yêu cầu về kỹ thuật không được đưa ra các điều kiện </w:t>
      </w:r>
      <w:r w:rsidRPr="00CE63CB">
        <w:rPr>
          <w:iCs/>
          <w:sz w:val="26"/>
          <w:szCs w:val="26"/>
          <w:lang w:val="nl-NL"/>
        </w:rPr>
        <w:t>nhằm hạn chế sự tham gia của nhà thầu hoặc nhằm tạo lợi thế cho một hoặc một số nhà thầu gây ra sự cạnh tranh không bình đẳng,</w:t>
      </w:r>
      <w:r w:rsidRPr="00CE63CB">
        <w:rPr>
          <w:spacing w:val="-4"/>
          <w:sz w:val="26"/>
          <w:szCs w:val="26"/>
          <w:lang w:val="nl-NL"/>
        </w:rPr>
        <w:t xml:space="preserve"> đồng thời cũng không đưa ra các yêu cầu quá cao dẫn đến làm tăng giá dự thầu hoặc làm hạn chế sự tham gia của các nhà thầu,</w:t>
      </w:r>
      <w:r w:rsidRPr="00CE63CB">
        <w:rPr>
          <w:sz w:val="26"/>
          <w:szCs w:val="26"/>
          <w:lang w:val="nl-NL"/>
        </w:rPr>
        <w:t xml:space="preserve"> không được nêu yêu cầu về tên, ký mã hiệu, nhãn hiệu cụ thể của hàng hóa.</w:t>
      </w:r>
    </w:p>
    <w:p w:rsidR="00F249BD" w:rsidRPr="00CE63CB" w:rsidRDefault="00F249BD" w:rsidP="00F249BD">
      <w:pPr>
        <w:widowControl w:val="0"/>
        <w:spacing w:before="120" w:after="120"/>
        <w:ind w:firstLine="709"/>
        <w:jc w:val="both"/>
        <w:rPr>
          <w:sz w:val="26"/>
          <w:szCs w:val="26"/>
          <w:lang w:val="nl-NL"/>
        </w:rPr>
      </w:pPr>
      <w:r w:rsidRPr="00CE63CB">
        <w:rPr>
          <w:sz w:val="26"/>
          <w:szCs w:val="26"/>
          <w:lang w:val="vi-VN"/>
        </w:rPr>
        <w:t xml:space="preserve">Trường hợp </w:t>
      </w:r>
      <w:r w:rsidRPr="00CE63CB">
        <w:rPr>
          <w:sz w:val="26"/>
          <w:szCs w:val="26"/>
          <w:lang w:val="nl-NL"/>
        </w:rPr>
        <w:t>không thể mô tả chi tiết hàng hóa theo đặc tính kỹ thuật, thiết kế công nghệ, tiêu chuẩn công nghệ thì có thể</w:t>
      </w:r>
      <w:r w:rsidRPr="00CE63CB">
        <w:rPr>
          <w:sz w:val="26"/>
          <w:szCs w:val="26"/>
          <w:lang w:val="vi-VN"/>
        </w:rPr>
        <w:t xml:space="preserve"> nêu nhãn hiệu, cat</w:t>
      </w:r>
      <w:r w:rsidRPr="00CE63CB">
        <w:rPr>
          <w:sz w:val="26"/>
          <w:szCs w:val="26"/>
          <w:lang w:val="nl-NL"/>
        </w:rPr>
        <w:t>alô</w:t>
      </w:r>
      <w:r w:rsidRPr="00CE63CB">
        <w:rPr>
          <w:sz w:val="26"/>
          <w:szCs w:val="26"/>
          <w:lang w:val="vi-VN"/>
        </w:rPr>
        <w:t xml:space="preserve"> của một </w:t>
      </w:r>
      <w:r w:rsidRPr="00CE63CB">
        <w:rPr>
          <w:sz w:val="26"/>
          <w:szCs w:val="26"/>
          <w:lang w:val="nl-NL"/>
        </w:rPr>
        <w:t>sản phẩm cụ thể</w:t>
      </w:r>
      <w:r w:rsidRPr="00CE63CB">
        <w:rPr>
          <w:sz w:val="26"/>
          <w:szCs w:val="26"/>
          <w:lang w:val="vi-VN"/>
        </w:rPr>
        <w:t xml:space="preserve"> để tham khảo, minh họa cho yêu cầu về kỹ thuật của hàng hóa </w:t>
      </w:r>
      <w:r w:rsidRPr="00CE63CB">
        <w:rPr>
          <w:sz w:val="26"/>
          <w:szCs w:val="26"/>
          <w:lang w:val="nl-NL"/>
        </w:rPr>
        <w:t xml:space="preserve">nhưng </w:t>
      </w:r>
      <w:r w:rsidRPr="00CE63CB">
        <w:rPr>
          <w:sz w:val="26"/>
          <w:szCs w:val="26"/>
          <w:lang w:val="vi-VN"/>
        </w:rPr>
        <w:t>phải ghi kèm theo cụm từ “hoặc tương đương” sau nhãn hiệu, cat</w:t>
      </w:r>
      <w:r w:rsidRPr="00CE63CB">
        <w:rPr>
          <w:sz w:val="26"/>
          <w:szCs w:val="26"/>
          <w:lang w:val="nl-NL"/>
        </w:rPr>
        <w:t xml:space="preserve">alô </w:t>
      </w:r>
      <w:r w:rsidRPr="00CE63CB">
        <w:rPr>
          <w:sz w:val="26"/>
          <w:szCs w:val="26"/>
          <w:lang w:val="vi-VN"/>
        </w:rPr>
        <w:t xml:space="preserve">đồng thời phải quy định rõ </w:t>
      </w:r>
      <w:r w:rsidRPr="00CE63CB">
        <w:rPr>
          <w:sz w:val="26"/>
          <w:szCs w:val="26"/>
          <w:lang w:val="nl-NL"/>
        </w:rPr>
        <w:t xml:space="preserve">nội hàm </w:t>
      </w:r>
      <w:r w:rsidRPr="00CE63CB">
        <w:rPr>
          <w:sz w:val="26"/>
          <w:szCs w:val="26"/>
          <w:lang w:val="vi-VN"/>
        </w:rPr>
        <w:t xml:space="preserve">tương đương </w:t>
      </w:r>
      <w:r w:rsidRPr="00CE63CB">
        <w:rPr>
          <w:sz w:val="26"/>
          <w:szCs w:val="26"/>
          <w:lang w:val="nl-NL"/>
        </w:rPr>
        <w:t xml:space="preserve">với hàng hóa đó về </w:t>
      </w:r>
      <w:r w:rsidRPr="00CE63CB">
        <w:rPr>
          <w:sz w:val="26"/>
          <w:szCs w:val="26"/>
          <w:lang w:val="vi-VN"/>
        </w:rPr>
        <w:t>đặc tính kỹ thuật, tính năng sử dụng</w:t>
      </w:r>
      <w:r w:rsidRPr="00CE63CB">
        <w:rPr>
          <w:sz w:val="26"/>
          <w:szCs w:val="26"/>
          <w:lang w:val="nl-NL"/>
        </w:rPr>
        <w:t>, tiêu chuẩn công nghệ và các nội dung khác (nếu có) để tạo thuận lợi cho nhà thầu trong quá trình chuẩn bị báo giá  mà không được quy định tương đương về xuất xứ.</w:t>
      </w:r>
    </w:p>
    <w:p w:rsidR="00F249BD" w:rsidRPr="00CE63CB" w:rsidRDefault="00F249BD" w:rsidP="00F249BD">
      <w:pPr>
        <w:widowControl w:val="0"/>
        <w:spacing w:before="120" w:after="120"/>
        <w:ind w:firstLine="709"/>
        <w:jc w:val="both"/>
        <w:rPr>
          <w:sz w:val="26"/>
          <w:szCs w:val="26"/>
          <w:lang w:val="nl-NL"/>
        </w:rPr>
      </w:pPr>
      <w:r w:rsidRPr="00CE63CB">
        <w:rPr>
          <w:sz w:val="26"/>
          <w:szCs w:val="26"/>
          <w:lang w:val="nl-NL"/>
        </w:rPr>
        <w:t xml:space="preserve">Yêu cầu về kỹ thuật bao gồm các nội dung cơ bản như sau: </w:t>
      </w:r>
    </w:p>
    <w:p w:rsidR="00F249BD" w:rsidRPr="00CE63CB" w:rsidRDefault="00F249BD" w:rsidP="00F249BD">
      <w:pPr>
        <w:widowControl w:val="0"/>
        <w:spacing w:before="120" w:after="120"/>
        <w:ind w:firstLine="709"/>
        <w:jc w:val="both"/>
        <w:rPr>
          <w:b/>
          <w:sz w:val="26"/>
          <w:szCs w:val="26"/>
          <w:lang w:val="nl-NL"/>
        </w:rPr>
      </w:pPr>
      <w:r w:rsidRPr="00CE63CB">
        <w:rPr>
          <w:b/>
          <w:sz w:val="26"/>
          <w:szCs w:val="26"/>
          <w:lang w:val="nl-NL"/>
        </w:rPr>
        <w:t>1.1. Giới thiệu chung về dự án, gói thầu</w:t>
      </w:r>
    </w:p>
    <w:p w:rsidR="00F249BD" w:rsidRPr="000A10F2" w:rsidRDefault="00F249BD" w:rsidP="00F249BD">
      <w:pPr>
        <w:widowControl w:val="0"/>
        <w:spacing w:before="120" w:after="120"/>
        <w:ind w:firstLine="709"/>
        <w:jc w:val="both"/>
        <w:rPr>
          <w:sz w:val="26"/>
          <w:szCs w:val="26"/>
          <w:lang w:val="nl-NL"/>
        </w:rPr>
      </w:pPr>
      <w:r w:rsidRPr="000A10F2">
        <w:rPr>
          <w:sz w:val="26"/>
          <w:szCs w:val="26"/>
          <w:lang w:val="nl-NL"/>
        </w:rPr>
        <w:t xml:space="preserve">Chủ đầu tư: </w:t>
      </w:r>
      <w:r w:rsidR="000A10F2" w:rsidRPr="000A10F2">
        <w:rPr>
          <w:bCs/>
          <w:spacing w:val="-4"/>
          <w:sz w:val="26"/>
          <w:szCs w:val="26"/>
          <w:lang w:val="fr-FR"/>
        </w:rPr>
        <w:t>Công ty TNHH MTV Cao Su ChưMomRay</w:t>
      </w:r>
      <w:r w:rsidRPr="000A10F2">
        <w:rPr>
          <w:sz w:val="26"/>
          <w:szCs w:val="26"/>
          <w:lang w:val="nl-NL"/>
        </w:rPr>
        <w:t>.</w:t>
      </w:r>
    </w:p>
    <w:p w:rsidR="00F249BD" w:rsidRPr="000A10F2" w:rsidRDefault="00F249BD" w:rsidP="00F249BD">
      <w:pPr>
        <w:widowControl w:val="0"/>
        <w:spacing w:before="120" w:after="120"/>
        <w:ind w:firstLine="709"/>
        <w:jc w:val="both"/>
        <w:rPr>
          <w:sz w:val="26"/>
          <w:szCs w:val="26"/>
          <w:lang w:val="nl-NL"/>
        </w:rPr>
      </w:pPr>
      <w:r w:rsidRPr="000A10F2">
        <w:rPr>
          <w:sz w:val="26"/>
          <w:szCs w:val="26"/>
          <w:lang w:val="nl-NL"/>
        </w:rPr>
        <w:t xml:space="preserve">Tên Dự án: </w:t>
      </w:r>
      <w:r w:rsidR="000A10F2" w:rsidRPr="000A10F2">
        <w:rPr>
          <w:bCs/>
          <w:color w:val="FF0000"/>
          <w:sz w:val="26"/>
          <w:szCs w:val="26"/>
          <w:lang w:val="vi-VN"/>
        </w:rPr>
        <w:t xml:space="preserve">Mua </w:t>
      </w:r>
      <w:r w:rsidR="000A10F2" w:rsidRPr="000A10F2">
        <w:rPr>
          <w:bCs/>
          <w:color w:val="FF0000"/>
          <w:sz w:val="26"/>
          <w:szCs w:val="26"/>
          <w:lang w:val="en-NZ"/>
        </w:rPr>
        <w:t>thuốc bảo vệ thực vật phòng trị bệnh vườn cây cao su năm 202</w:t>
      </w:r>
      <w:r w:rsidR="00EB2B3C">
        <w:rPr>
          <w:bCs/>
          <w:color w:val="FF0000"/>
          <w:sz w:val="26"/>
          <w:szCs w:val="26"/>
          <w:lang w:val="en-NZ"/>
        </w:rPr>
        <w:t>6</w:t>
      </w:r>
      <w:r w:rsidRPr="000A10F2">
        <w:rPr>
          <w:sz w:val="26"/>
          <w:szCs w:val="26"/>
          <w:lang w:val="nl-NL"/>
        </w:rPr>
        <w:t>.</w:t>
      </w:r>
    </w:p>
    <w:p w:rsidR="00F249BD" w:rsidRPr="000A10F2" w:rsidRDefault="00F249BD" w:rsidP="00F249BD">
      <w:pPr>
        <w:widowControl w:val="0"/>
        <w:spacing w:before="120" w:after="120"/>
        <w:ind w:firstLine="709"/>
        <w:jc w:val="both"/>
        <w:rPr>
          <w:sz w:val="26"/>
          <w:szCs w:val="26"/>
          <w:lang w:val="nl-NL"/>
        </w:rPr>
      </w:pPr>
      <w:r w:rsidRPr="000A10F2">
        <w:rPr>
          <w:sz w:val="26"/>
          <w:szCs w:val="26"/>
          <w:lang w:val="nl-NL"/>
        </w:rPr>
        <w:t xml:space="preserve">Tên Gói thầu: </w:t>
      </w:r>
      <w:r w:rsidR="000A10F2" w:rsidRPr="000A10F2">
        <w:rPr>
          <w:bCs/>
          <w:color w:val="FF0000"/>
          <w:sz w:val="26"/>
          <w:szCs w:val="26"/>
          <w:lang w:val="vi-VN"/>
        </w:rPr>
        <w:t xml:space="preserve">Mua </w:t>
      </w:r>
      <w:r w:rsidR="000A10F2" w:rsidRPr="000A10F2">
        <w:rPr>
          <w:bCs/>
          <w:color w:val="FF0000"/>
          <w:sz w:val="26"/>
          <w:szCs w:val="26"/>
          <w:lang w:val="en-NZ"/>
        </w:rPr>
        <w:t>thuốc bảo vệ thực vật phòng trị bệnh vườn cây cao su năm 202</w:t>
      </w:r>
      <w:r w:rsidR="00EB2B3C">
        <w:rPr>
          <w:bCs/>
          <w:color w:val="FF0000"/>
          <w:sz w:val="26"/>
          <w:szCs w:val="26"/>
          <w:lang w:val="en-NZ"/>
        </w:rPr>
        <w:t>6</w:t>
      </w:r>
      <w:r w:rsidRPr="000A10F2">
        <w:rPr>
          <w:sz w:val="26"/>
          <w:szCs w:val="26"/>
          <w:lang w:val="nl-NL"/>
        </w:rPr>
        <w:t>.</w:t>
      </w:r>
    </w:p>
    <w:p w:rsidR="00F249BD" w:rsidRPr="000A10F2" w:rsidRDefault="00F249BD" w:rsidP="00F249BD">
      <w:pPr>
        <w:spacing w:before="120"/>
        <w:rPr>
          <w:sz w:val="26"/>
          <w:szCs w:val="26"/>
          <w:lang w:val="nl-NL"/>
        </w:rPr>
      </w:pPr>
      <w:r w:rsidRPr="000A10F2">
        <w:rPr>
          <w:sz w:val="26"/>
          <w:szCs w:val="26"/>
          <w:lang w:val="nl-NL"/>
        </w:rPr>
        <w:tab/>
        <w:t xml:space="preserve">Nguồn vốn: Vốn </w:t>
      </w:r>
      <w:r w:rsidR="000A10F2" w:rsidRPr="000A10F2">
        <w:rPr>
          <w:sz w:val="26"/>
          <w:szCs w:val="26"/>
          <w:lang w:val="nl-NL"/>
        </w:rPr>
        <w:t xml:space="preserve">sản xuất </w:t>
      </w:r>
      <w:r w:rsidRPr="000A10F2">
        <w:rPr>
          <w:sz w:val="26"/>
          <w:szCs w:val="26"/>
          <w:lang w:val="nl-NL"/>
        </w:rPr>
        <w:t xml:space="preserve">kinh doanh </w:t>
      </w:r>
    </w:p>
    <w:p w:rsidR="000A10F2" w:rsidRPr="000A10F2" w:rsidRDefault="000A10F2" w:rsidP="000A10F2">
      <w:pPr>
        <w:pStyle w:val="ListParagraph"/>
        <w:spacing w:before="20" w:after="40"/>
        <w:ind w:left="0" w:right="43" w:firstLine="709"/>
        <w:jc w:val="both"/>
        <w:rPr>
          <w:sz w:val="26"/>
          <w:szCs w:val="26"/>
        </w:rPr>
      </w:pPr>
      <w:r w:rsidRPr="000A10F2">
        <w:rPr>
          <w:sz w:val="26"/>
          <w:szCs w:val="26"/>
        </w:rPr>
        <w:t>Địa điểm cung cấp:</w:t>
      </w:r>
      <w:r w:rsidRPr="000A10F2">
        <w:rPr>
          <w:sz w:val="26"/>
          <w:szCs w:val="26"/>
          <w:lang w:val="vi-VN"/>
        </w:rPr>
        <w:t xml:space="preserve"> </w:t>
      </w:r>
      <w:r w:rsidRPr="000A10F2">
        <w:rPr>
          <w:sz w:val="26"/>
          <w:szCs w:val="26"/>
        </w:rPr>
        <w:t xml:space="preserve">Kho </w:t>
      </w:r>
      <w:r w:rsidRPr="000A10F2">
        <w:rPr>
          <w:bCs/>
          <w:sz w:val="26"/>
          <w:szCs w:val="26"/>
          <w:lang w:val="fr-FR"/>
        </w:rPr>
        <w:t xml:space="preserve">Công ty TNHH MTV Cao Su ChưMomRay (Địa </w:t>
      </w:r>
      <w:proofErr w:type="gramStart"/>
      <w:r w:rsidRPr="000A10F2">
        <w:rPr>
          <w:bCs/>
          <w:sz w:val="26"/>
          <w:szCs w:val="26"/>
          <w:lang w:val="fr-FR"/>
        </w:rPr>
        <w:t>chỉ :</w:t>
      </w:r>
      <w:proofErr w:type="gramEnd"/>
      <w:r w:rsidRPr="000A10F2">
        <w:rPr>
          <w:bCs/>
          <w:sz w:val="26"/>
          <w:szCs w:val="26"/>
          <w:lang w:val="fr-FR"/>
        </w:rPr>
        <w:t xml:space="preserve"> Thôn 7, xã Ia Tơi, </w:t>
      </w:r>
      <w:r w:rsidR="00EB2B3C">
        <w:rPr>
          <w:bCs/>
          <w:sz w:val="26"/>
          <w:szCs w:val="26"/>
          <w:lang w:val="fr-FR"/>
        </w:rPr>
        <w:t>tỉnh Quảng Ngãi</w:t>
      </w:r>
      <w:r w:rsidRPr="000A10F2">
        <w:rPr>
          <w:bCs/>
          <w:sz w:val="26"/>
          <w:szCs w:val="26"/>
          <w:lang w:val="fr-FR"/>
        </w:rPr>
        <w:t>)</w:t>
      </w:r>
      <w:r w:rsidRPr="000A10F2">
        <w:rPr>
          <w:sz w:val="26"/>
          <w:szCs w:val="26"/>
          <w:lang w:val="fr-FR"/>
        </w:rPr>
        <w:t>.</w:t>
      </w:r>
    </w:p>
    <w:p w:rsidR="00F249BD" w:rsidRPr="00CE63CB" w:rsidRDefault="000A10F2" w:rsidP="000A10F2">
      <w:pPr>
        <w:widowControl w:val="0"/>
        <w:spacing w:before="120" w:after="120"/>
        <w:ind w:firstLine="709"/>
        <w:jc w:val="both"/>
        <w:rPr>
          <w:spacing w:val="2"/>
          <w:sz w:val="26"/>
          <w:szCs w:val="26"/>
          <w:lang w:val="nl-NL"/>
        </w:rPr>
      </w:pPr>
      <w:r w:rsidRPr="000A10F2">
        <w:rPr>
          <w:kern w:val="28"/>
          <w:sz w:val="26"/>
          <w:szCs w:val="26"/>
          <w:lang w:val="nl-NL"/>
        </w:rPr>
        <w:t>Thời gian thực hiện hợp đồng: 10 ngày</w:t>
      </w:r>
      <w:r w:rsidRPr="00577AD4">
        <w:rPr>
          <w:kern w:val="28"/>
          <w:sz w:val="26"/>
          <w:szCs w:val="26"/>
          <w:lang w:val="nl-NL"/>
        </w:rPr>
        <w:t>.</w:t>
      </w:r>
    </w:p>
    <w:p w:rsidR="00463851" w:rsidRPr="00363C89" w:rsidRDefault="00463851" w:rsidP="00463851">
      <w:pPr>
        <w:widowControl w:val="0"/>
        <w:spacing w:before="100" w:after="100"/>
        <w:ind w:firstLine="709"/>
        <w:jc w:val="both"/>
        <w:rPr>
          <w:b/>
          <w:sz w:val="26"/>
          <w:szCs w:val="26"/>
          <w:lang w:val="nl-NL"/>
        </w:rPr>
      </w:pPr>
      <w:r w:rsidRPr="00363C89">
        <w:rPr>
          <w:b/>
          <w:sz w:val="26"/>
          <w:szCs w:val="26"/>
          <w:lang w:val="nl-NL"/>
        </w:rPr>
        <w:t>1.2. Yêu cầu về kỹ thuật</w:t>
      </w:r>
    </w:p>
    <w:p w:rsidR="00363C89" w:rsidRPr="00363C89" w:rsidRDefault="00463851" w:rsidP="00363C89">
      <w:pPr>
        <w:widowControl w:val="0"/>
        <w:spacing w:before="100" w:after="100"/>
        <w:ind w:firstLine="709"/>
        <w:jc w:val="both"/>
      </w:pPr>
      <w:r w:rsidRPr="00363C89">
        <w:rPr>
          <w:spacing w:val="-2"/>
          <w:sz w:val="26"/>
          <w:szCs w:val="26"/>
          <w:lang w:val="nl-NL"/>
        </w:rPr>
        <w:t xml:space="preserve">Hàng hóa thuộc phạm vi cung cấp của gói thầu phải tuân thủ các thông số kỹ thuật và </w:t>
      </w:r>
      <w:r w:rsidR="00025E2D" w:rsidRPr="00363C89">
        <w:rPr>
          <w:spacing w:val="-2"/>
          <w:sz w:val="26"/>
          <w:szCs w:val="26"/>
          <w:lang w:val="nl-NL"/>
        </w:rPr>
        <w:t>các yêu cầu khác: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835"/>
        <w:gridCol w:w="6528"/>
      </w:tblGrid>
      <w:tr w:rsidR="00363C89" w:rsidRPr="00B530C4" w:rsidTr="009D745B">
        <w:trPr>
          <w:trHeight w:val="899"/>
        </w:trPr>
        <w:tc>
          <w:tcPr>
            <w:tcW w:w="1101" w:type="dxa"/>
            <w:shd w:val="clear" w:color="auto" w:fill="E2EFD9" w:themeFill="accent6" w:themeFillTint="33"/>
            <w:vAlign w:val="center"/>
          </w:tcPr>
          <w:p w:rsidR="00363C89" w:rsidRPr="00B530C4" w:rsidRDefault="00363C89" w:rsidP="008B0CCA">
            <w:pPr>
              <w:spacing w:before="120" w:after="120"/>
              <w:jc w:val="center"/>
              <w:rPr>
                <w:b/>
                <w:iCs/>
                <w:sz w:val="26"/>
                <w:szCs w:val="26"/>
              </w:rPr>
            </w:pPr>
            <w:r w:rsidRPr="00B530C4">
              <w:rPr>
                <w:b/>
                <w:iCs/>
                <w:sz w:val="26"/>
                <w:szCs w:val="26"/>
              </w:rPr>
              <w:t>Hạng mục số</w:t>
            </w:r>
          </w:p>
        </w:tc>
        <w:tc>
          <w:tcPr>
            <w:tcW w:w="1835" w:type="dxa"/>
            <w:shd w:val="clear" w:color="auto" w:fill="E2EFD9" w:themeFill="accent6" w:themeFillTint="33"/>
            <w:vAlign w:val="center"/>
          </w:tcPr>
          <w:p w:rsidR="00363C89" w:rsidRPr="00B530C4" w:rsidRDefault="00363C89" w:rsidP="008B0CCA">
            <w:pPr>
              <w:spacing w:before="120" w:after="120"/>
              <w:jc w:val="center"/>
              <w:rPr>
                <w:b/>
                <w:iCs/>
                <w:sz w:val="26"/>
                <w:szCs w:val="26"/>
              </w:rPr>
            </w:pPr>
            <w:r w:rsidRPr="00B530C4">
              <w:rPr>
                <w:b/>
                <w:iCs/>
                <w:sz w:val="26"/>
                <w:szCs w:val="26"/>
              </w:rPr>
              <w:t>Tên hàng hóa</w:t>
            </w:r>
          </w:p>
        </w:tc>
        <w:tc>
          <w:tcPr>
            <w:tcW w:w="6528" w:type="dxa"/>
            <w:shd w:val="clear" w:color="auto" w:fill="E2EFD9" w:themeFill="accent6" w:themeFillTint="33"/>
            <w:vAlign w:val="center"/>
          </w:tcPr>
          <w:p w:rsidR="00363C89" w:rsidRPr="00B530C4" w:rsidRDefault="00363C89" w:rsidP="008B0CCA">
            <w:pPr>
              <w:spacing w:before="120" w:after="120"/>
              <w:jc w:val="center"/>
              <w:rPr>
                <w:b/>
                <w:iCs/>
                <w:sz w:val="26"/>
                <w:szCs w:val="26"/>
              </w:rPr>
            </w:pPr>
            <w:r w:rsidRPr="00B530C4">
              <w:rPr>
                <w:b/>
                <w:iCs/>
                <w:sz w:val="26"/>
                <w:szCs w:val="26"/>
              </w:rPr>
              <w:t>Thông số kỹ thuật và các tiêu chuẩn</w:t>
            </w:r>
          </w:p>
        </w:tc>
      </w:tr>
      <w:tr w:rsidR="00363C89" w:rsidRPr="00B530C4" w:rsidTr="00362933">
        <w:trPr>
          <w:trHeight w:val="558"/>
        </w:trPr>
        <w:tc>
          <w:tcPr>
            <w:tcW w:w="1101" w:type="dxa"/>
            <w:vAlign w:val="center"/>
          </w:tcPr>
          <w:p w:rsidR="00363C89" w:rsidRPr="00B530C4" w:rsidRDefault="00363C89" w:rsidP="005113A5">
            <w:pPr>
              <w:spacing w:before="120" w:after="120"/>
              <w:jc w:val="center"/>
              <w:rPr>
                <w:iCs/>
                <w:sz w:val="26"/>
                <w:szCs w:val="26"/>
              </w:rPr>
            </w:pPr>
            <w:r w:rsidRPr="00B530C4">
              <w:rPr>
                <w:iCs/>
                <w:sz w:val="26"/>
                <w:szCs w:val="26"/>
              </w:rPr>
              <w:t>1</w:t>
            </w:r>
          </w:p>
        </w:tc>
        <w:tc>
          <w:tcPr>
            <w:tcW w:w="1835" w:type="dxa"/>
            <w:vAlign w:val="center"/>
          </w:tcPr>
          <w:p w:rsidR="00363C89" w:rsidRPr="00B530C4" w:rsidRDefault="000A10F2" w:rsidP="005113A5">
            <w:pPr>
              <w:spacing w:before="120" w:after="120"/>
              <w:jc w:val="center"/>
              <w:rPr>
                <w:i/>
                <w:iCs/>
                <w:sz w:val="26"/>
                <w:szCs w:val="26"/>
              </w:rPr>
            </w:pPr>
            <w:r w:rsidRPr="005662F1">
              <w:rPr>
                <w:iCs/>
                <w:sz w:val="26"/>
                <w:szCs w:val="26"/>
              </w:rPr>
              <w:t>Thuốc trị bệnh phấn trắng, botryplodia</w:t>
            </w:r>
          </w:p>
        </w:tc>
        <w:tc>
          <w:tcPr>
            <w:tcW w:w="6528" w:type="dxa"/>
          </w:tcPr>
          <w:p w:rsidR="003C32EF" w:rsidRPr="00B530C4" w:rsidRDefault="003C32EF" w:rsidP="005113A5">
            <w:pPr>
              <w:spacing w:before="120"/>
              <w:rPr>
                <w:sz w:val="26"/>
                <w:szCs w:val="26"/>
              </w:rPr>
            </w:pPr>
            <w:r w:rsidRPr="00B530C4">
              <w:rPr>
                <w:sz w:val="26"/>
                <w:szCs w:val="26"/>
              </w:rPr>
              <w:t>- Hàm lượng hoạ</w:t>
            </w:r>
            <w:r w:rsidR="005113A5">
              <w:rPr>
                <w:sz w:val="26"/>
                <w:szCs w:val="26"/>
              </w:rPr>
              <w:t>t chất: Hexaconazole 100g/lít, p</w:t>
            </w:r>
            <w:r w:rsidRPr="00B530C4">
              <w:rPr>
                <w:sz w:val="26"/>
                <w:szCs w:val="26"/>
              </w:rPr>
              <w:t xml:space="preserve">hụ gia và dung môi: 990 g/lít, </w:t>
            </w:r>
          </w:p>
          <w:p w:rsidR="003C32EF" w:rsidRPr="00B530C4" w:rsidRDefault="003C32EF" w:rsidP="005113A5">
            <w:pPr>
              <w:spacing w:before="120"/>
              <w:rPr>
                <w:sz w:val="26"/>
                <w:szCs w:val="26"/>
                <w:lang w:val="vi-VN"/>
              </w:rPr>
            </w:pPr>
            <w:r w:rsidRPr="00B530C4">
              <w:rPr>
                <w:sz w:val="26"/>
                <w:szCs w:val="26"/>
              </w:rPr>
              <w:t xml:space="preserve">- </w:t>
            </w:r>
            <w:r w:rsidR="00362933">
              <w:rPr>
                <w:sz w:val="26"/>
                <w:szCs w:val="26"/>
              </w:rPr>
              <w:t>Thuốc</w:t>
            </w:r>
            <w:r w:rsidRPr="00B530C4">
              <w:rPr>
                <w:sz w:val="26"/>
                <w:szCs w:val="26"/>
                <w:lang w:val="vi-VN"/>
              </w:rPr>
              <w:t xml:space="preserve"> d</w:t>
            </w:r>
            <w:r w:rsidRPr="00B530C4">
              <w:rPr>
                <w:sz w:val="26"/>
                <w:szCs w:val="26"/>
              </w:rPr>
              <w:t>ạng huyền</w:t>
            </w:r>
            <w:r w:rsidRPr="00B530C4">
              <w:rPr>
                <w:sz w:val="26"/>
                <w:szCs w:val="26"/>
                <w:lang w:val="vi-VN"/>
              </w:rPr>
              <w:t xml:space="preserve"> phù, không bị kết tủa, không lẫn tạp chất, đảm bảo đúng tiêu chuẩn đã đăng ký, lưu hành trên thị trường.</w:t>
            </w:r>
          </w:p>
          <w:p w:rsidR="003C32EF" w:rsidRPr="00B530C4" w:rsidRDefault="003C32EF" w:rsidP="005113A5">
            <w:pPr>
              <w:spacing w:before="120"/>
              <w:rPr>
                <w:sz w:val="26"/>
                <w:szCs w:val="26"/>
              </w:rPr>
            </w:pPr>
            <w:r w:rsidRPr="00B530C4">
              <w:rPr>
                <w:sz w:val="26"/>
                <w:szCs w:val="26"/>
                <w:lang w:val="vi-VN"/>
              </w:rPr>
              <w:t>- Quy cách:</w:t>
            </w:r>
            <w:r w:rsidRPr="00B530C4">
              <w:rPr>
                <w:sz w:val="26"/>
                <w:szCs w:val="26"/>
              </w:rPr>
              <w:t xml:space="preserve"> đóng chai 1 lít, </w:t>
            </w:r>
            <w:r w:rsidR="00B301A6">
              <w:rPr>
                <w:sz w:val="26"/>
                <w:szCs w:val="26"/>
              </w:rPr>
              <w:t>20 lít/thùng</w:t>
            </w:r>
            <w:r w:rsidRPr="00B530C4">
              <w:rPr>
                <w:sz w:val="26"/>
                <w:szCs w:val="26"/>
              </w:rPr>
              <w:t>, bao bì được in đầy đủ các thông tin chi tiết về ngày sản xuất</w:t>
            </w:r>
            <w:r w:rsidRPr="00B530C4">
              <w:rPr>
                <w:sz w:val="26"/>
                <w:szCs w:val="26"/>
                <w:lang w:val="vi-VN"/>
              </w:rPr>
              <w:t xml:space="preserve"> hướng dẫn sử dụng, xuất xứ.</w:t>
            </w:r>
          </w:p>
          <w:p w:rsidR="00363C89" w:rsidRPr="00362933" w:rsidRDefault="003C32EF" w:rsidP="00362933">
            <w:pPr>
              <w:spacing w:before="120"/>
              <w:rPr>
                <w:b/>
                <w:sz w:val="26"/>
                <w:szCs w:val="26"/>
              </w:rPr>
            </w:pPr>
            <w:r w:rsidRPr="00B530C4">
              <w:rPr>
                <w:sz w:val="26"/>
                <w:szCs w:val="26"/>
              </w:rPr>
              <w:lastRenderedPageBreak/>
              <w:t xml:space="preserve">- Hạn sử dụng: </w:t>
            </w:r>
            <w:r w:rsidR="00CE2584">
              <w:rPr>
                <w:sz w:val="26"/>
                <w:szCs w:val="26"/>
              </w:rPr>
              <w:t>&gt;</w:t>
            </w:r>
            <w:r w:rsidRPr="00B530C4">
              <w:rPr>
                <w:sz w:val="26"/>
                <w:szCs w:val="26"/>
              </w:rPr>
              <w:t xml:space="preserve"> </w:t>
            </w:r>
            <w:r w:rsidR="00362933">
              <w:rPr>
                <w:sz w:val="26"/>
                <w:szCs w:val="26"/>
              </w:rPr>
              <w:t>18 tháng</w:t>
            </w:r>
            <w:r w:rsidRPr="00B530C4">
              <w:rPr>
                <w:sz w:val="26"/>
                <w:szCs w:val="26"/>
              </w:rPr>
              <w:t xml:space="preserve"> kể từ ngày giao hàng</w:t>
            </w:r>
            <w:r w:rsidR="00B530C4" w:rsidRPr="00B530C4">
              <w:rPr>
                <w:sz w:val="26"/>
                <w:szCs w:val="26"/>
              </w:rPr>
              <w:t>.</w:t>
            </w:r>
          </w:p>
        </w:tc>
      </w:tr>
      <w:tr w:rsidR="00363C89" w:rsidRPr="00B530C4" w:rsidTr="005113A5">
        <w:trPr>
          <w:trHeight w:val="279"/>
        </w:trPr>
        <w:tc>
          <w:tcPr>
            <w:tcW w:w="1101" w:type="dxa"/>
            <w:vAlign w:val="center"/>
          </w:tcPr>
          <w:p w:rsidR="00363C89" w:rsidRPr="00B530C4" w:rsidRDefault="00363C89" w:rsidP="005113A5">
            <w:pPr>
              <w:spacing w:before="120" w:after="120"/>
              <w:ind w:firstLine="22"/>
              <w:jc w:val="center"/>
              <w:rPr>
                <w:iCs/>
                <w:sz w:val="26"/>
                <w:szCs w:val="26"/>
              </w:rPr>
            </w:pPr>
            <w:r w:rsidRPr="00B530C4">
              <w:rPr>
                <w:iCs/>
                <w:sz w:val="26"/>
                <w:szCs w:val="26"/>
              </w:rPr>
              <w:lastRenderedPageBreak/>
              <w:t>2</w:t>
            </w:r>
          </w:p>
        </w:tc>
        <w:tc>
          <w:tcPr>
            <w:tcW w:w="1835" w:type="dxa"/>
            <w:vAlign w:val="center"/>
          </w:tcPr>
          <w:p w:rsidR="00363C89" w:rsidRPr="00B530C4" w:rsidRDefault="00B530C4" w:rsidP="005113A5">
            <w:pPr>
              <w:spacing w:before="120" w:after="120"/>
              <w:jc w:val="center"/>
              <w:rPr>
                <w:iCs/>
                <w:sz w:val="26"/>
                <w:szCs w:val="26"/>
              </w:rPr>
            </w:pPr>
            <w:r w:rsidRPr="00B530C4">
              <w:rPr>
                <w:sz w:val="26"/>
                <w:szCs w:val="26"/>
              </w:rPr>
              <w:t>Phân</w:t>
            </w:r>
            <w:r w:rsidRPr="00B530C4">
              <w:rPr>
                <w:sz w:val="26"/>
                <w:szCs w:val="26"/>
                <w:lang w:val="vi-VN"/>
              </w:rPr>
              <w:t xml:space="preserve"> bón lá</w:t>
            </w:r>
          </w:p>
        </w:tc>
        <w:tc>
          <w:tcPr>
            <w:tcW w:w="6528" w:type="dxa"/>
          </w:tcPr>
          <w:p w:rsidR="00362933" w:rsidRDefault="00B530C4" w:rsidP="005113A5">
            <w:pPr>
              <w:spacing w:before="120" w:line="240" w:lineRule="atLeast"/>
              <w:ind w:right="-86"/>
              <w:rPr>
                <w:iCs/>
                <w:sz w:val="26"/>
                <w:szCs w:val="26"/>
                <w:lang w:val="es-ES"/>
              </w:rPr>
            </w:pPr>
            <w:r w:rsidRPr="00B530C4">
              <w:rPr>
                <w:iCs/>
                <w:sz w:val="26"/>
                <w:szCs w:val="26"/>
                <w:lang w:val="es-ES"/>
              </w:rPr>
              <w:t>-</w:t>
            </w:r>
            <w:r w:rsidRPr="00B530C4">
              <w:rPr>
                <w:iCs/>
                <w:sz w:val="26"/>
                <w:szCs w:val="26"/>
              </w:rPr>
              <w:t xml:space="preserve"> Thành phần</w:t>
            </w:r>
            <w:r w:rsidRPr="00B530C4">
              <w:rPr>
                <w:iCs/>
                <w:sz w:val="26"/>
                <w:szCs w:val="26"/>
                <w:lang w:val="es-ES"/>
              </w:rPr>
              <w:t xml:space="preserve">: </w:t>
            </w:r>
          </w:p>
          <w:p w:rsidR="00362933" w:rsidRDefault="00362933" w:rsidP="005113A5">
            <w:pPr>
              <w:spacing w:before="120" w:line="240" w:lineRule="atLeast"/>
              <w:ind w:right="-86"/>
              <w:rPr>
                <w:iCs/>
                <w:sz w:val="26"/>
                <w:szCs w:val="26"/>
                <w:lang w:val="es-ES"/>
              </w:rPr>
            </w:pPr>
            <w:r>
              <w:rPr>
                <w:iCs/>
                <w:sz w:val="26"/>
                <w:szCs w:val="26"/>
                <w:lang w:val="es-ES"/>
              </w:rPr>
              <w:t>+</w:t>
            </w:r>
            <w:r w:rsidRPr="00CE2584">
              <w:rPr>
                <w:iCs/>
                <w:sz w:val="26"/>
                <w:szCs w:val="26"/>
                <w:lang w:val="es-ES"/>
              </w:rPr>
              <w:t xml:space="preserve"> Nts</w:t>
            </w:r>
            <w:r>
              <w:rPr>
                <w:iCs/>
                <w:sz w:val="26"/>
                <w:szCs w:val="26"/>
                <w:lang w:val="es-ES"/>
              </w:rPr>
              <w:t xml:space="preserve"> : 15</w:t>
            </w:r>
            <w:r w:rsidR="00CE2584" w:rsidRPr="00CE2584">
              <w:rPr>
                <w:iCs/>
                <w:sz w:val="26"/>
                <w:szCs w:val="26"/>
                <w:lang w:val="es-ES"/>
              </w:rPr>
              <w:t xml:space="preserve">% </w:t>
            </w:r>
            <m:oMath>
              <m:r>
                <w:rPr>
                  <w:rFonts w:ascii="Cambria Math" w:hAnsi="Cambria Math"/>
                  <w:sz w:val="26"/>
                  <w:szCs w:val="26"/>
                  <w:lang w:val="es-ES"/>
                </w:rPr>
                <m:t>≥</m:t>
              </m:r>
            </m:oMath>
            <w:r w:rsidR="00CE2584" w:rsidRPr="00CE2584">
              <w:rPr>
                <w:iCs/>
                <w:sz w:val="26"/>
                <w:szCs w:val="26"/>
                <w:lang w:val="es-ES"/>
              </w:rPr>
              <w:t xml:space="preserve"> Nts </w:t>
            </w:r>
            <m:oMath>
              <m:r>
                <w:rPr>
                  <w:rFonts w:ascii="Cambria Math" w:hAnsi="Cambria Math"/>
                  <w:sz w:val="26"/>
                  <w:szCs w:val="26"/>
                  <w:lang w:val="es-ES"/>
                </w:rPr>
                <m:t>≥</m:t>
              </m:r>
            </m:oMath>
            <w:r>
              <w:rPr>
                <w:iCs/>
                <w:sz w:val="26"/>
                <w:szCs w:val="26"/>
                <w:lang w:val="es-ES"/>
              </w:rPr>
              <w:t>12%;</w:t>
            </w:r>
          </w:p>
          <w:p w:rsidR="00362933" w:rsidRDefault="00B530C4" w:rsidP="005113A5">
            <w:pPr>
              <w:spacing w:before="120" w:line="240" w:lineRule="atLeast"/>
              <w:ind w:right="-86"/>
              <w:rPr>
                <w:iCs/>
                <w:sz w:val="26"/>
                <w:szCs w:val="26"/>
                <w:lang w:val="es-ES"/>
              </w:rPr>
            </w:pPr>
            <w:r w:rsidRPr="00CE2584">
              <w:rPr>
                <w:iCs/>
                <w:sz w:val="26"/>
                <w:szCs w:val="26"/>
                <w:lang w:val="es-ES"/>
              </w:rPr>
              <w:t xml:space="preserve"> </w:t>
            </w:r>
            <w:r w:rsidR="00362933">
              <w:rPr>
                <w:iCs/>
                <w:sz w:val="26"/>
                <w:szCs w:val="26"/>
                <w:lang w:val="es-ES"/>
              </w:rPr>
              <w:t xml:space="preserve">+ </w:t>
            </w:r>
            <w:r w:rsidR="00362933" w:rsidRPr="00CE2584">
              <w:rPr>
                <w:iCs/>
                <w:sz w:val="26"/>
                <w:szCs w:val="26"/>
                <w:lang w:val="es-ES"/>
              </w:rPr>
              <w:t>P</w:t>
            </w:r>
            <w:r w:rsidR="00362933" w:rsidRPr="00CE2584">
              <w:rPr>
                <w:iCs/>
                <w:sz w:val="26"/>
                <w:szCs w:val="26"/>
                <w:vertAlign w:val="subscript"/>
                <w:lang w:val="es-ES"/>
              </w:rPr>
              <w:t>2</w:t>
            </w:r>
            <w:r w:rsidR="00362933" w:rsidRPr="00CE2584">
              <w:rPr>
                <w:iCs/>
                <w:sz w:val="26"/>
                <w:szCs w:val="26"/>
                <w:lang w:val="es-ES"/>
              </w:rPr>
              <w:t>O</w:t>
            </w:r>
            <w:r w:rsidR="00362933" w:rsidRPr="00CE2584">
              <w:rPr>
                <w:iCs/>
                <w:sz w:val="26"/>
                <w:szCs w:val="26"/>
                <w:vertAlign w:val="subscript"/>
                <w:lang w:val="es-ES"/>
              </w:rPr>
              <w:t>5</w:t>
            </w:r>
            <w:r w:rsidR="00362933" w:rsidRPr="00CE2584">
              <w:rPr>
                <w:iCs/>
                <w:sz w:val="26"/>
                <w:szCs w:val="26"/>
                <w:lang w:val="es-ES"/>
              </w:rPr>
              <w:t>hh</w:t>
            </w:r>
            <w:r w:rsidR="00362933">
              <w:rPr>
                <w:iCs/>
                <w:sz w:val="26"/>
                <w:szCs w:val="26"/>
                <w:lang w:val="es-ES"/>
              </w:rPr>
              <w:t xml:space="preserve"> : 11</w:t>
            </w:r>
            <w:r w:rsidR="00CE2584" w:rsidRPr="00CE2584">
              <w:rPr>
                <w:iCs/>
                <w:sz w:val="26"/>
                <w:szCs w:val="26"/>
                <w:lang w:val="es-ES"/>
              </w:rPr>
              <w:t xml:space="preserve">% </w:t>
            </w:r>
            <m:oMath>
              <m:r>
                <w:rPr>
                  <w:rFonts w:ascii="Cambria Math" w:hAnsi="Cambria Math"/>
                  <w:sz w:val="26"/>
                  <w:szCs w:val="26"/>
                  <w:lang w:val="es-ES"/>
                </w:rPr>
                <m:t>≥</m:t>
              </m:r>
            </m:oMath>
            <w:r w:rsidR="00CE2584" w:rsidRPr="00CE2584">
              <w:rPr>
                <w:iCs/>
                <w:sz w:val="26"/>
                <w:szCs w:val="26"/>
                <w:lang w:val="es-ES"/>
              </w:rPr>
              <w:t xml:space="preserve"> P</w:t>
            </w:r>
            <w:r w:rsidR="00CE2584" w:rsidRPr="00CE2584">
              <w:rPr>
                <w:iCs/>
                <w:sz w:val="26"/>
                <w:szCs w:val="26"/>
                <w:vertAlign w:val="subscript"/>
                <w:lang w:val="es-ES"/>
              </w:rPr>
              <w:t>2</w:t>
            </w:r>
            <w:r w:rsidR="00CE2584" w:rsidRPr="00CE2584">
              <w:rPr>
                <w:iCs/>
                <w:sz w:val="26"/>
                <w:szCs w:val="26"/>
                <w:lang w:val="es-ES"/>
              </w:rPr>
              <w:t>O</w:t>
            </w:r>
            <w:r w:rsidR="00CE2584" w:rsidRPr="00CE2584">
              <w:rPr>
                <w:iCs/>
                <w:sz w:val="26"/>
                <w:szCs w:val="26"/>
                <w:vertAlign w:val="subscript"/>
                <w:lang w:val="es-ES"/>
              </w:rPr>
              <w:t>5</w:t>
            </w:r>
            <w:r w:rsidR="00CE2584" w:rsidRPr="00CE2584">
              <w:rPr>
                <w:iCs/>
                <w:sz w:val="26"/>
                <w:szCs w:val="26"/>
                <w:lang w:val="es-ES"/>
              </w:rPr>
              <w:t xml:space="preserve">hh </w:t>
            </w:r>
            <m:oMath>
              <m:r>
                <w:rPr>
                  <w:rFonts w:ascii="Cambria Math" w:hAnsi="Cambria Math"/>
                  <w:sz w:val="26"/>
                  <w:szCs w:val="26"/>
                  <w:lang w:val="es-ES"/>
                </w:rPr>
                <m:t>≥</m:t>
              </m:r>
            </m:oMath>
            <w:r w:rsidR="00362933">
              <w:rPr>
                <w:iCs/>
                <w:sz w:val="26"/>
                <w:szCs w:val="26"/>
                <w:lang w:val="es-ES"/>
              </w:rPr>
              <w:t xml:space="preserve"> 8%; </w:t>
            </w:r>
          </w:p>
          <w:p w:rsidR="00362933" w:rsidRDefault="00362933" w:rsidP="005113A5">
            <w:pPr>
              <w:spacing w:before="120" w:line="240" w:lineRule="atLeast"/>
              <w:ind w:right="-86"/>
              <w:rPr>
                <w:iCs/>
                <w:sz w:val="26"/>
                <w:szCs w:val="26"/>
                <w:lang w:val="es-ES"/>
              </w:rPr>
            </w:pPr>
            <w:r>
              <w:rPr>
                <w:iCs/>
                <w:sz w:val="26"/>
                <w:szCs w:val="26"/>
                <w:lang w:val="es-ES"/>
              </w:rPr>
              <w:t xml:space="preserve">+ </w:t>
            </w:r>
            <w:r w:rsidRPr="00CE2584">
              <w:rPr>
                <w:iCs/>
                <w:sz w:val="26"/>
                <w:szCs w:val="26"/>
                <w:lang w:val="es-ES"/>
              </w:rPr>
              <w:t>K</w:t>
            </w:r>
            <w:r w:rsidRPr="00CE2584">
              <w:rPr>
                <w:iCs/>
                <w:sz w:val="26"/>
                <w:szCs w:val="26"/>
                <w:vertAlign w:val="subscript"/>
                <w:lang w:val="es-ES"/>
              </w:rPr>
              <w:t>2</w:t>
            </w:r>
            <w:r w:rsidRPr="00CE2584">
              <w:rPr>
                <w:iCs/>
                <w:sz w:val="26"/>
                <w:szCs w:val="26"/>
                <w:lang w:val="es-ES"/>
              </w:rPr>
              <w:t>Ohh</w:t>
            </w:r>
            <w:r>
              <w:rPr>
                <w:iCs/>
                <w:sz w:val="26"/>
                <w:szCs w:val="26"/>
                <w:lang w:val="es-ES"/>
              </w:rPr>
              <w:t xml:space="preserve"> : 8</w:t>
            </w:r>
            <w:r w:rsidR="00CE2584" w:rsidRPr="00CE2584">
              <w:rPr>
                <w:iCs/>
                <w:sz w:val="26"/>
                <w:szCs w:val="26"/>
                <w:lang w:val="es-ES"/>
              </w:rPr>
              <w:t>%</w:t>
            </w:r>
            <m:oMath>
              <m:r>
                <w:rPr>
                  <w:rFonts w:ascii="Cambria Math" w:hAnsi="Cambria Math"/>
                  <w:sz w:val="26"/>
                  <w:szCs w:val="26"/>
                  <w:lang w:val="es-ES"/>
                </w:rPr>
                <m:t>≥</m:t>
              </m:r>
            </m:oMath>
            <w:r w:rsidR="00CE2584" w:rsidRPr="00CE2584">
              <w:rPr>
                <w:iCs/>
                <w:sz w:val="26"/>
                <w:szCs w:val="26"/>
                <w:lang w:val="es-ES"/>
              </w:rPr>
              <w:t xml:space="preserve">  K</w:t>
            </w:r>
            <w:r w:rsidR="00CE2584" w:rsidRPr="00CE2584">
              <w:rPr>
                <w:iCs/>
                <w:sz w:val="26"/>
                <w:szCs w:val="26"/>
                <w:vertAlign w:val="subscript"/>
                <w:lang w:val="es-ES"/>
              </w:rPr>
              <w:t>2</w:t>
            </w:r>
            <w:r w:rsidR="00CE2584" w:rsidRPr="00CE2584">
              <w:rPr>
                <w:iCs/>
                <w:sz w:val="26"/>
                <w:szCs w:val="26"/>
                <w:lang w:val="es-ES"/>
              </w:rPr>
              <w:t xml:space="preserve">Ohh </w:t>
            </w:r>
            <m:oMath>
              <m:r>
                <w:rPr>
                  <w:rFonts w:ascii="Cambria Math" w:hAnsi="Cambria Math"/>
                  <w:sz w:val="26"/>
                  <w:szCs w:val="26"/>
                  <w:lang w:val="es-ES"/>
                </w:rPr>
                <m:t>≥</m:t>
              </m:r>
            </m:oMath>
            <w:r w:rsidR="00CE2584" w:rsidRPr="00CE2584">
              <w:rPr>
                <w:iCs/>
                <w:sz w:val="26"/>
                <w:szCs w:val="26"/>
                <w:lang w:val="es-ES"/>
              </w:rPr>
              <w:t xml:space="preserve"> 5%</w:t>
            </w:r>
            <w:r>
              <w:rPr>
                <w:iCs/>
                <w:sz w:val="26"/>
                <w:szCs w:val="26"/>
                <w:lang w:val="es-ES"/>
              </w:rPr>
              <w:t>;</w:t>
            </w:r>
          </w:p>
          <w:p w:rsidR="00362933" w:rsidRDefault="00B530C4" w:rsidP="005113A5">
            <w:pPr>
              <w:spacing w:before="120" w:line="240" w:lineRule="atLeast"/>
              <w:ind w:right="-86"/>
              <w:rPr>
                <w:iCs/>
                <w:sz w:val="26"/>
                <w:szCs w:val="26"/>
                <w:lang w:val="es-ES"/>
              </w:rPr>
            </w:pPr>
            <w:r w:rsidRPr="00CE2584">
              <w:rPr>
                <w:iCs/>
                <w:sz w:val="26"/>
                <w:szCs w:val="26"/>
                <w:lang w:val="es-ES"/>
              </w:rPr>
              <w:t xml:space="preserve"> </w:t>
            </w:r>
            <w:r w:rsidR="00362933">
              <w:rPr>
                <w:iCs/>
                <w:sz w:val="26"/>
                <w:szCs w:val="26"/>
                <w:lang w:val="es-ES"/>
              </w:rPr>
              <w:t xml:space="preserve">+ </w:t>
            </w:r>
            <w:r w:rsidRPr="00CE2584">
              <w:rPr>
                <w:iCs/>
                <w:sz w:val="26"/>
                <w:szCs w:val="26"/>
                <w:lang w:val="es-ES"/>
              </w:rPr>
              <w:t>Axit</w:t>
            </w:r>
            <w:r w:rsidRPr="00B530C4">
              <w:rPr>
                <w:iCs/>
                <w:sz w:val="26"/>
                <w:szCs w:val="26"/>
                <w:lang w:val="es-ES"/>
              </w:rPr>
              <w:t xml:space="preserve"> amin </w:t>
            </w:r>
            <m:oMath>
              <m:r>
                <w:rPr>
                  <w:rFonts w:ascii="Cambria Math" w:hAnsi="Cambria Math"/>
                  <w:sz w:val="26"/>
                  <w:szCs w:val="26"/>
                  <w:lang w:val="es-ES"/>
                </w:rPr>
                <m:t>≥</m:t>
              </m:r>
            </m:oMath>
            <w:r w:rsidR="00362933">
              <w:rPr>
                <w:iCs/>
                <w:sz w:val="26"/>
                <w:szCs w:val="26"/>
                <w:lang w:val="es-ES"/>
              </w:rPr>
              <w:t xml:space="preserve"> 0,9%;</w:t>
            </w:r>
          </w:p>
          <w:p w:rsidR="00362933" w:rsidRDefault="00362933" w:rsidP="005113A5">
            <w:pPr>
              <w:spacing w:before="120" w:line="240" w:lineRule="atLeast"/>
              <w:ind w:right="-86"/>
              <w:rPr>
                <w:iCs/>
                <w:sz w:val="26"/>
                <w:szCs w:val="26"/>
                <w:lang w:val="es-ES"/>
              </w:rPr>
            </w:pPr>
            <w:r>
              <w:rPr>
                <w:iCs/>
                <w:sz w:val="26"/>
                <w:szCs w:val="26"/>
                <w:lang w:val="es-ES"/>
              </w:rPr>
              <w:t xml:space="preserve">+ </w:t>
            </w:r>
            <w:r w:rsidR="00CE2584">
              <w:rPr>
                <w:iCs/>
                <w:sz w:val="26"/>
                <w:szCs w:val="26"/>
                <w:lang w:val="es-ES"/>
              </w:rPr>
              <w:t>B ≥</w:t>
            </w:r>
            <w:r w:rsidR="00B530C4" w:rsidRPr="00B530C4">
              <w:rPr>
                <w:iCs/>
                <w:sz w:val="26"/>
                <w:szCs w:val="26"/>
                <w:lang w:val="es-ES"/>
              </w:rPr>
              <w:t xml:space="preserve"> 150</w:t>
            </w:r>
            <w:r w:rsidR="00CE2584">
              <w:rPr>
                <w:iCs/>
                <w:sz w:val="26"/>
                <w:szCs w:val="26"/>
                <w:lang w:val="es-ES"/>
              </w:rPr>
              <w:t xml:space="preserve"> ppm</w:t>
            </w:r>
            <w:r>
              <w:rPr>
                <w:iCs/>
                <w:sz w:val="26"/>
                <w:szCs w:val="26"/>
                <w:lang w:val="es-ES"/>
              </w:rPr>
              <w:t>;</w:t>
            </w:r>
          </w:p>
          <w:p w:rsidR="00B530C4" w:rsidRDefault="00362933" w:rsidP="005113A5">
            <w:pPr>
              <w:spacing w:before="120" w:line="240" w:lineRule="atLeast"/>
              <w:ind w:right="-86"/>
              <w:rPr>
                <w:iCs/>
                <w:sz w:val="26"/>
                <w:szCs w:val="26"/>
                <w:lang w:val="es-ES"/>
              </w:rPr>
            </w:pPr>
            <w:r>
              <w:rPr>
                <w:iCs/>
                <w:sz w:val="26"/>
                <w:szCs w:val="26"/>
                <w:lang w:val="es-ES"/>
              </w:rPr>
              <w:t xml:space="preserve">+ </w:t>
            </w:r>
            <w:r w:rsidR="00CE2584">
              <w:rPr>
                <w:iCs/>
                <w:sz w:val="26"/>
                <w:szCs w:val="26"/>
                <w:lang w:val="es-ES"/>
              </w:rPr>
              <w:t>NAA ≥</w:t>
            </w:r>
            <w:r w:rsidR="00B530C4" w:rsidRPr="00B530C4">
              <w:rPr>
                <w:iCs/>
                <w:sz w:val="26"/>
                <w:szCs w:val="26"/>
                <w:lang w:val="es-ES"/>
              </w:rPr>
              <w:t xml:space="preserve"> 150</w:t>
            </w:r>
            <w:r w:rsidR="00CE2584">
              <w:rPr>
                <w:iCs/>
                <w:sz w:val="26"/>
                <w:szCs w:val="26"/>
                <w:lang w:val="es-ES"/>
              </w:rPr>
              <w:t xml:space="preserve"> </w:t>
            </w:r>
            <w:r w:rsidR="00B530C4" w:rsidRPr="00B530C4">
              <w:rPr>
                <w:iCs/>
                <w:sz w:val="26"/>
                <w:szCs w:val="26"/>
                <w:lang w:val="es-ES"/>
              </w:rPr>
              <w:t xml:space="preserve">ppm. </w:t>
            </w:r>
          </w:p>
          <w:p w:rsidR="00B530C4" w:rsidRPr="00B530C4" w:rsidRDefault="00B530C4" w:rsidP="005113A5">
            <w:pPr>
              <w:spacing w:before="120" w:line="240" w:lineRule="atLeast"/>
              <w:ind w:right="-86"/>
              <w:rPr>
                <w:iCs/>
                <w:sz w:val="26"/>
                <w:szCs w:val="26"/>
                <w:lang w:val="es-ES"/>
              </w:rPr>
            </w:pPr>
            <w:r w:rsidRPr="00B530C4">
              <w:rPr>
                <w:iCs/>
                <w:sz w:val="26"/>
                <w:szCs w:val="26"/>
                <w:lang w:val="es-ES"/>
              </w:rPr>
              <w:t xml:space="preserve">- </w:t>
            </w:r>
            <w:r w:rsidR="00362933">
              <w:rPr>
                <w:iCs/>
                <w:sz w:val="26"/>
                <w:szCs w:val="26"/>
                <w:lang w:val="es-ES"/>
              </w:rPr>
              <w:t>Thuốc</w:t>
            </w:r>
            <w:r w:rsidR="00CE2584">
              <w:rPr>
                <w:iCs/>
                <w:sz w:val="26"/>
                <w:szCs w:val="26"/>
                <w:lang w:val="es-ES"/>
              </w:rPr>
              <w:t xml:space="preserve"> d</w:t>
            </w:r>
            <w:r w:rsidRPr="00B530C4">
              <w:rPr>
                <w:iCs/>
                <w:sz w:val="26"/>
                <w:szCs w:val="26"/>
                <w:lang w:val="es-ES"/>
              </w:rPr>
              <w:t>ạng dung dịch, không lẫn tạp chất</w:t>
            </w:r>
            <w:r w:rsidRPr="00B530C4">
              <w:rPr>
                <w:iCs/>
                <w:sz w:val="26"/>
                <w:szCs w:val="26"/>
                <w:lang w:val="vi-VN"/>
              </w:rPr>
              <w:t xml:space="preserve">, </w:t>
            </w:r>
            <w:r w:rsidRPr="00B530C4">
              <w:rPr>
                <w:iCs/>
                <w:sz w:val="26"/>
                <w:szCs w:val="26"/>
                <w:lang w:val="es-ES"/>
              </w:rPr>
              <w:t>không kết tủa. Đảm bảo đúng theo tiêu chuẩn đã đăng ký, lưu hành trên thị trường</w:t>
            </w:r>
            <w:r w:rsidR="00362933">
              <w:rPr>
                <w:iCs/>
                <w:sz w:val="26"/>
                <w:szCs w:val="26"/>
                <w:lang w:val="es-ES"/>
              </w:rPr>
              <w:t>.</w:t>
            </w:r>
          </w:p>
          <w:p w:rsidR="00B530C4" w:rsidRPr="00B530C4" w:rsidRDefault="00B530C4" w:rsidP="005113A5">
            <w:pPr>
              <w:spacing w:before="120"/>
              <w:rPr>
                <w:iCs/>
                <w:sz w:val="26"/>
                <w:szCs w:val="26"/>
                <w:lang w:val="vi-VN"/>
              </w:rPr>
            </w:pPr>
            <w:r w:rsidRPr="00B530C4">
              <w:rPr>
                <w:iCs/>
                <w:sz w:val="26"/>
                <w:szCs w:val="26"/>
                <w:lang w:val="es-ES"/>
              </w:rPr>
              <w:t>- Quy cách</w:t>
            </w:r>
            <w:r w:rsidRPr="00B530C4">
              <w:rPr>
                <w:iCs/>
                <w:sz w:val="26"/>
                <w:szCs w:val="26"/>
                <w:lang w:val="vi-VN"/>
              </w:rPr>
              <w:t>:</w:t>
            </w:r>
            <w:r w:rsidRPr="00B530C4">
              <w:rPr>
                <w:iCs/>
                <w:sz w:val="26"/>
                <w:szCs w:val="26"/>
                <w:lang w:val="es-ES"/>
              </w:rPr>
              <w:t xml:space="preserve"> đóng chai 1 lít/chai</w:t>
            </w:r>
            <w:r w:rsidRPr="00B530C4">
              <w:rPr>
                <w:iCs/>
                <w:sz w:val="26"/>
                <w:szCs w:val="26"/>
              </w:rPr>
              <w:t xml:space="preserve">, </w:t>
            </w:r>
            <w:r w:rsidR="00B301A6">
              <w:rPr>
                <w:sz w:val="26"/>
                <w:szCs w:val="26"/>
              </w:rPr>
              <w:t>20 lít/thùng</w:t>
            </w:r>
            <w:r w:rsidR="00CE2584" w:rsidRPr="00B530C4">
              <w:rPr>
                <w:sz w:val="26"/>
                <w:szCs w:val="26"/>
              </w:rPr>
              <w:t>, bao bì được in đầy đủ các thông tin chi tiết về ngày sản xuất</w:t>
            </w:r>
            <w:r w:rsidR="00CE2584" w:rsidRPr="00B530C4">
              <w:rPr>
                <w:sz w:val="26"/>
                <w:szCs w:val="26"/>
                <w:lang w:val="vi-VN"/>
              </w:rPr>
              <w:t xml:space="preserve"> hướng dẫn sử dụng, xuất xứ.</w:t>
            </w:r>
          </w:p>
          <w:p w:rsidR="00363C89" w:rsidRPr="00362933" w:rsidRDefault="00B530C4" w:rsidP="00362933">
            <w:pPr>
              <w:spacing w:before="120"/>
              <w:rPr>
                <w:b/>
                <w:sz w:val="26"/>
                <w:szCs w:val="26"/>
              </w:rPr>
            </w:pPr>
            <w:r w:rsidRPr="00B530C4">
              <w:rPr>
                <w:sz w:val="26"/>
                <w:szCs w:val="26"/>
              </w:rPr>
              <w:t xml:space="preserve">- Hạn sử dụng: &gt; </w:t>
            </w:r>
            <w:r w:rsidR="00362933">
              <w:rPr>
                <w:sz w:val="26"/>
                <w:szCs w:val="26"/>
              </w:rPr>
              <w:t>18 tháng</w:t>
            </w:r>
            <w:r w:rsidRPr="00B530C4">
              <w:rPr>
                <w:sz w:val="26"/>
                <w:szCs w:val="26"/>
              </w:rPr>
              <w:t xml:space="preserve"> kể từ ngày giao hàng</w:t>
            </w:r>
            <w:r w:rsidRPr="00B530C4">
              <w:rPr>
                <w:sz w:val="26"/>
                <w:szCs w:val="26"/>
              </w:rPr>
              <w:tab/>
            </w:r>
          </w:p>
        </w:tc>
      </w:tr>
      <w:tr w:rsidR="00B530C4" w:rsidRPr="00B530C4" w:rsidTr="005113A5">
        <w:trPr>
          <w:trHeight w:val="279"/>
        </w:trPr>
        <w:tc>
          <w:tcPr>
            <w:tcW w:w="1101" w:type="dxa"/>
            <w:vAlign w:val="center"/>
          </w:tcPr>
          <w:p w:rsidR="00B530C4" w:rsidRPr="00B530C4" w:rsidRDefault="00B530C4" w:rsidP="005113A5">
            <w:pPr>
              <w:spacing w:before="120" w:after="120"/>
              <w:ind w:firstLine="22"/>
              <w:jc w:val="center"/>
              <w:rPr>
                <w:iCs/>
                <w:sz w:val="26"/>
                <w:szCs w:val="26"/>
              </w:rPr>
            </w:pPr>
            <w:r w:rsidRPr="00B530C4">
              <w:rPr>
                <w:iCs/>
                <w:sz w:val="26"/>
                <w:szCs w:val="26"/>
              </w:rPr>
              <w:t>3</w:t>
            </w:r>
          </w:p>
        </w:tc>
        <w:tc>
          <w:tcPr>
            <w:tcW w:w="1835" w:type="dxa"/>
            <w:vAlign w:val="center"/>
          </w:tcPr>
          <w:p w:rsidR="00B530C4" w:rsidRPr="00B530C4" w:rsidRDefault="00B530C4" w:rsidP="005113A5">
            <w:pPr>
              <w:spacing w:before="120" w:after="120"/>
              <w:jc w:val="center"/>
              <w:rPr>
                <w:sz w:val="26"/>
                <w:szCs w:val="26"/>
              </w:rPr>
            </w:pPr>
            <w:r w:rsidRPr="00B530C4">
              <w:rPr>
                <w:sz w:val="26"/>
                <w:szCs w:val="26"/>
              </w:rPr>
              <w:t>Chất bám dính</w:t>
            </w:r>
          </w:p>
        </w:tc>
        <w:tc>
          <w:tcPr>
            <w:tcW w:w="6528" w:type="dxa"/>
          </w:tcPr>
          <w:p w:rsidR="00B301A6" w:rsidRDefault="00B530C4" w:rsidP="005113A5">
            <w:pPr>
              <w:spacing w:before="120"/>
              <w:rPr>
                <w:sz w:val="26"/>
                <w:szCs w:val="26"/>
                <w:lang w:val="en-NZ"/>
              </w:rPr>
            </w:pPr>
            <w:r w:rsidRPr="00B530C4">
              <w:rPr>
                <w:sz w:val="26"/>
                <w:szCs w:val="26"/>
                <w:lang w:val="sv-SE"/>
              </w:rPr>
              <w:t>- Thành</w:t>
            </w:r>
            <w:r w:rsidRPr="00B530C4">
              <w:rPr>
                <w:sz w:val="26"/>
                <w:szCs w:val="26"/>
                <w:lang w:val="vi-VN"/>
              </w:rPr>
              <w:t xml:space="preserve"> phần: </w:t>
            </w:r>
            <w:r w:rsidRPr="00B530C4">
              <w:rPr>
                <w:sz w:val="26"/>
                <w:szCs w:val="26"/>
                <w:lang w:val="sv-SE"/>
              </w:rPr>
              <w:t>Linear</w:t>
            </w:r>
            <w:r w:rsidR="00CE2584">
              <w:rPr>
                <w:sz w:val="26"/>
                <w:szCs w:val="26"/>
                <w:lang w:val="sv-SE"/>
              </w:rPr>
              <w:t xml:space="preserve"> </w:t>
            </w:r>
            <w:r w:rsidRPr="00B530C4">
              <w:rPr>
                <w:sz w:val="26"/>
                <w:szCs w:val="26"/>
                <w:lang w:val="sv-SE"/>
              </w:rPr>
              <w:t>Alkyl</w:t>
            </w:r>
            <w:r w:rsidRPr="00B530C4">
              <w:rPr>
                <w:sz w:val="26"/>
                <w:szCs w:val="26"/>
                <w:lang w:val="vi-VN"/>
              </w:rPr>
              <w:t xml:space="preserve"> benzene Sulphonic acid </w:t>
            </w:r>
            <w:r w:rsidR="00CE2584">
              <w:rPr>
                <w:sz w:val="26"/>
                <w:szCs w:val="26"/>
              </w:rPr>
              <w:t>1-5</w:t>
            </w:r>
            <w:r w:rsidRPr="00B530C4">
              <w:rPr>
                <w:sz w:val="26"/>
                <w:szCs w:val="26"/>
                <w:lang w:val="sv-SE"/>
              </w:rPr>
              <w:t>%</w:t>
            </w:r>
            <w:r w:rsidRPr="00B530C4">
              <w:rPr>
                <w:sz w:val="26"/>
                <w:szCs w:val="26"/>
                <w:lang w:val="vi-VN"/>
              </w:rPr>
              <w:t xml:space="preserve"> </w:t>
            </w:r>
          </w:p>
          <w:p w:rsidR="00B530C4" w:rsidRPr="00B301A6" w:rsidRDefault="00B301A6" w:rsidP="005113A5">
            <w:pPr>
              <w:spacing w:before="120"/>
              <w:rPr>
                <w:sz w:val="26"/>
                <w:szCs w:val="26"/>
                <w:lang w:val="en-NZ"/>
              </w:rPr>
            </w:pPr>
            <w:r>
              <w:rPr>
                <w:sz w:val="26"/>
                <w:szCs w:val="26"/>
                <w:lang w:val="en-NZ"/>
              </w:rPr>
              <w:t>+</w:t>
            </w:r>
            <w:r w:rsidR="00B530C4" w:rsidRPr="00B530C4">
              <w:rPr>
                <w:sz w:val="26"/>
                <w:szCs w:val="26"/>
                <w:lang w:val="vi-VN"/>
              </w:rPr>
              <w:t xml:space="preserve"> </w:t>
            </w:r>
            <w:r w:rsidR="00CE2584">
              <w:rPr>
                <w:sz w:val="26"/>
                <w:szCs w:val="26"/>
              </w:rPr>
              <w:t>Poly vinyl Alcohol dạng vết không định lượng</w:t>
            </w:r>
            <w:r>
              <w:rPr>
                <w:sz w:val="26"/>
                <w:szCs w:val="26"/>
              </w:rPr>
              <w:t>.</w:t>
            </w:r>
          </w:p>
          <w:p w:rsidR="00B530C4" w:rsidRDefault="00B530C4" w:rsidP="005113A5">
            <w:pPr>
              <w:spacing w:before="120"/>
              <w:rPr>
                <w:sz w:val="26"/>
                <w:szCs w:val="26"/>
                <w:lang w:val="sv-SE"/>
              </w:rPr>
            </w:pPr>
            <w:r w:rsidRPr="00B530C4">
              <w:rPr>
                <w:sz w:val="26"/>
                <w:szCs w:val="26"/>
                <w:lang w:val="sv-SE"/>
              </w:rPr>
              <w:t>-</w:t>
            </w:r>
            <w:r w:rsidRPr="00B530C4">
              <w:rPr>
                <w:sz w:val="26"/>
                <w:szCs w:val="26"/>
                <w:lang w:val="vi-VN"/>
              </w:rPr>
              <w:t xml:space="preserve"> </w:t>
            </w:r>
            <w:r w:rsidR="005113A5">
              <w:rPr>
                <w:sz w:val="26"/>
                <w:szCs w:val="26"/>
                <w:lang w:val="sv-SE"/>
              </w:rPr>
              <w:t>Sản phẩm d</w:t>
            </w:r>
            <w:r w:rsidR="005113A5" w:rsidRPr="00B530C4">
              <w:rPr>
                <w:sz w:val="26"/>
                <w:szCs w:val="26"/>
                <w:lang w:val="sv-SE"/>
              </w:rPr>
              <w:t xml:space="preserve">ạng </w:t>
            </w:r>
            <w:r w:rsidRPr="00B530C4">
              <w:rPr>
                <w:sz w:val="26"/>
                <w:szCs w:val="26"/>
                <w:lang w:val="vi-VN"/>
              </w:rPr>
              <w:t>dung dịch, không bị kết tủa, không lẫn tạp chất, đảm bảo đúng tiêu chuẩn đã đăng ký, lưu hành trên thị trường</w:t>
            </w:r>
            <w:r w:rsidRPr="00B530C4">
              <w:rPr>
                <w:sz w:val="26"/>
                <w:szCs w:val="26"/>
                <w:lang w:val="sv-SE"/>
              </w:rPr>
              <w:t>.</w:t>
            </w:r>
          </w:p>
          <w:p w:rsidR="00B530C4" w:rsidRPr="00B530C4" w:rsidRDefault="00B530C4" w:rsidP="005113A5">
            <w:pPr>
              <w:spacing w:before="120"/>
              <w:rPr>
                <w:sz w:val="26"/>
                <w:szCs w:val="26"/>
                <w:lang w:val="sv-SE"/>
              </w:rPr>
            </w:pPr>
            <w:r w:rsidRPr="00B530C4">
              <w:rPr>
                <w:sz w:val="26"/>
                <w:szCs w:val="26"/>
                <w:lang w:val="sv-SE"/>
              </w:rPr>
              <w:t xml:space="preserve">- </w:t>
            </w:r>
            <w:r w:rsidR="005113A5">
              <w:rPr>
                <w:sz w:val="26"/>
                <w:szCs w:val="26"/>
                <w:lang w:val="sv-SE"/>
              </w:rPr>
              <w:t>Quy cách:</w:t>
            </w:r>
            <w:r w:rsidRPr="00B530C4">
              <w:rPr>
                <w:sz w:val="26"/>
                <w:szCs w:val="26"/>
                <w:lang w:val="sv-SE"/>
              </w:rPr>
              <w:t xml:space="preserve"> đóng can 5 lít, </w:t>
            </w:r>
            <w:r w:rsidR="00B301A6">
              <w:rPr>
                <w:sz w:val="26"/>
                <w:szCs w:val="26"/>
              </w:rPr>
              <w:t>20 lít/thùng</w:t>
            </w:r>
            <w:r w:rsidR="005113A5" w:rsidRPr="00B530C4">
              <w:rPr>
                <w:sz w:val="26"/>
                <w:szCs w:val="26"/>
              </w:rPr>
              <w:t>, bao bì được in đầy đủ các thông tin chi tiết về ngày sản xuất</w:t>
            </w:r>
            <w:r w:rsidR="005113A5" w:rsidRPr="00B530C4">
              <w:rPr>
                <w:sz w:val="26"/>
                <w:szCs w:val="26"/>
                <w:lang w:val="vi-VN"/>
              </w:rPr>
              <w:t xml:space="preserve"> hướng dẫn sử dụng, xuất xứ.</w:t>
            </w:r>
          </w:p>
          <w:p w:rsidR="00B530C4" w:rsidRPr="00B301A6" w:rsidRDefault="00B530C4" w:rsidP="00B301A6">
            <w:pPr>
              <w:spacing w:before="120"/>
              <w:rPr>
                <w:b/>
                <w:sz w:val="26"/>
                <w:szCs w:val="26"/>
              </w:rPr>
            </w:pPr>
            <w:r w:rsidRPr="00B530C4">
              <w:rPr>
                <w:sz w:val="26"/>
                <w:szCs w:val="26"/>
              </w:rPr>
              <w:t xml:space="preserve">- Hạn sử dụng: &gt; </w:t>
            </w:r>
            <w:r w:rsidR="00B301A6">
              <w:rPr>
                <w:sz w:val="26"/>
                <w:szCs w:val="26"/>
              </w:rPr>
              <w:t xml:space="preserve">18 tháng </w:t>
            </w:r>
            <w:r w:rsidRPr="00B530C4">
              <w:rPr>
                <w:sz w:val="26"/>
                <w:szCs w:val="26"/>
              </w:rPr>
              <w:t>kể từ ngày giao hàng</w:t>
            </w:r>
          </w:p>
        </w:tc>
      </w:tr>
    </w:tbl>
    <w:p w:rsidR="00F249BD" w:rsidRPr="00CE63CB" w:rsidRDefault="00F249BD" w:rsidP="00F249BD">
      <w:pPr>
        <w:spacing w:before="120" w:after="120"/>
        <w:ind w:firstLine="709"/>
        <w:jc w:val="both"/>
        <w:rPr>
          <w:b/>
          <w:sz w:val="26"/>
          <w:szCs w:val="26"/>
          <w:lang w:val="nl-NL"/>
        </w:rPr>
      </w:pPr>
      <w:r w:rsidRPr="00CE63CB">
        <w:rPr>
          <w:b/>
          <w:sz w:val="26"/>
          <w:szCs w:val="26"/>
          <w:lang w:val="nl-NL"/>
        </w:rPr>
        <w:t>1.3. Các yêu cầu khác</w:t>
      </w:r>
    </w:p>
    <w:p w:rsidR="009B205E" w:rsidRDefault="00F249BD" w:rsidP="009B205E">
      <w:pPr>
        <w:spacing w:before="120" w:after="120"/>
        <w:jc w:val="both"/>
        <w:rPr>
          <w:sz w:val="26"/>
          <w:szCs w:val="26"/>
          <w:lang w:val="vi-VN"/>
        </w:rPr>
      </w:pPr>
      <w:r w:rsidRPr="00CE63CB">
        <w:rPr>
          <w:sz w:val="26"/>
          <w:szCs w:val="26"/>
        </w:rPr>
        <w:tab/>
      </w:r>
      <w:r w:rsidR="009B205E" w:rsidRPr="00841CA6">
        <w:rPr>
          <w:sz w:val="26"/>
          <w:szCs w:val="26"/>
        </w:rPr>
        <w:t xml:space="preserve">- Hàng hóa phải </w:t>
      </w:r>
      <w:r w:rsidR="00602B22" w:rsidRPr="00841CA6">
        <w:rPr>
          <w:sz w:val="26"/>
          <w:szCs w:val="26"/>
        </w:rPr>
        <w:t xml:space="preserve">là sản phẩm </w:t>
      </w:r>
      <w:r w:rsidR="00545231">
        <w:rPr>
          <w:sz w:val="26"/>
          <w:szCs w:val="26"/>
        </w:rPr>
        <w:t>được phép lưu hành tại Việt Nam;</w:t>
      </w:r>
    </w:p>
    <w:p w:rsidR="009B205E" w:rsidRPr="009D2960" w:rsidRDefault="00545231" w:rsidP="009B205E">
      <w:pPr>
        <w:spacing w:before="120" w:after="120"/>
        <w:ind w:firstLine="720"/>
        <w:jc w:val="both"/>
        <w:rPr>
          <w:sz w:val="26"/>
          <w:szCs w:val="26"/>
        </w:rPr>
      </w:pPr>
      <w:r w:rsidRPr="00577AD4">
        <w:rPr>
          <w:sz w:val="26"/>
          <w:szCs w:val="26"/>
          <w:lang w:val="nl-NL"/>
        </w:rPr>
        <w:t>- Cam kết về thu hồi hàng hóa không đủ tiêu chuẩn chất lượng.</w:t>
      </w:r>
    </w:p>
    <w:p w:rsidR="00F249BD" w:rsidRPr="00CE63CB" w:rsidRDefault="00F249BD" w:rsidP="009B205E">
      <w:pPr>
        <w:autoSpaceDE w:val="0"/>
        <w:autoSpaceDN w:val="0"/>
        <w:adjustRightInd w:val="0"/>
        <w:spacing w:before="120"/>
        <w:ind w:firstLine="720"/>
        <w:jc w:val="both"/>
        <w:rPr>
          <w:sz w:val="26"/>
          <w:szCs w:val="26"/>
        </w:rPr>
      </w:pPr>
      <w:r w:rsidRPr="00CE63CB">
        <w:rPr>
          <w:sz w:val="26"/>
          <w:szCs w:val="26"/>
        </w:rPr>
        <w:t xml:space="preserve">- Vận chuyển và bốc xếp: chi </w:t>
      </w:r>
      <w:r w:rsidRPr="00CE63CB">
        <w:rPr>
          <w:sz w:val="26"/>
          <w:szCs w:val="26"/>
          <w:lang w:val="vi-VN"/>
        </w:rPr>
        <w:t>phí vận chuyển</w:t>
      </w:r>
      <w:r w:rsidR="00545231">
        <w:rPr>
          <w:sz w:val="26"/>
          <w:szCs w:val="26"/>
        </w:rPr>
        <w:t xml:space="preserve"> </w:t>
      </w:r>
      <w:r w:rsidRPr="00CE63CB">
        <w:rPr>
          <w:sz w:val="26"/>
          <w:szCs w:val="26"/>
        </w:rPr>
        <w:t xml:space="preserve">đến </w:t>
      </w:r>
      <w:r w:rsidRPr="00CE63CB">
        <w:rPr>
          <w:sz w:val="26"/>
          <w:szCs w:val="26"/>
          <w:lang w:val="vi-VN"/>
        </w:rPr>
        <w:t xml:space="preserve">kho </w:t>
      </w:r>
      <w:r w:rsidRPr="00CE63CB">
        <w:rPr>
          <w:sz w:val="26"/>
          <w:szCs w:val="26"/>
        </w:rPr>
        <w:t xml:space="preserve">Công ty TNHH MTV cao su </w:t>
      </w:r>
      <w:r w:rsidR="00545231">
        <w:rPr>
          <w:sz w:val="26"/>
          <w:szCs w:val="26"/>
        </w:rPr>
        <w:t>ChưMomRay do Bên nhà thầu chịu, bốc xếp mỗi bên chịu 1 đầu.</w:t>
      </w:r>
    </w:p>
    <w:p w:rsidR="00F249BD" w:rsidRPr="00545231" w:rsidRDefault="00F249BD" w:rsidP="00545231">
      <w:pPr>
        <w:autoSpaceDE w:val="0"/>
        <w:autoSpaceDN w:val="0"/>
        <w:adjustRightInd w:val="0"/>
        <w:spacing w:before="120"/>
        <w:jc w:val="both"/>
        <w:rPr>
          <w:b/>
          <w:sz w:val="26"/>
          <w:szCs w:val="26"/>
          <w:lang w:val="nl-NL"/>
        </w:rPr>
      </w:pPr>
      <w:r w:rsidRPr="00CE63CB">
        <w:rPr>
          <w:sz w:val="26"/>
          <w:szCs w:val="26"/>
        </w:rPr>
        <w:tab/>
      </w:r>
      <w:r w:rsidRPr="009B205E">
        <w:rPr>
          <w:b/>
          <w:sz w:val="26"/>
          <w:szCs w:val="26"/>
          <w:lang w:val="nl-NL"/>
        </w:rPr>
        <w:t>2. Bản vẽ</w:t>
      </w:r>
      <w:r w:rsidR="00545231">
        <w:rPr>
          <w:b/>
          <w:sz w:val="26"/>
          <w:szCs w:val="26"/>
          <w:lang w:val="nl-NL"/>
        </w:rPr>
        <w:t xml:space="preserve">: </w:t>
      </w:r>
      <w:r w:rsidR="00545231" w:rsidRPr="00545231">
        <w:rPr>
          <w:spacing w:val="-4"/>
          <w:sz w:val="26"/>
          <w:szCs w:val="26"/>
          <w:lang w:val="nl-NL"/>
        </w:rPr>
        <w:t>Không</w:t>
      </w:r>
      <w:r w:rsidR="00545231" w:rsidRPr="00545231">
        <w:rPr>
          <w:sz w:val="26"/>
          <w:szCs w:val="26"/>
          <w:lang w:val="nl-NL"/>
        </w:rPr>
        <w:t xml:space="preserve"> yêu cầu</w:t>
      </w:r>
    </w:p>
    <w:p w:rsidR="00F249BD" w:rsidRPr="00CE63CB" w:rsidRDefault="00F249BD" w:rsidP="00F249BD">
      <w:pPr>
        <w:pStyle w:val="SectionVIHeader"/>
        <w:widowControl w:val="0"/>
        <w:spacing w:after="120"/>
        <w:ind w:firstLine="709"/>
        <w:jc w:val="both"/>
        <w:rPr>
          <w:sz w:val="26"/>
          <w:szCs w:val="26"/>
        </w:rPr>
      </w:pPr>
      <w:r w:rsidRPr="00CE63CB">
        <w:rPr>
          <w:sz w:val="26"/>
          <w:szCs w:val="26"/>
        </w:rPr>
        <w:t>3. Kiểm tra và thử nghiệm</w:t>
      </w:r>
    </w:p>
    <w:p w:rsidR="00F249BD" w:rsidRPr="00215B14" w:rsidRDefault="00545231" w:rsidP="00215B14">
      <w:pPr>
        <w:spacing w:before="120" w:after="120"/>
        <w:ind w:firstLine="709"/>
        <w:jc w:val="both"/>
        <w:rPr>
          <w:sz w:val="26"/>
          <w:szCs w:val="26"/>
        </w:rPr>
      </w:pPr>
      <w:r>
        <w:rPr>
          <w:sz w:val="26"/>
          <w:szCs w:val="26"/>
        </w:rPr>
        <w:t xml:space="preserve">Nếu nhận thấy cần thiết bên Chủ đầu tư sẽ tiến hành lấy </w:t>
      </w:r>
      <w:r w:rsidR="00F249BD" w:rsidRPr="00CE63CB">
        <w:rPr>
          <w:bCs/>
          <w:sz w:val="26"/>
          <w:szCs w:val="26"/>
        </w:rPr>
        <w:t xml:space="preserve">mẫu </w:t>
      </w:r>
      <w:proofErr w:type="gramStart"/>
      <w:r w:rsidR="00F249BD" w:rsidRPr="00CE63CB">
        <w:rPr>
          <w:bCs/>
          <w:sz w:val="26"/>
          <w:szCs w:val="26"/>
        </w:rPr>
        <w:t>theo</w:t>
      </w:r>
      <w:proofErr w:type="gramEnd"/>
      <w:r w:rsidR="00F249BD" w:rsidRPr="00CE63CB">
        <w:rPr>
          <w:bCs/>
          <w:sz w:val="26"/>
          <w:szCs w:val="26"/>
        </w:rPr>
        <w:t xml:space="preserve"> quy định tại TCVN 12017:2017 và gửi mẫu đi kiểm nghiệm tại cơ quan </w:t>
      </w:r>
      <w:r w:rsidR="004223DD">
        <w:rPr>
          <w:bCs/>
          <w:sz w:val="26"/>
          <w:szCs w:val="26"/>
        </w:rPr>
        <w:t xml:space="preserve">có </w:t>
      </w:r>
      <w:r w:rsidR="00F249BD" w:rsidRPr="00CE63CB">
        <w:rPr>
          <w:bCs/>
          <w:sz w:val="26"/>
          <w:szCs w:val="26"/>
        </w:rPr>
        <w:t>chức năng</w:t>
      </w:r>
      <w:r w:rsidR="004223DD">
        <w:rPr>
          <w:bCs/>
          <w:sz w:val="26"/>
          <w:szCs w:val="26"/>
        </w:rPr>
        <w:t xml:space="preserve"> được Nhà nước cấp phép</w:t>
      </w:r>
      <w:r w:rsidR="00F249BD" w:rsidRPr="00CE63CB">
        <w:rPr>
          <w:bCs/>
          <w:sz w:val="26"/>
          <w:szCs w:val="26"/>
        </w:rPr>
        <w:t xml:space="preserve"> (</w:t>
      </w:r>
      <w:r w:rsidR="004223DD">
        <w:rPr>
          <w:bCs/>
          <w:sz w:val="26"/>
          <w:szCs w:val="26"/>
        </w:rPr>
        <w:t>C</w:t>
      </w:r>
      <w:r w:rsidR="00F249BD" w:rsidRPr="00CE63CB">
        <w:rPr>
          <w:bCs/>
          <w:sz w:val="26"/>
          <w:szCs w:val="26"/>
        </w:rPr>
        <w:t>hi phí kiểm nghiệm Bên nhà thầu chịu</w:t>
      </w:r>
      <w:r w:rsidR="004223DD">
        <w:rPr>
          <w:bCs/>
          <w:sz w:val="26"/>
          <w:szCs w:val="26"/>
        </w:rPr>
        <w:t>)</w:t>
      </w:r>
      <w:r w:rsidR="00215B14">
        <w:rPr>
          <w:bCs/>
          <w:sz w:val="26"/>
          <w:szCs w:val="26"/>
        </w:rPr>
        <w:t xml:space="preserve">. </w:t>
      </w:r>
      <w:r w:rsidR="00F249BD" w:rsidRPr="00CE63CB">
        <w:rPr>
          <w:bCs/>
          <w:sz w:val="26"/>
          <w:szCs w:val="26"/>
        </w:rPr>
        <w:t xml:space="preserve">Đánh giá chất lượng hàng hóa dựa </w:t>
      </w:r>
      <w:proofErr w:type="gramStart"/>
      <w:r w:rsidR="00F249BD" w:rsidRPr="00CE63CB">
        <w:rPr>
          <w:bCs/>
          <w:sz w:val="26"/>
          <w:szCs w:val="26"/>
        </w:rPr>
        <w:t>theo</w:t>
      </w:r>
      <w:proofErr w:type="gramEnd"/>
      <w:r w:rsidR="00F249BD" w:rsidRPr="00CE63CB">
        <w:rPr>
          <w:bCs/>
          <w:sz w:val="26"/>
          <w:szCs w:val="26"/>
        </w:rPr>
        <w:t xml:space="preserve"> quy định của tiêu chuẩn Nhà nước quy định tại QCVN 01-188:2018/BNNPTNT</w:t>
      </w:r>
      <w:r w:rsidR="00215B14">
        <w:rPr>
          <w:bCs/>
          <w:sz w:val="26"/>
          <w:szCs w:val="26"/>
        </w:rPr>
        <w:t>.</w:t>
      </w:r>
    </w:p>
    <w:p w:rsidR="00F249BD" w:rsidRPr="00CE63CB" w:rsidRDefault="00F249BD" w:rsidP="00F249BD">
      <w:pPr>
        <w:spacing w:before="120"/>
        <w:jc w:val="both"/>
        <w:rPr>
          <w:bCs/>
          <w:sz w:val="26"/>
          <w:szCs w:val="26"/>
        </w:rPr>
      </w:pPr>
      <w:r w:rsidRPr="00CE63CB">
        <w:rPr>
          <w:bCs/>
          <w:sz w:val="26"/>
          <w:szCs w:val="26"/>
        </w:rPr>
        <w:tab/>
        <w:t>- Nếu kết quả kiểm định hàng hóa không đạt chất lượng thì xử lý như sau:</w:t>
      </w:r>
    </w:p>
    <w:p w:rsidR="00F249BD" w:rsidRPr="00CE63CB" w:rsidRDefault="00F249BD" w:rsidP="00F249BD">
      <w:pPr>
        <w:spacing w:before="120"/>
        <w:jc w:val="both"/>
        <w:rPr>
          <w:bCs/>
          <w:sz w:val="26"/>
          <w:szCs w:val="26"/>
        </w:rPr>
      </w:pPr>
      <w:r w:rsidRPr="00CE63CB">
        <w:rPr>
          <w:bCs/>
          <w:sz w:val="26"/>
          <w:szCs w:val="26"/>
        </w:rPr>
        <w:tab/>
        <w:t xml:space="preserve">+ Đối với lượng hàng hóa đã sử dụng: Bên </w:t>
      </w:r>
      <w:r w:rsidR="00215B14">
        <w:rPr>
          <w:bCs/>
          <w:sz w:val="26"/>
          <w:szCs w:val="26"/>
        </w:rPr>
        <w:t xml:space="preserve">Chủ đầu tư không có trách nhiệm hoàn trả tiền hàng cho bên nhà thầu, đồng thời nhà thầu phải bồi </w:t>
      </w:r>
      <w:proofErr w:type="gramStart"/>
      <w:r w:rsidR="00215B14">
        <w:rPr>
          <w:bCs/>
          <w:sz w:val="26"/>
          <w:szCs w:val="26"/>
        </w:rPr>
        <w:t>thường  tổn</w:t>
      </w:r>
      <w:proofErr w:type="gramEnd"/>
      <w:r w:rsidR="00215B14">
        <w:rPr>
          <w:bCs/>
          <w:sz w:val="26"/>
          <w:szCs w:val="26"/>
        </w:rPr>
        <w:t xml:space="preserve"> thất cho bên chủ </w:t>
      </w:r>
      <w:r w:rsidR="00215B14">
        <w:rPr>
          <w:bCs/>
          <w:sz w:val="26"/>
          <w:szCs w:val="26"/>
        </w:rPr>
        <w:lastRenderedPageBreak/>
        <w:t xml:space="preserve">đầu tư bao gồm: chi phí mua thuốc, chi phí thuê máy phun thuốc, nhân công,…. </w:t>
      </w:r>
      <w:proofErr w:type="gramStart"/>
      <w:r w:rsidR="00215B14">
        <w:rPr>
          <w:bCs/>
          <w:sz w:val="26"/>
          <w:szCs w:val="26"/>
        </w:rPr>
        <w:t>Bên chủ đầu tư tự quyết định có tiếp tục mua thuốc để phun lại của bên nhà thầu hay không.</w:t>
      </w:r>
      <w:proofErr w:type="gramEnd"/>
    </w:p>
    <w:p w:rsidR="00F249BD" w:rsidRPr="00CE63CB" w:rsidRDefault="00F249BD" w:rsidP="00F249BD">
      <w:pPr>
        <w:spacing w:before="120" w:after="120"/>
        <w:jc w:val="both"/>
        <w:rPr>
          <w:bCs/>
          <w:sz w:val="26"/>
          <w:szCs w:val="26"/>
        </w:rPr>
      </w:pPr>
      <w:r w:rsidRPr="00CE63CB">
        <w:rPr>
          <w:bCs/>
          <w:sz w:val="26"/>
          <w:szCs w:val="26"/>
        </w:rPr>
        <w:tab/>
        <w:t xml:space="preserve">+ Đối với lượng hàng hóa chưa sử dụng: Bên nhà thầu có trách nhiệm </w:t>
      </w:r>
      <w:proofErr w:type="gramStart"/>
      <w:r w:rsidRPr="00CE63CB">
        <w:rPr>
          <w:bCs/>
          <w:sz w:val="26"/>
          <w:szCs w:val="26"/>
        </w:rPr>
        <w:t>thu</w:t>
      </w:r>
      <w:proofErr w:type="gramEnd"/>
      <w:r w:rsidRPr="00CE63CB">
        <w:rPr>
          <w:bCs/>
          <w:sz w:val="26"/>
          <w:szCs w:val="26"/>
        </w:rPr>
        <w:t xml:space="preserve"> hồi toàn bộ số hàng hóa không đạt chất lượng và xử lý theo quy định hiện hành. Tiến hành đổi hàng mới cho Bên mời thầu tương </w:t>
      </w:r>
      <w:bookmarkStart w:id="0" w:name="_GoBack"/>
      <w:bookmarkEnd w:id="0"/>
      <w:r w:rsidRPr="00CE63CB">
        <w:rPr>
          <w:bCs/>
          <w:sz w:val="26"/>
          <w:szCs w:val="26"/>
        </w:rPr>
        <w:t xml:space="preserve">ứng với số lượng hàng hóa thu hồi do không đạt chất lượng trong vòng </w:t>
      </w:r>
      <w:r w:rsidR="00215B14">
        <w:rPr>
          <w:bCs/>
          <w:sz w:val="26"/>
          <w:szCs w:val="26"/>
        </w:rPr>
        <w:t>3</w:t>
      </w:r>
      <w:r w:rsidRPr="00CE63CB">
        <w:rPr>
          <w:bCs/>
          <w:sz w:val="26"/>
          <w:szCs w:val="26"/>
        </w:rPr>
        <w:t xml:space="preserve"> ngày làm việc kể từ ngày nhận được thông báo của Bên mời thầu về kết quả kiểm nghiệm hàng hóa, mọi chi phí phát sinh Bên nhà thầu chịu</w:t>
      </w:r>
      <w:r w:rsidR="00215B14">
        <w:rPr>
          <w:bCs/>
          <w:sz w:val="26"/>
          <w:szCs w:val="26"/>
        </w:rPr>
        <w:t xml:space="preserve"> (chi phí mua thuốc+ chi phí thuê máy phun thuốc, nhân công,…)</w:t>
      </w:r>
      <w:r w:rsidRPr="00CE63CB">
        <w:rPr>
          <w:bCs/>
          <w:sz w:val="26"/>
          <w:szCs w:val="26"/>
        </w:rPr>
        <w:t>.</w:t>
      </w:r>
    </w:p>
    <w:p w:rsidR="00363C89" w:rsidRDefault="00363C89"/>
    <w:sectPr w:rsidR="00363C89" w:rsidSect="00A3540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E02F8"/>
    <w:multiLevelType w:val="hybridMultilevel"/>
    <w:tmpl w:val="00228998"/>
    <w:lvl w:ilvl="0" w:tplc="2C8A2F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0C60ED3"/>
    <w:multiLevelType w:val="hybridMultilevel"/>
    <w:tmpl w:val="1B1C881A"/>
    <w:lvl w:ilvl="0" w:tplc="BEB261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A070DA"/>
    <w:multiLevelType w:val="hybridMultilevel"/>
    <w:tmpl w:val="66B23986"/>
    <w:lvl w:ilvl="0" w:tplc="5046E1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applyBreakingRules/>
    <w:compatSetting w:name="compatibilityMode" w:uri="http://schemas.microsoft.com/office/word" w:val="12"/>
  </w:compat>
  <w:rsids>
    <w:rsidRoot w:val="00463851"/>
    <w:rsid w:val="00025E2D"/>
    <w:rsid w:val="000571A9"/>
    <w:rsid w:val="00066244"/>
    <w:rsid w:val="000A10F2"/>
    <w:rsid w:val="00215B14"/>
    <w:rsid w:val="002B3404"/>
    <w:rsid w:val="00362933"/>
    <w:rsid w:val="00363C89"/>
    <w:rsid w:val="003B0AE3"/>
    <w:rsid w:val="003C32EF"/>
    <w:rsid w:val="003F1EF5"/>
    <w:rsid w:val="004223DD"/>
    <w:rsid w:val="00463851"/>
    <w:rsid w:val="00506278"/>
    <w:rsid w:val="005113A5"/>
    <w:rsid w:val="00545231"/>
    <w:rsid w:val="005523CE"/>
    <w:rsid w:val="00602B22"/>
    <w:rsid w:val="00841CA6"/>
    <w:rsid w:val="00846235"/>
    <w:rsid w:val="008522DF"/>
    <w:rsid w:val="008B0CCA"/>
    <w:rsid w:val="008B6357"/>
    <w:rsid w:val="009B205E"/>
    <w:rsid w:val="009C2E06"/>
    <w:rsid w:val="009D2960"/>
    <w:rsid w:val="009D745B"/>
    <w:rsid w:val="00A11DBF"/>
    <w:rsid w:val="00A3540B"/>
    <w:rsid w:val="00AF68E8"/>
    <w:rsid w:val="00B301A6"/>
    <w:rsid w:val="00B530C4"/>
    <w:rsid w:val="00BF01AC"/>
    <w:rsid w:val="00CE2584"/>
    <w:rsid w:val="00D131A7"/>
    <w:rsid w:val="00EB2B3C"/>
    <w:rsid w:val="00F249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51"/>
    <w:pPr>
      <w:spacing w:after="0" w:line="240" w:lineRule="auto"/>
    </w:pPr>
    <w:rPr>
      <w:rFonts w:eastAsia="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Citation List,본문(내용),List Paragraph (numbered (a)),Gạch đầu dòng,List Paragraph 1,ko,ADB paragraph numbering,Numbered List Paragraph,numbered para,List Paragraph11,tieu de phu 1,Bullet paras,References"/>
    <w:basedOn w:val="Normal"/>
    <w:link w:val="ListParagraphChar"/>
    <w:uiPriority w:val="34"/>
    <w:qFormat/>
    <w:rsid w:val="009C2E06"/>
    <w:pPr>
      <w:ind w:left="720"/>
      <w:contextualSpacing/>
    </w:pPr>
  </w:style>
  <w:style w:type="paragraph" w:styleId="BodyText">
    <w:name w:val="Body Text"/>
    <w:basedOn w:val="Normal"/>
    <w:link w:val="BodyTextChar"/>
    <w:uiPriority w:val="99"/>
    <w:rsid w:val="00F249BD"/>
    <w:pPr>
      <w:spacing w:after="120"/>
    </w:pPr>
    <w:rPr>
      <w:rFonts w:ascii=".VnTime" w:hAnsi=".VnTime"/>
      <w:sz w:val="28"/>
      <w:szCs w:val="20"/>
    </w:rPr>
  </w:style>
  <w:style w:type="character" w:customStyle="1" w:styleId="BodyTextChar">
    <w:name w:val="Body Text Char"/>
    <w:basedOn w:val="DefaultParagraphFont"/>
    <w:link w:val="BodyText"/>
    <w:uiPriority w:val="99"/>
    <w:rsid w:val="00F249BD"/>
    <w:rPr>
      <w:rFonts w:ascii=".VnTime" w:eastAsia="Times New Roman" w:hAnsi=".VnTime" w:cs="Times New Roman"/>
      <w:szCs w:val="20"/>
      <w:lang w:bidi="ar-SA"/>
    </w:rPr>
  </w:style>
  <w:style w:type="paragraph" w:customStyle="1" w:styleId="SectionVIHeader">
    <w:name w:val="Section VI. Header"/>
    <w:basedOn w:val="Normal"/>
    <w:rsid w:val="00F249BD"/>
    <w:pPr>
      <w:spacing w:before="120" w:after="240"/>
      <w:jc w:val="center"/>
    </w:pPr>
    <w:rPr>
      <w:b/>
      <w:sz w:val="36"/>
      <w:szCs w:val="20"/>
    </w:rPr>
  </w:style>
  <w:style w:type="paragraph" w:styleId="BalloonText">
    <w:name w:val="Balloon Text"/>
    <w:basedOn w:val="Normal"/>
    <w:link w:val="BalloonTextChar"/>
    <w:uiPriority w:val="99"/>
    <w:semiHidden/>
    <w:unhideWhenUsed/>
    <w:rsid w:val="00B530C4"/>
    <w:rPr>
      <w:rFonts w:ascii="Tahoma" w:hAnsi="Tahoma" w:cs="Tahoma"/>
      <w:sz w:val="16"/>
      <w:szCs w:val="16"/>
    </w:rPr>
  </w:style>
  <w:style w:type="character" w:customStyle="1" w:styleId="BalloonTextChar">
    <w:name w:val="Balloon Text Char"/>
    <w:basedOn w:val="DefaultParagraphFont"/>
    <w:link w:val="BalloonText"/>
    <w:uiPriority w:val="99"/>
    <w:semiHidden/>
    <w:rsid w:val="00B530C4"/>
    <w:rPr>
      <w:rFonts w:ascii="Tahoma" w:eastAsia="Times New Roman" w:hAnsi="Tahoma" w:cs="Tahoma"/>
      <w:sz w:val="16"/>
      <w:szCs w:val="16"/>
      <w:lang w:bidi="ar-SA"/>
    </w:rPr>
  </w:style>
  <w:style w:type="character" w:customStyle="1" w:styleId="ListParagraphChar">
    <w:name w:val="List Paragraph Char"/>
    <w:aliases w:val="AR Bul Normal Char,List Paragraph1 Char,Citation List Char,본문(내용) Char,List Paragraph (numbered (a)) Char,Gạch đầu dòng Char,List Paragraph 1 Char,ko Char,ADB paragraph numbering Char,Numbered List Paragraph Char,numbered para Char"/>
    <w:link w:val="ListParagraph"/>
    <w:uiPriority w:val="34"/>
    <w:rsid w:val="000A10F2"/>
    <w:rPr>
      <w:rFonts w:eastAsia="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PC</cp:lastModifiedBy>
  <cp:revision>11</cp:revision>
  <dcterms:created xsi:type="dcterms:W3CDTF">2024-03-06T03:29:00Z</dcterms:created>
  <dcterms:modified xsi:type="dcterms:W3CDTF">2025-12-28T14:18:00Z</dcterms:modified>
</cp:coreProperties>
</file>