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9D0A3">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Chương VII. ĐIỀU KIỆN CỤ THỂ CỦA HỢP ĐỒNG</w:t>
      </w:r>
    </w:p>
    <w:p w14:paraId="3062CD70">
      <w:pPr>
        <w:widowControl w:val="0"/>
        <w:autoSpaceDE w:val="0"/>
        <w:autoSpaceDN w:val="0"/>
        <w:adjustRightInd w:val="0"/>
        <w:spacing w:before="120"/>
        <w:rPr>
          <w:rFonts w:eastAsia="Times New Roman"/>
          <w:sz w:val="28"/>
          <w:szCs w:val="28"/>
        </w:rPr>
      </w:pPr>
      <w:r>
        <w:rPr>
          <w:rFonts w:eastAsia="Times New Roman"/>
          <w:sz w:val="28"/>
          <w:szCs w:val="28"/>
        </w:rPr>
        <w:t xml:space="preserve">Trừ khi có quy định khác, toàn bộ </w:t>
      </w:r>
      <w:r>
        <w:rPr>
          <w:rFonts w:eastAsia="Times New Roman"/>
          <w:b/>
          <w:bCs/>
          <w:sz w:val="28"/>
          <w:szCs w:val="28"/>
        </w:rPr>
        <w:t xml:space="preserve">ĐKCT </w:t>
      </w:r>
      <w:r>
        <w:rPr>
          <w:rFonts w:eastAsia="Times New Roman"/>
          <w:sz w:val="28"/>
          <w:szCs w:val="28"/>
        </w:rPr>
        <w:t>phải được Bên mời thầu ghi đầy đủ trước khi phát hành E-HSMT.</w:t>
      </w:r>
    </w:p>
    <w:p w14:paraId="080DC6B8">
      <w:pPr>
        <w:widowControl w:val="0"/>
        <w:autoSpaceDE w:val="0"/>
        <w:autoSpaceDN w:val="0"/>
        <w:adjustRightInd w:val="0"/>
        <w:spacing w:before="120"/>
        <w:rPr>
          <w:rFonts w:eastAsia="Times New Roman"/>
          <w:sz w:val="4"/>
          <w:szCs w:val="28"/>
        </w:rPr>
      </w:pPr>
    </w:p>
    <w:tbl>
      <w:tblPr>
        <w:tblStyle w:val="3"/>
        <w:tblW w:w="5157" w:type="pct"/>
        <w:tblInd w:w="-28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695"/>
        <w:gridCol w:w="7667"/>
      </w:tblGrid>
      <w:tr w14:paraId="231D7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D8330A8">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1.1</w:t>
            </w:r>
          </w:p>
        </w:tc>
        <w:tc>
          <w:tcPr>
            <w:tcW w:w="4094" w:type="pct"/>
            <w:shd w:val="clear" w:color="auto" w:fill="auto"/>
          </w:tcPr>
          <w:p w14:paraId="69038435">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xml:space="preserve">Chủ đầu tư là: </w:t>
            </w:r>
            <w:r>
              <w:rPr>
                <w:sz w:val="26"/>
                <w:szCs w:val="26"/>
              </w:rPr>
              <w:t>Bệnh viện Đại học Quốc gia Hà Nội</w:t>
            </w:r>
          </w:p>
        </w:tc>
      </w:tr>
      <w:tr w14:paraId="5A185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3" w:hRule="atLeast"/>
        </w:trPr>
        <w:tc>
          <w:tcPr>
            <w:tcW w:w="905" w:type="pct"/>
            <w:shd w:val="clear" w:color="auto" w:fill="auto"/>
          </w:tcPr>
          <w:p w14:paraId="33B1575B">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1.3</w:t>
            </w:r>
          </w:p>
        </w:tc>
        <w:tc>
          <w:tcPr>
            <w:tcW w:w="4094" w:type="pct"/>
            <w:shd w:val="clear" w:color="auto" w:fill="auto"/>
          </w:tcPr>
          <w:p w14:paraId="0603AE6C">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Nhà thầu:_____</w:t>
            </w:r>
            <w:r>
              <w:rPr>
                <w:rFonts w:eastAsia="Times New Roman"/>
                <w:bCs/>
                <w:i/>
                <w:sz w:val="26"/>
                <w:szCs w:val="26"/>
              </w:rPr>
              <w:t>[ghi tên Nhà thầu trúng thầu].</w:t>
            </w:r>
          </w:p>
        </w:tc>
      </w:tr>
      <w:tr w14:paraId="7C8294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6" w:hRule="atLeast"/>
        </w:trPr>
        <w:tc>
          <w:tcPr>
            <w:tcW w:w="905" w:type="pct"/>
            <w:shd w:val="clear" w:color="auto" w:fill="auto"/>
          </w:tcPr>
          <w:p w14:paraId="456C9C47">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1.9</w:t>
            </w:r>
          </w:p>
        </w:tc>
        <w:tc>
          <w:tcPr>
            <w:tcW w:w="4094" w:type="pct"/>
            <w:shd w:val="clear" w:color="auto" w:fill="auto"/>
          </w:tcPr>
          <w:p w14:paraId="439A2247">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Địa điểm Dự án/ Điểm giao hàng cuối cùng là:</w:t>
            </w:r>
            <w:r>
              <w:rPr>
                <w:sz w:val="26"/>
                <w:szCs w:val="26"/>
              </w:rPr>
              <w:t xml:space="preserve"> Kho </w:t>
            </w:r>
            <w:r>
              <w:rPr>
                <w:rFonts w:hint="default"/>
                <w:sz w:val="26"/>
                <w:szCs w:val="26"/>
                <w:lang w:val="en-US"/>
              </w:rPr>
              <w:t xml:space="preserve">vắc xin </w:t>
            </w:r>
            <w:r>
              <w:rPr>
                <w:sz w:val="26"/>
                <w:szCs w:val="26"/>
              </w:rPr>
              <w:t>- Bệnh viện ĐHQGHN – 182 Lương Thế Vinh – Thanh Xuân – Hà Nội.</w:t>
            </w:r>
          </w:p>
        </w:tc>
      </w:tr>
      <w:tr w14:paraId="636F5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3E077F84">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2.8</w:t>
            </w:r>
          </w:p>
        </w:tc>
        <w:tc>
          <w:tcPr>
            <w:tcW w:w="4094" w:type="pct"/>
            <w:shd w:val="clear" w:color="auto" w:fill="auto"/>
          </w:tcPr>
          <w:p w14:paraId="03B41533">
            <w:pPr>
              <w:widowControl w:val="0"/>
              <w:tabs>
                <w:tab w:val="right" w:pos="7164"/>
              </w:tabs>
              <w:spacing w:line="276" w:lineRule="auto"/>
              <w:ind w:firstLine="163" w:firstLineChars="63"/>
              <w:rPr>
                <w:sz w:val="26"/>
                <w:szCs w:val="26"/>
              </w:rPr>
            </w:pPr>
            <w:r>
              <w:rPr>
                <w:sz w:val="26"/>
                <w:szCs w:val="26"/>
              </w:rPr>
              <w:t>Các tài liệu sau đây cũng là một phần của Hợp đồng:</w:t>
            </w:r>
          </w:p>
          <w:p w14:paraId="09F78707">
            <w:pPr>
              <w:pStyle w:val="4"/>
              <w:widowControl w:val="0"/>
              <w:spacing w:line="276" w:lineRule="auto"/>
              <w:ind w:firstLine="126" w:firstLineChars="50"/>
              <w:rPr>
                <w:rFonts w:ascii="Times New Roman" w:hAnsi="Times New Roman"/>
                <w:b w:val="0"/>
                <w:bCs/>
                <w:sz w:val="26"/>
                <w:szCs w:val="26"/>
              </w:rPr>
            </w:pPr>
            <w:r>
              <w:rPr>
                <w:rFonts w:ascii="Times New Roman" w:hAnsi="Times New Roman"/>
                <w:b w:val="0"/>
                <w:bCs/>
                <w:sz w:val="26"/>
                <w:szCs w:val="26"/>
              </w:rPr>
              <w:t>1. Văn bản hợp đồng (kèm theo Phạm vi cung cấp và bảng giá cùng các Phụ lục khác);</w:t>
            </w:r>
          </w:p>
          <w:p w14:paraId="37F4C8CD">
            <w:pPr>
              <w:pStyle w:val="4"/>
              <w:widowControl w:val="0"/>
              <w:spacing w:line="276" w:lineRule="auto"/>
              <w:ind w:firstLine="126" w:firstLineChars="50"/>
              <w:rPr>
                <w:rFonts w:ascii="Times New Roman" w:hAnsi="Times New Roman"/>
                <w:b w:val="0"/>
                <w:bCs/>
                <w:sz w:val="26"/>
                <w:szCs w:val="26"/>
              </w:rPr>
            </w:pPr>
            <w:r>
              <w:rPr>
                <w:rFonts w:ascii="Times New Roman" w:hAnsi="Times New Roman"/>
                <w:b w:val="0"/>
                <w:bCs/>
                <w:sz w:val="26"/>
                <w:szCs w:val="26"/>
              </w:rPr>
              <w:t>2. Biên bản thương thảo, hoàn thiện hợp đồng (nếu có);</w:t>
            </w:r>
          </w:p>
          <w:p w14:paraId="255244E3">
            <w:pPr>
              <w:pStyle w:val="4"/>
              <w:widowControl w:val="0"/>
              <w:spacing w:line="276" w:lineRule="auto"/>
              <w:ind w:firstLine="126" w:firstLineChars="50"/>
              <w:rPr>
                <w:rFonts w:ascii="Times New Roman" w:hAnsi="Times New Roman"/>
                <w:b w:val="0"/>
                <w:bCs/>
                <w:sz w:val="26"/>
                <w:szCs w:val="26"/>
              </w:rPr>
            </w:pPr>
            <w:r>
              <w:rPr>
                <w:rFonts w:ascii="Times New Roman" w:hAnsi="Times New Roman"/>
                <w:b w:val="0"/>
                <w:bCs/>
                <w:sz w:val="26"/>
                <w:szCs w:val="26"/>
              </w:rPr>
              <w:t>3. Thư chấp thuận HSDT và trao hợp đồng;</w:t>
            </w:r>
          </w:p>
          <w:p w14:paraId="295DDDAA">
            <w:pPr>
              <w:pStyle w:val="4"/>
              <w:widowControl w:val="0"/>
              <w:spacing w:line="276" w:lineRule="auto"/>
              <w:ind w:firstLine="126" w:firstLineChars="50"/>
              <w:rPr>
                <w:rFonts w:ascii="Times New Roman" w:hAnsi="Times New Roman"/>
                <w:b w:val="0"/>
                <w:bCs/>
                <w:sz w:val="26"/>
                <w:szCs w:val="26"/>
              </w:rPr>
            </w:pPr>
            <w:r>
              <w:rPr>
                <w:rFonts w:ascii="Times New Roman" w:hAnsi="Times New Roman"/>
                <w:b w:val="0"/>
                <w:bCs/>
                <w:sz w:val="26"/>
                <w:szCs w:val="26"/>
              </w:rPr>
              <w:t>4. Điều kiện cụ thể của hợp đồng;</w:t>
            </w:r>
          </w:p>
          <w:p w14:paraId="252149EB">
            <w:pPr>
              <w:pStyle w:val="4"/>
              <w:widowControl w:val="0"/>
              <w:spacing w:line="276" w:lineRule="auto"/>
              <w:ind w:firstLine="126" w:firstLineChars="50"/>
              <w:rPr>
                <w:rFonts w:ascii="Times New Roman" w:hAnsi="Times New Roman"/>
                <w:b w:val="0"/>
                <w:bCs/>
                <w:sz w:val="26"/>
                <w:szCs w:val="26"/>
              </w:rPr>
            </w:pPr>
            <w:r>
              <w:rPr>
                <w:rFonts w:ascii="Times New Roman" w:hAnsi="Times New Roman"/>
                <w:b w:val="0"/>
                <w:bCs/>
                <w:sz w:val="26"/>
                <w:szCs w:val="26"/>
              </w:rPr>
              <w:t>5. Điều kiện chung của hợp đồng;</w:t>
            </w:r>
          </w:p>
          <w:p w14:paraId="63379358">
            <w:pPr>
              <w:pStyle w:val="4"/>
              <w:widowControl w:val="0"/>
              <w:spacing w:line="276" w:lineRule="auto"/>
              <w:ind w:firstLine="128" w:firstLineChars="50"/>
              <w:rPr>
                <w:rFonts w:ascii="Times New Roman" w:hAnsi="Times New Roman"/>
                <w:b w:val="0"/>
                <w:bCs/>
                <w:spacing w:val="-2"/>
                <w:sz w:val="26"/>
                <w:szCs w:val="26"/>
              </w:rPr>
            </w:pPr>
            <w:r>
              <w:rPr>
                <w:rFonts w:ascii="Times New Roman" w:hAnsi="Times New Roman"/>
                <w:b w:val="0"/>
                <w:bCs/>
                <w:spacing w:val="-2"/>
                <w:sz w:val="26"/>
                <w:szCs w:val="26"/>
              </w:rPr>
              <w:t>6. E</w:t>
            </w:r>
            <w:r>
              <w:rPr>
                <w:rFonts w:ascii="Times New Roman" w:hAnsi="Times New Roman"/>
                <w:b w:val="0"/>
                <w:bCs/>
                <w:spacing w:val="-2"/>
                <w:sz w:val="26"/>
                <w:szCs w:val="26"/>
                <w:lang w:val="vi-VN"/>
              </w:rPr>
              <w:t>-HSDT</w:t>
            </w:r>
            <w:r>
              <w:rPr>
                <w:rFonts w:ascii="Times New Roman" w:hAnsi="Times New Roman"/>
                <w:b w:val="0"/>
                <w:bCs/>
                <w:spacing w:val="-2"/>
                <w:sz w:val="26"/>
                <w:szCs w:val="26"/>
              </w:rPr>
              <w:t xml:space="preserve"> và các văn bản làm rõ E</w:t>
            </w:r>
            <w:r>
              <w:rPr>
                <w:rFonts w:ascii="Times New Roman" w:hAnsi="Times New Roman"/>
                <w:b w:val="0"/>
                <w:bCs/>
                <w:spacing w:val="-2"/>
                <w:sz w:val="26"/>
                <w:szCs w:val="26"/>
                <w:lang w:val="vi-VN"/>
              </w:rPr>
              <w:t>-HSDT</w:t>
            </w:r>
            <w:r>
              <w:rPr>
                <w:rFonts w:ascii="Times New Roman" w:hAnsi="Times New Roman"/>
                <w:b w:val="0"/>
                <w:bCs/>
                <w:spacing w:val="-2"/>
                <w:sz w:val="26"/>
                <w:szCs w:val="26"/>
              </w:rPr>
              <w:t xml:space="preserve"> của nhà thầu trúng thầu (nếu có);</w:t>
            </w:r>
          </w:p>
          <w:p w14:paraId="595F0F92">
            <w:pPr>
              <w:pStyle w:val="4"/>
              <w:widowControl w:val="0"/>
              <w:spacing w:line="276" w:lineRule="auto"/>
              <w:ind w:firstLine="126" w:firstLineChars="50"/>
              <w:rPr>
                <w:rFonts w:ascii="Times New Roman" w:hAnsi="Times New Roman"/>
                <w:b w:val="0"/>
                <w:bCs/>
                <w:spacing w:val="-4"/>
                <w:sz w:val="26"/>
                <w:szCs w:val="26"/>
              </w:rPr>
            </w:pPr>
            <w:r>
              <w:rPr>
                <w:rFonts w:ascii="Times New Roman" w:hAnsi="Times New Roman"/>
                <w:b w:val="0"/>
                <w:bCs/>
                <w:sz w:val="26"/>
                <w:szCs w:val="26"/>
              </w:rPr>
              <w:t>7. E</w:t>
            </w:r>
            <w:r>
              <w:rPr>
                <w:rFonts w:ascii="Times New Roman" w:hAnsi="Times New Roman"/>
                <w:b w:val="0"/>
                <w:bCs/>
                <w:sz w:val="26"/>
                <w:szCs w:val="26"/>
                <w:lang w:val="vi-VN"/>
              </w:rPr>
              <w:t>-HSMT</w:t>
            </w:r>
            <w:r>
              <w:rPr>
                <w:rFonts w:ascii="Times New Roman" w:hAnsi="Times New Roman"/>
                <w:b w:val="0"/>
                <w:bCs/>
                <w:sz w:val="26"/>
                <w:szCs w:val="26"/>
              </w:rPr>
              <w:t xml:space="preserve"> và các tài liệu sửa đổi E</w:t>
            </w:r>
            <w:r>
              <w:rPr>
                <w:rFonts w:ascii="Times New Roman" w:hAnsi="Times New Roman"/>
                <w:b w:val="0"/>
                <w:bCs/>
                <w:sz w:val="26"/>
                <w:szCs w:val="26"/>
                <w:lang w:val="vi-VN"/>
              </w:rPr>
              <w:t>-HSMT</w:t>
            </w:r>
            <w:r>
              <w:rPr>
                <w:rFonts w:ascii="Times New Roman" w:hAnsi="Times New Roman"/>
                <w:b w:val="0"/>
                <w:bCs/>
                <w:sz w:val="26"/>
                <w:szCs w:val="26"/>
              </w:rPr>
              <w:t xml:space="preserve"> (nếu có);</w:t>
            </w:r>
          </w:p>
          <w:p w14:paraId="29D60DE0">
            <w:pPr>
              <w:widowControl w:val="0"/>
              <w:autoSpaceDE w:val="0"/>
              <w:autoSpaceDN w:val="0"/>
              <w:adjustRightInd w:val="0"/>
              <w:spacing w:before="120"/>
              <w:ind w:left="142" w:right="187"/>
              <w:jc w:val="both"/>
              <w:rPr>
                <w:rFonts w:eastAsia="Times New Roman"/>
                <w:bCs/>
                <w:sz w:val="26"/>
                <w:szCs w:val="26"/>
              </w:rPr>
            </w:pPr>
            <w:r>
              <w:rPr>
                <w:bCs/>
                <w:sz w:val="26"/>
                <w:szCs w:val="26"/>
              </w:rPr>
              <w:t xml:space="preserve">8. Các tài liệu kèm theo khác (nếu có). </w:t>
            </w:r>
          </w:p>
        </w:tc>
      </w:tr>
      <w:tr w14:paraId="3BF48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1ACFC4CF">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4</w:t>
            </w:r>
          </w:p>
        </w:tc>
        <w:tc>
          <w:tcPr>
            <w:tcW w:w="4094" w:type="pct"/>
            <w:shd w:val="clear" w:color="auto" w:fill="auto"/>
          </w:tcPr>
          <w:p w14:paraId="6479A8E8">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Chủ đầu tư không thể ủy quyền các nghĩa vụ và trách nhiệm của mình cho người khác.</w:t>
            </w:r>
          </w:p>
        </w:tc>
      </w:tr>
      <w:tr w14:paraId="05B76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14554889">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5.1</w:t>
            </w:r>
          </w:p>
        </w:tc>
        <w:tc>
          <w:tcPr>
            <w:tcW w:w="4094" w:type="pct"/>
            <w:shd w:val="clear" w:color="auto" w:fill="auto"/>
          </w:tcPr>
          <w:p w14:paraId="76FBF1B3">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Các thông báo cần gửi về Chủ đầu tư theo địa chỉ dưới đây:</w:t>
            </w:r>
          </w:p>
          <w:p w14:paraId="5079FA64">
            <w:pPr>
              <w:tabs>
                <w:tab w:val="right" w:pos="7164"/>
              </w:tabs>
              <w:spacing w:line="276" w:lineRule="auto"/>
              <w:ind w:firstLine="130" w:firstLineChars="50"/>
              <w:rPr>
                <w:sz w:val="26"/>
                <w:szCs w:val="26"/>
              </w:rPr>
            </w:pPr>
            <w:r>
              <w:rPr>
                <w:rFonts w:eastAsia="Times New Roman"/>
                <w:bCs/>
                <w:sz w:val="26"/>
                <w:szCs w:val="26"/>
              </w:rPr>
              <w:t xml:space="preserve">Người nhận: </w:t>
            </w:r>
            <w:r>
              <w:rPr>
                <w:sz w:val="26"/>
                <w:szCs w:val="26"/>
              </w:rPr>
              <w:t>Khoa Dược – Bệnh viện ĐHQGHN</w:t>
            </w:r>
            <w:r>
              <w:rPr>
                <w:i/>
                <w:iCs/>
                <w:sz w:val="26"/>
                <w:szCs w:val="26"/>
              </w:rPr>
              <w:t>.</w:t>
            </w:r>
          </w:p>
          <w:p w14:paraId="3B5A601E">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xml:space="preserve">Địa chỉ: </w:t>
            </w:r>
            <w:r>
              <w:rPr>
                <w:sz w:val="26"/>
                <w:szCs w:val="26"/>
              </w:rPr>
              <w:t>182 Lương Thế Vinh - Thanh Xuân - Hà Nội</w:t>
            </w:r>
            <w:r>
              <w:rPr>
                <w:rFonts w:eastAsia="Times New Roman"/>
                <w:bCs/>
                <w:sz w:val="26"/>
                <w:szCs w:val="26"/>
              </w:rPr>
              <w:t>.</w:t>
            </w:r>
          </w:p>
          <w:p w14:paraId="4F950EC9">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xml:space="preserve">Điện thoại: </w:t>
            </w:r>
            <w:r>
              <w:rPr>
                <w:sz w:val="26"/>
                <w:szCs w:val="26"/>
                <w:lang w:val="de-DE"/>
              </w:rPr>
              <w:t>024</w:t>
            </w:r>
            <w:r>
              <w:rPr>
                <w:sz w:val="26"/>
                <w:szCs w:val="26"/>
              </w:rPr>
              <w:t>3.543.0333</w:t>
            </w:r>
            <w:r>
              <w:rPr>
                <w:rFonts w:eastAsia="Times New Roman"/>
                <w:bCs/>
                <w:sz w:val="26"/>
                <w:szCs w:val="26"/>
              </w:rPr>
              <w:t>.</w:t>
            </w:r>
          </w:p>
          <w:p w14:paraId="0DBD41F7">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xml:space="preserve">Địa chỉ email:  </w:t>
            </w:r>
          </w:p>
        </w:tc>
      </w:tr>
      <w:tr w14:paraId="046650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D5CE5F6">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6.1</w:t>
            </w:r>
          </w:p>
        </w:tc>
        <w:tc>
          <w:tcPr>
            <w:tcW w:w="4094" w:type="pct"/>
            <w:shd w:val="clear" w:color="auto" w:fill="auto"/>
          </w:tcPr>
          <w:p w14:paraId="6114497B">
            <w:pPr>
              <w:widowControl w:val="0"/>
              <w:autoSpaceDE w:val="0"/>
              <w:autoSpaceDN w:val="0"/>
              <w:adjustRightInd w:val="0"/>
              <w:spacing w:before="120"/>
              <w:ind w:left="142" w:right="187"/>
              <w:jc w:val="both"/>
              <w:rPr>
                <w:rFonts w:eastAsia="Times New Roman"/>
                <w:bCs/>
                <w:iCs/>
                <w:sz w:val="26"/>
                <w:szCs w:val="26"/>
              </w:rPr>
            </w:pPr>
            <w:r>
              <w:rPr>
                <w:rFonts w:eastAsia="Times New Roman"/>
                <w:bCs/>
                <w:sz w:val="26"/>
                <w:szCs w:val="26"/>
              </w:rPr>
              <w:t>- Hình thức bảo đảm thực hiện hợp đồng:</w:t>
            </w:r>
            <w:r>
              <w:rPr>
                <w:rFonts w:eastAsia="Times New Roman"/>
                <w:bCs/>
                <w:i/>
                <w:sz w:val="26"/>
                <w:szCs w:val="26"/>
              </w:rPr>
              <w:t xml:space="preserve"> </w:t>
            </w:r>
            <w:r>
              <w:rPr>
                <w:rFonts w:eastAsia="Times New Roman"/>
                <w:bCs/>
                <w:iCs/>
                <w:sz w:val="26"/>
                <w:szCs w:val="26"/>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11F45E6E">
            <w:pPr>
              <w:widowControl w:val="0"/>
              <w:autoSpaceDE w:val="0"/>
              <w:autoSpaceDN w:val="0"/>
              <w:adjustRightInd w:val="0"/>
              <w:spacing w:before="120"/>
              <w:ind w:left="142" w:right="187"/>
              <w:jc w:val="both"/>
              <w:rPr>
                <w:rFonts w:eastAsia="Times New Roman"/>
                <w:sz w:val="26"/>
                <w:szCs w:val="26"/>
              </w:rPr>
            </w:pPr>
            <w:r>
              <w:rPr>
                <w:rStyle w:val="5"/>
                <w:b w:val="0"/>
                <w:bCs w:val="0"/>
                <w:sz w:val="26"/>
                <w:szCs w:val="26"/>
              </w:rPr>
              <w:t xml:space="preserve">- Đối với lựa chọn nhà thầu tập trung, </w:t>
            </w:r>
            <w:r>
              <w:rPr>
                <w:rStyle w:val="7"/>
              </w:rPr>
              <w:t>Nhà thầu trúng thầu thực hiện biện pháp bảo đảm thực hiện hợp đồng cho từng đơn vị có nhu cầu mua sắm hoặc cho tổng số phần mà nhà thầu ký hợp đồng theo mẫu được quy định trong E-HSMT.</w:t>
            </w:r>
          </w:p>
          <w:p w14:paraId="5B3BF83F">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Giá trị bảo đảm thực hiện hợp đồng:</w:t>
            </w:r>
            <w:bookmarkStart w:id="0" w:name="_GoBack"/>
            <w:r>
              <w:rPr>
                <w:rFonts w:eastAsia="Times New Roman"/>
                <w:b/>
                <w:bCs w:val="0"/>
                <w:color w:val="FF0000"/>
                <w:sz w:val="26"/>
                <w:szCs w:val="26"/>
              </w:rPr>
              <w:t xml:space="preserve"> 3% Giá hợp đồng.</w:t>
            </w:r>
            <w:bookmarkEnd w:id="0"/>
          </w:p>
          <w:p w14:paraId="66F3B746">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xml:space="preserve">- Hiệu lực của bảo đảm thực hiện hợp đồng: </w:t>
            </w:r>
            <w:r>
              <w:rPr>
                <w:sz w:val="26"/>
                <w:szCs w:val="26"/>
              </w:rPr>
              <w:t>Bảo đảm thực hiện hợp đồng có hiệu lực trong 12 tháng, kể từ ngày hợp đồng có hiệu lực.</w:t>
            </w:r>
          </w:p>
        </w:tc>
      </w:tr>
      <w:tr w14:paraId="62A904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8" w:hRule="atLeast"/>
        </w:trPr>
        <w:tc>
          <w:tcPr>
            <w:tcW w:w="905" w:type="pct"/>
            <w:shd w:val="clear" w:color="auto" w:fill="auto"/>
          </w:tcPr>
          <w:p w14:paraId="21C58988">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6.2</w:t>
            </w:r>
          </w:p>
        </w:tc>
        <w:tc>
          <w:tcPr>
            <w:tcW w:w="4094" w:type="pct"/>
            <w:shd w:val="clear" w:color="auto" w:fill="auto"/>
          </w:tcPr>
          <w:p w14:paraId="05154F59">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xml:space="preserve">Thời hạn hoàn trả bảo đảm thực hiện hợp đồng: Sau 30 ngày, </w:t>
            </w:r>
            <w:r>
              <w:rPr>
                <w:iCs/>
                <w:sz w:val="26"/>
                <w:szCs w:val="26"/>
              </w:rPr>
              <w:t xml:space="preserve">tính từ ngày hết hạn hợp đồng. </w:t>
            </w:r>
          </w:p>
        </w:tc>
      </w:tr>
      <w:tr w14:paraId="0B6B4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7" w:hRule="atLeast"/>
        </w:trPr>
        <w:tc>
          <w:tcPr>
            <w:tcW w:w="905" w:type="pct"/>
            <w:shd w:val="clear" w:color="auto" w:fill="auto"/>
          </w:tcPr>
          <w:p w14:paraId="5D4C3906">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7.1</w:t>
            </w:r>
          </w:p>
        </w:tc>
        <w:tc>
          <w:tcPr>
            <w:tcW w:w="4094" w:type="pct"/>
            <w:shd w:val="clear" w:color="auto" w:fill="auto"/>
          </w:tcPr>
          <w:p w14:paraId="4A19708E">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Danh sách nhà thầu phụ: Không áp dụng.</w:t>
            </w:r>
          </w:p>
        </w:tc>
      </w:tr>
      <w:tr w14:paraId="43BDD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0" w:hRule="atLeast"/>
        </w:trPr>
        <w:tc>
          <w:tcPr>
            <w:tcW w:w="905" w:type="pct"/>
            <w:shd w:val="clear" w:color="auto" w:fill="auto"/>
          </w:tcPr>
          <w:p w14:paraId="238B8E8A">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7.3</w:t>
            </w:r>
          </w:p>
        </w:tc>
        <w:tc>
          <w:tcPr>
            <w:tcW w:w="4094" w:type="pct"/>
            <w:shd w:val="clear" w:color="auto" w:fill="auto"/>
          </w:tcPr>
          <w:p w14:paraId="0B2A6AEB">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Nêu các yêu cầu cần thiết khác về nhà thầu phụ: không áp dụng</w:t>
            </w:r>
          </w:p>
        </w:tc>
      </w:tr>
      <w:tr w14:paraId="4A057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45" w:hRule="atLeast"/>
        </w:trPr>
        <w:tc>
          <w:tcPr>
            <w:tcW w:w="905" w:type="pct"/>
            <w:shd w:val="clear" w:color="auto" w:fill="auto"/>
          </w:tcPr>
          <w:p w14:paraId="3A19E6C3">
            <w:pPr>
              <w:widowControl w:val="0"/>
              <w:autoSpaceDE w:val="0"/>
              <w:autoSpaceDN w:val="0"/>
              <w:adjustRightInd w:val="0"/>
              <w:spacing w:before="120"/>
              <w:jc w:val="center"/>
              <w:rPr>
                <w:rFonts w:eastAsia="Times New Roman"/>
                <w:sz w:val="26"/>
                <w:szCs w:val="26"/>
              </w:rPr>
            </w:pPr>
            <w:r>
              <w:rPr>
                <w:rFonts w:eastAsia="Times New Roman"/>
                <w:b/>
                <w:bCs/>
                <w:sz w:val="26"/>
                <w:szCs w:val="26"/>
              </w:rPr>
              <w:t>ĐKC 8.2</w:t>
            </w:r>
          </w:p>
        </w:tc>
        <w:tc>
          <w:tcPr>
            <w:tcW w:w="4094" w:type="pct"/>
            <w:shd w:val="clear" w:color="auto" w:fill="auto"/>
          </w:tcPr>
          <w:p w14:paraId="33563BD4">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Thời gian để tiến hành hòa giải: tối đa 30 ngày.</w:t>
            </w:r>
            <w:r>
              <w:rPr>
                <w:rFonts w:eastAsia="Times New Roman"/>
                <w:i/>
                <w:iCs/>
                <w:sz w:val="26"/>
                <w:szCs w:val="26"/>
              </w:rPr>
              <w:t>.</w:t>
            </w:r>
          </w:p>
          <w:p w14:paraId="5DA3806C">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xml:space="preserve">- Giải quyết tranh chấp: </w:t>
            </w:r>
            <w:r>
              <w:rPr>
                <w:color w:val="000000"/>
                <w:sz w:val="26"/>
                <w:szCs w:val="26"/>
              </w:rPr>
              <w:t xml:space="preserve">Giải quyết tranh chấp: trong vòng 30 ngày kể từ ngày phát sinh tranh chấp hai bên không giải quyết được tranh chấp sẽ được đưa ra tòa án có thẩm quyền tại TP. Hà Nội. Quyết định của tòa án sẽ là phán quyết cuối cùng mà hai bên sẽ phải thi hành. </w:t>
            </w:r>
            <w:r>
              <w:rPr>
                <w:iCs/>
                <w:color w:val="000000"/>
                <w:sz w:val="26"/>
                <w:szCs w:val="26"/>
              </w:rPr>
              <w:t>Chi phí cho việc giải quyết tranh chấp: do bên thua kiện thanh toán.</w:t>
            </w:r>
          </w:p>
        </w:tc>
      </w:tr>
      <w:tr w14:paraId="08670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8" w:hRule="atLeast"/>
        </w:trPr>
        <w:tc>
          <w:tcPr>
            <w:tcW w:w="905" w:type="pct"/>
            <w:shd w:val="clear" w:color="auto" w:fill="auto"/>
          </w:tcPr>
          <w:p w14:paraId="4BD50877">
            <w:pPr>
              <w:widowControl w:val="0"/>
              <w:autoSpaceDE w:val="0"/>
              <w:autoSpaceDN w:val="0"/>
              <w:adjustRightInd w:val="0"/>
              <w:spacing w:before="120"/>
              <w:jc w:val="center"/>
              <w:rPr>
                <w:rFonts w:eastAsia="Times New Roman"/>
                <w:sz w:val="26"/>
                <w:szCs w:val="26"/>
              </w:rPr>
            </w:pPr>
            <w:r>
              <w:rPr>
                <w:rFonts w:eastAsia="Times New Roman"/>
                <w:b/>
                <w:bCs/>
                <w:sz w:val="26"/>
                <w:szCs w:val="26"/>
              </w:rPr>
              <w:t>ĐKC 10</w:t>
            </w:r>
          </w:p>
        </w:tc>
        <w:tc>
          <w:tcPr>
            <w:tcW w:w="4094" w:type="pct"/>
            <w:shd w:val="clear" w:color="auto" w:fill="auto"/>
          </w:tcPr>
          <w:p w14:paraId="6B1EE461">
            <w:pPr>
              <w:spacing w:line="276" w:lineRule="auto"/>
              <w:ind w:firstLine="130" w:firstLineChars="50"/>
              <w:rPr>
                <w:i/>
                <w:iCs/>
                <w:sz w:val="26"/>
                <w:szCs w:val="26"/>
              </w:rPr>
            </w:pPr>
            <w:r>
              <w:rPr>
                <w:rFonts w:eastAsia="Times New Roman"/>
                <w:sz w:val="26"/>
                <w:szCs w:val="26"/>
              </w:rPr>
              <w:t xml:space="preserve">- Nhà thầu phải cung cấp các thông tin và chứng từ sau đây về việc vận chuyển thuốc : </w:t>
            </w:r>
            <w:r>
              <w:rPr>
                <w:iCs/>
                <w:color w:val="000000"/>
                <w:sz w:val="26"/>
                <w:szCs w:val="26"/>
              </w:rPr>
              <w:t>Hóa đơn thuốc và phiếu kiểm nghiệm cho từng lô hàng</w:t>
            </w:r>
            <w:r>
              <w:rPr>
                <w:i/>
                <w:iCs/>
                <w:color w:val="000000"/>
                <w:sz w:val="26"/>
                <w:szCs w:val="26"/>
              </w:rPr>
              <w:t>.</w:t>
            </w:r>
          </w:p>
          <w:p w14:paraId="667B5149">
            <w:pPr>
              <w:widowControl w:val="0"/>
              <w:spacing w:line="276" w:lineRule="auto"/>
              <w:ind w:firstLine="33"/>
              <w:rPr>
                <w:sz w:val="26"/>
                <w:szCs w:val="26"/>
              </w:rPr>
            </w:pPr>
            <w:r>
              <w:rPr>
                <w:sz w:val="26"/>
                <w:szCs w:val="26"/>
              </w:rPr>
              <w:t>Bệnh viện ĐHQGHN phải nhận được các tài liệu chứng từ nói tại thời điểm nhận hàng, nếu không Nhà thầu sẽ phải chịu trách nhiệm về bất kỳ chi phí nào phát sinh do việc này.</w:t>
            </w:r>
          </w:p>
          <w:p w14:paraId="4D68168D">
            <w:pPr>
              <w:widowControl w:val="0"/>
              <w:autoSpaceDE w:val="0"/>
              <w:autoSpaceDN w:val="0"/>
              <w:adjustRightInd w:val="0"/>
              <w:spacing w:before="120"/>
              <w:ind w:right="187" w:firstLine="130" w:firstLineChars="50"/>
              <w:jc w:val="both"/>
              <w:rPr>
                <w:rFonts w:eastAsia="Times New Roman"/>
                <w:sz w:val="26"/>
                <w:szCs w:val="26"/>
              </w:rPr>
            </w:pPr>
            <w:r>
              <w:rPr>
                <w:sz w:val="26"/>
                <w:szCs w:val="26"/>
              </w:rPr>
              <w:t xml:space="preserve">- Nhà thầu cam kết </w:t>
            </w:r>
            <w:r>
              <w:rPr>
                <w:iCs/>
                <w:sz w:val="26"/>
                <w:szCs w:val="26"/>
              </w:rPr>
              <w:t>phiếu kiểm nghiệm cho từng lô hàng đạt yêu cầu chất lượng theo đúng hồ sơ đăng ký thuốc đã được cơ quan có thẩm quyền phê duyệt</w:t>
            </w:r>
          </w:p>
        </w:tc>
      </w:tr>
      <w:tr w14:paraId="12C4E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1" w:hRule="atLeast"/>
        </w:trPr>
        <w:tc>
          <w:tcPr>
            <w:tcW w:w="905" w:type="pct"/>
            <w:shd w:val="clear" w:color="auto" w:fill="auto"/>
          </w:tcPr>
          <w:p w14:paraId="5DFFDDBF">
            <w:pPr>
              <w:widowControl w:val="0"/>
              <w:autoSpaceDE w:val="0"/>
              <w:autoSpaceDN w:val="0"/>
              <w:adjustRightInd w:val="0"/>
              <w:spacing w:before="120"/>
              <w:jc w:val="center"/>
              <w:rPr>
                <w:rFonts w:eastAsia="Times New Roman"/>
                <w:sz w:val="26"/>
                <w:szCs w:val="26"/>
              </w:rPr>
            </w:pPr>
            <w:r>
              <w:rPr>
                <w:rFonts w:eastAsia="Times New Roman"/>
                <w:b/>
                <w:bCs/>
                <w:sz w:val="26"/>
                <w:szCs w:val="26"/>
              </w:rPr>
              <w:t>ĐKC 12</w:t>
            </w:r>
          </w:p>
        </w:tc>
        <w:tc>
          <w:tcPr>
            <w:tcW w:w="4094" w:type="pct"/>
            <w:shd w:val="clear" w:color="auto" w:fill="auto"/>
          </w:tcPr>
          <w:p w14:paraId="241AE176">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Loại hợp đồng: Hợp đồng theo đơn giá cố định</w:t>
            </w:r>
          </w:p>
        </w:tc>
      </w:tr>
      <w:tr w14:paraId="42D78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9FE5F18">
            <w:pPr>
              <w:widowControl w:val="0"/>
              <w:autoSpaceDE w:val="0"/>
              <w:autoSpaceDN w:val="0"/>
              <w:adjustRightInd w:val="0"/>
              <w:spacing w:before="120"/>
              <w:jc w:val="center"/>
              <w:rPr>
                <w:rFonts w:eastAsia="Times New Roman"/>
                <w:sz w:val="26"/>
                <w:szCs w:val="26"/>
              </w:rPr>
            </w:pPr>
            <w:r>
              <w:rPr>
                <w:rFonts w:eastAsia="Times New Roman"/>
                <w:b/>
                <w:bCs/>
                <w:sz w:val="26"/>
                <w:szCs w:val="26"/>
              </w:rPr>
              <w:t>ĐKC 13.1</w:t>
            </w:r>
          </w:p>
        </w:tc>
        <w:tc>
          <w:tcPr>
            <w:tcW w:w="4094" w:type="pct"/>
            <w:shd w:val="clear" w:color="auto" w:fill="auto"/>
          </w:tcPr>
          <w:p w14:paraId="61DFE670">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Giá hợp đồng:</w:t>
            </w:r>
            <w:r>
              <w:rPr>
                <w:rFonts w:eastAsia="Times New Roman"/>
                <w:sz w:val="26"/>
                <w:szCs w:val="26"/>
                <w:u w:val="single"/>
              </w:rPr>
              <w:t xml:space="preserve">       </w:t>
            </w:r>
            <w:r>
              <w:rPr>
                <w:rFonts w:eastAsia="Times New Roman"/>
                <w:i/>
                <w:iCs/>
                <w:sz w:val="26"/>
                <w:szCs w:val="26"/>
              </w:rPr>
              <w:t>[ghi giá hợp đồng theo giá trị nêu trong Thư chấp thuận E- HSDT và trao hợp đồng]</w:t>
            </w:r>
            <w:r>
              <w:rPr>
                <w:rFonts w:eastAsia="Times New Roman"/>
                <w:sz w:val="26"/>
                <w:szCs w:val="26"/>
              </w:rPr>
              <w:t>.</w:t>
            </w:r>
          </w:p>
        </w:tc>
      </w:tr>
      <w:tr w14:paraId="7A89D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5" w:hRule="atLeast"/>
        </w:trPr>
        <w:tc>
          <w:tcPr>
            <w:tcW w:w="905" w:type="pct"/>
            <w:shd w:val="clear" w:color="auto" w:fill="auto"/>
          </w:tcPr>
          <w:p w14:paraId="312019EC">
            <w:pPr>
              <w:widowControl w:val="0"/>
              <w:autoSpaceDE w:val="0"/>
              <w:autoSpaceDN w:val="0"/>
              <w:adjustRightInd w:val="0"/>
              <w:spacing w:before="120"/>
              <w:jc w:val="center"/>
              <w:rPr>
                <w:rFonts w:eastAsia="Times New Roman"/>
                <w:sz w:val="26"/>
                <w:szCs w:val="26"/>
              </w:rPr>
            </w:pPr>
            <w:r>
              <w:rPr>
                <w:rFonts w:eastAsia="Times New Roman"/>
                <w:b/>
                <w:bCs/>
                <w:sz w:val="26"/>
                <w:szCs w:val="26"/>
              </w:rPr>
              <w:t>ĐKC 14</w:t>
            </w:r>
          </w:p>
        </w:tc>
        <w:tc>
          <w:tcPr>
            <w:tcW w:w="4094" w:type="pct"/>
            <w:shd w:val="clear" w:color="auto" w:fill="auto"/>
          </w:tcPr>
          <w:p w14:paraId="6C6C44EC">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 .</w:t>
            </w:r>
          </w:p>
        </w:tc>
      </w:tr>
      <w:tr w14:paraId="189B64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61608B8">
            <w:pPr>
              <w:widowControl w:val="0"/>
              <w:autoSpaceDE w:val="0"/>
              <w:autoSpaceDN w:val="0"/>
              <w:adjustRightInd w:val="0"/>
              <w:spacing w:before="120"/>
              <w:jc w:val="center"/>
              <w:rPr>
                <w:rFonts w:eastAsia="Times New Roman"/>
                <w:sz w:val="26"/>
                <w:szCs w:val="26"/>
              </w:rPr>
            </w:pPr>
            <w:r>
              <w:rPr>
                <w:rFonts w:eastAsia="Times New Roman"/>
                <w:b/>
                <w:bCs/>
                <w:sz w:val="26"/>
                <w:szCs w:val="26"/>
              </w:rPr>
              <w:t>ĐKC 15.1</w:t>
            </w:r>
          </w:p>
        </w:tc>
        <w:tc>
          <w:tcPr>
            <w:tcW w:w="4094" w:type="pct"/>
            <w:shd w:val="clear" w:color="auto" w:fill="auto"/>
          </w:tcPr>
          <w:p w14:paraId="2C22CE35">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Phương thức thanh toán: Chuyển khoản</w:t>
            </w:r>
          </w:p>
          <w:p w14:paraId="04E16562">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xml:space="preserve">Thời hạn thanh toán trong vòng </w:t>
            </w:r>
            <w:r>
              <w:rPr>
                <w:rFonts w:hint="default"/>
                <w:b/>
                <w:bCs/>
                <w:color w:val="FF0000"/>
                <w:sz w:val="26"/>
                <w:szCs w:val="26"/>
                <w:lang w:val="en-US"/>
              </w:rPr>
              <w:t xml:space="preserve">45 </w:t>
            </w:r>
            <w:r>
              <w:rPr>
                <w:rFonts w:eastAsia="Times New Roman"/>
                <w:b/>
                <w:bCs/>
                <w:color w:val="FF0000"/>
                <w:sz w:val="26"/>
                <w:szCs w:val="26"/>
              </w:rPr>
              <w:t>ngày</w:t>
            </w:r>
            <w:r>
              <w:rPr>
                <w:rFonts w:eastAsia="Times New Roman"/>
                <w:sz w:val="26"/>
                <w:szCs w:val="26"/>
              </w:rPr>
              <w:t xml:space="preserve"> kể từ khi Nhà thầu xuất trình đầy đủ các chứng từ theo đúng qui định của pháp luật và thuộc trách nhiệm của Nhà thầu. </w:t>
            </w:r>
          </w:p>
        </w:tc>
      </w:tr>
      <w:tr w14:paraId="7CC68A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8DB9E6C">
            <w:pPr>
              <w:widowControl w:val="0"/>
              <w:autoSpaceDE w:val="0"/>
              <w:autoSpaceDN w:val="0"/>
              <w:adjustRightInd w:val="0"/>
              <w:spacing w:before="120"/>
              <w:jc w:val="center"/>
              <w:rPr>
                <w:rFonts w:eastAsia="Times New Roman"/>
                <w:sz w:val="26"/>
                <w:szCs w:val="26"/>
              </w:rPr>
            </w:pPr>
            <w:r>
              <w:rPr>
                <w:rFonts w:eastAsia="Times New Roman"/>
                <w:b/>
                <w:bCs/>
                <w:sz w:val="26"/>
                <w:szCs w:val="26"/>
              </w:rPr>
              <w:t>ĐKC 19</w:t>
            </w:r>
          </w:p>
        </w:tc>
        <w:tc>
          <w:tcPr>
            <w:tcW w:w="4094" w:type="pct"/>
            <w:shd w:val="clear" w:color="auto" w:fill="auto"/>
          </w:tcPr>
          <w:p w14:paraId="438C911B">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xml:space="preserve">Đóng gói thuốc : </w:t>
            </w:r>
            <w:r>
              <w:rPr>
                <w:sz w:val="26"/>
                <w:szCs w:val="26"/>
              </w:rPr>
              <w:t>thuốc còn nguyên đai, kiện</w:t>
            </w:r>
            <w:r>
              <w:rPr>
                <w:i/>
                <w:sz w:val="26"/>
                <w:szCs w:val="26"/>
              </w:rPr>
              <w:t xml:space="preserve">. </w:t>
            </w:r>
            <w:r>
              <w:rPr>
                <w:sz w:val="26"/>
                <w:szCs w:val="26"/>
              </w:rPr>
              <w:t>Với các thuốc lẻ (không đủ kiện (thùng), nhà thầu cần đóng gói theo đúng các nguyên tắc GSP khi giao nhận, vận chuyển.</w:t>
            </w:r>
          </w:p>
        </w:tc>
      </w:tr>
      <w:tr w14:paraId="3015C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56F4653">
            <w:pPr>
              <w:widowControl w:val="0"/>
              <w:autoSpaceDE w:val="0"/>
              <w:autoSpaceDN w:val="0"/>
              <w:adjustRightInd w:val="0"/>
              <w:spacing w:before="120"/>
              <w:jc w:val="center"/>
              <w:rPr>
                <w:rFonts w:eastAsia="Times New Roman"/>
                <w:sz w:val="26"/>
                <w:szCs w:val="26"/>
              </w:rPr>
            </w:pPr>
            <w:r>
              <w:rPr>
                <w:rFonts w:eastAsia="Times New Roman"/>
                <w:b/>
                <w:bCs/>
                <w:sz w:val="26"/>
                <w:szCs w:val="26"/>
              </w:rPr>
              <w:t>ĐKC 20</w:t>
            </w:r>
          </w:p>
        </w:tc>
        <w:tc>
          <w:tcPr>
            <w:tcW w:w="4094" w:type="pct"/>
            <w:shd w:val="clear" w:color="auto" w:fill="auto"/>
          </w:tcPr>
          <w:p w14:paraId="056301E3">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xml:space="preserve">Nội dung bảo hiểm: </w:t>
            </w:r>
            <w:r>
              <w:rPr>
                <w:sz w:val="26"/>
                <w:szCs w:val="26"/>
              </w:rPr>
              <w:t>Nhà thầu chịu trách nhiệm bù đắp những mất mát, tổn thất bất thường, hỏng, vỡ, trong quá trình sản xuất, vận chuyển, lưu kho và giao hàng.</w:t>
            </w:r>
          </w:p>
        </w:tc>
      </w:tr>
      <w:tr w14:paraId="40A72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7" w:hRule="atLeast"/>
        </w:trPr>
        <w:tc>
          <w:tcPr>
            <w:tcW w:w="905" w:type="pct"/>
            <w:shd w:val="clear" w:color="auto" w:fill="auto"/>
          </w:tcPr>
          <w:p w14:paraId="354FF293">
            <w:pPr>
              <w:widowControl w:val="0"/>
              <w:autoSpaceDE w:val="0"/>
              <w:autoSpaceDN w:val="0"/>
              <w:adjustRightInd w:val="0"/>
              <w:spacing w:before="120"/>
              <w:jc w:val="center"/>
              <w:rPr>
                <w:rFonts w:eastAsia="Times New Roman"/>
                <w:sz w:val="26"/>
                <w:szCs w:val="26"/>
              </w:rPr>
            </w:pPr>
            <w:r>
              <w:rPr>
                <w:rFonts w:eastAsia="Times New Roman"/>
                <w:b/>
                <w:bCs/>
                <w:sz w:val="26"/>
                <w:szCs w:val="26"/>
              </w:rPr>
              <w:t>ĐKC 21</w:t>
            </w:r>
          </w:p>
        </w:tc>
        <w:tc>
          <w:tcPr>
            <w:tcW w:w="4094" w:type="pct"/>
            <w:shd w:val="clear" w:color="auto" w:fill="auto"/>
          </w:tcPr>
          <w:p w14:paraId="3A6A3661">
            <w:pPr>
              <w:widowControl w:val="0"/>
              <w:autoSpaceDE w:val="0"/>
              <w:autoSpaceDN w:val="0"/>
              <w:adjustRightInd w:val="0"/>
              <w:spacing w:before="120"/>
              <w:ind w:left="142" w:right="187"/>
              <w:jc w:val="both"/>
              <w:rPr>
                <w:rFonts w:eastAsia="Times New Roman"/>
                <w:sz w:val="26"/>
                <w:szCs w:val="26"/>
              </w:rPr>
            </w:pPr>
            <w:r>
              <w:rPr>
                <w:rFonts w:eastAsia="Times New Roman"/>
                <w:b/>
                <w:bCs/>
                <w:sz w:val="26"/>
                <w:szCs w:val="26"/>
              </w:rPr>
              <w:t xml:space="preserve">- </w:t>
            </w:r>
            <w:r>
              <w:rPr>
                <w:rFonts w:eastAsia="Times New Roman"/>
                <w:sz w:val="26"/>
                <w:szCs w:val="26"/>
              </w:rPr>
              <w:t xml:space="preserve">Yêu cầu về vận chuyển thuốc : </w:t>
            </w:r>
            <w:r>
              <w:rPr>
                <w:sz w:val="26"/>
                <w:szCs w:val="26"/>
              </w:rPr>
              <w:t xml:space="preserve">Giao hàng tại Kho </w:t>
            </w:r>
            <w:r>
              <w:rPr>
                <w:rFonts w:hint="default"/>
                <w:sz w:val="26"/>
                <w:szCs w:val="26"/>
                <w:lang w:val="en-US"/>
              </w:rPr>
              <w:t xml:space="preserve">vắc xin - </w:t>
            </w:r>
            <w:r>
              <w:rPr>
                <w:sz w:val="26"/>
                <w:szCs w:val="26"/>
              </w:rPr>
              <w:t>Bệnh viện ĐHQGHN. Vận chuyển theo đúng đúng điều kiện bảo quản, đảm bảo an toàn, phòng tránh cháy, nổ, tránh đổ, vỡ, hư hỏng.</w:t>
            </w:r>
          </w:p>
        </w:tc>
      </w:tr>
      <w:tr w14:paraId="1FBFE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26" w:hRule="atLeast"/>
        </w:trPr>
        <w:tc>
          <w:tcPr>
            <w:tcW w:w="905" w:type="pct"/>
            <w:shd w:val="clear" w:color="auto" w:fill="auto"/>
          </w:tcPr>
          <w:p w14:paraId="20CA1BE2">
            <w:pPr>
              <w:widowControl w:val="0"/>
              <w:autoSpaceDE w:val="0"/>
              <w:autoSpaceDN w:val="0"/>
              <w:adjustRightInd w:val="0"/>
              <w:spacing w:before="120"/>
              <w:jc w:val="center"/>
              <w:rPr>
                <w:rFonts w:eastAsia="Times New Roman"/>
                <w:sz w:val="26"/>
                <w:szCs w:val="26"/>
              </w:rPr>
            </w:pPr>
            <w:r>
              <w:rPr>
                <w:rFonts w:eastAsia="Times New Roman"/>
                <w:b/>
                <w:bCs/>
                <w:sz w:val="26"/>
                <w:szCs w:val="26"/>
              </w:rPr>
              <w:t>ĐKC 22.1</w:t>
            </w:r>
          </w:p>
        </w:tc>
        <w:tc>
          <w:tcPr>
            <w:tcW w:w="4094" w:type="pct"/>
            <w:shd w:val="clear" w:color="auto" w:fill="auto"/>
          </w:tcPr>
          <w:p w14:paraId="32FE6797">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Kiểm tra, thử nghiệm</w:t>
            </w:r>
            <w:r>
              <w:rPr>
                <w:rFonts w:eastAsia="Times New Roman"/>
                <w:i/>
                <w:iCs/>
                <w:sz w:val="26"/>
                <w:szCs w:val="26"/>
              </w:rPr>
              <w:t xml:space="preserve"> </w:t>
            </w:r>
            <w:r>
              <w:rPr>
                <w:rFonts w:eastAsia="Times New Roman"/>
                <w:sz w:val="26"/>
                <w:szCs w:val="26"/>
              </w:rPr>
              <w:t xml:space="preserve">thuốc : </w:t>
            </w:r>
          </w:p>
          <w:p w14:paraId="73A545AC">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Bên mua có quyền kiểm tra khẳng định thuốc có đặc tính kỹ thuật phù hợp với yêu cầu của hợp đồng hay không.</w:t>
            </w:r>
          </w:p>
          <w:p w14:paraId="1FCFEBCD">
            <w:pPr>
              <w:widowControl w:val="0"/>
              <w:autoSpaceDE w:val="0"/>
              <w:autoSpaceDN w:val="0"/>
              <w:adjustRightInd w:val="0"/>
              <w:spacing w:before="120"/>
              <w:ind w:left="142" w:right="187"/>
              <w:jc w:val="both"/>
              <w:rPr>
                <w:color w:val="000000"/>
                <w:sz w:val="26"/>
                <w:szCs w:val="26"/>
              </w:rPr>
            </w:pPr>
            <w:r>
              <w:rPr>
                <w:color w:val="000000"/>
                <w:sz w:val="26"/>
                <w:szCs w:val="26"/>
              </w:rPr>
              <w:t>Kiểm tra chi tiết từng mặt hàng về chủng loại, số lượng, chất lượng thuốc về đặc tính kỹ thuật của thuốc theo đúng quy định tại thời gian giao hàng.</w:t>
            </w:r>
          </w:p>
          <w:p w14:paraId="21EA86EC">
            <w:pPr>
              <w:widowControl w:val="0"/>
              <w:autoSpaceDE w:val="0"/>
              <w:autoSpaceDN w:val="0"/>
              <w:adjustRightInd w:val="0"/>
              <w:spacing w:before="120"/>
              <w:ind w:left="142" w:right="187"/>
              <w:jc w:val="both"/>
              <w:rPr>
                <w:rFonts w:eastAsia="Times New Roman"/>
                <w:sz w:val="26"/>
                <w:szCs w:val="26"/>
              </w:rPr>
            </w:pPr>
            <w:r>
              <w:rPr>
                <w:color w:val="000000"/>
                <w:sz w:val="26"/>
                <w:szCs w:val="26"/>
              </w:rPr>
              <w:t xml:space="preserve">Nếu nghi ngờ có vấn đề về chất lượng trong vòng 05 ngày làm việc sau khi Bên mua (Bệnh viện </w:t>
            </w:r>
            <w:r>
              <w:rPr>
                <w:sz w:val="26"/>
                <w:szCs w:val="26"/>
              </w:rPr>
              <w:t>ĐHQGHN</w:t>
            </w:r>
            <w:r>
              <w:rPr>
                <w:color w:val="000000"/>
                <w:sz w:val="26"/>
                <w:szCs w:val="26"/>
              </w:rPr>
              <w:t>) nhận thuốc hoặc trong quá trình lưu kho mà không phải do lỗi của Bên mua, Bên mua phải thông báo cho nhà thầu (Bên bán) để cùng nhau giải quyết. Việc kiểm nghiệm lại chất lượng hàng hoá được thực hiện tại Trung tâm Kiểm nghiệm Hà Nội hoặc Viện Kiểm nghiệm thuốc Trung ương. K</w:t>
            </w:r>
            <w:r>
              <w:rPr>
                <w:color w:val="000000"/>
                <w:sz w:val="26"/>
                <w:szCs w:val="26"/>
                <w:lang w:val="nl-NL"/>
              </w:rPr>
              <w:t>inh phí kiểm nghiệm do nhà thầu chịu. Nếu sau khi có kết quả kiểm nghiệm, thuốc không đạt chất lượng, yêu cầu nhà thầu thu hồi thuốc và báo cáo với Sở Y tế, Cục Quản lý Dược xử lý.</w:t>
            </w:r>
          </w:p>
        </w:tc>
      </w:tr>
      <w:tr w14:paraId="4B741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7ACAF68">
            <w:pPr>
              <w:widowControl w:val="0"/>
              <w:autoSpaceDE w:val="0"/>
              <w:autoSpaceDN w:val="0"/>
              <w:adjustRightInd w:val="0"/>
              <w:spacing w:before="120"/>
              <w:jc w:val="center"/>
              <w:rPr>
                <w:rFonts w:eastAsia="Times New Roman"/>
                <w:sz w:val="26"/>
                <w:szCs w:val="26"/>
              </w:rPr>
            </w:pPr>
            <w:r>
              <w:rPr>
                <w:rFonts w:eastAsia="Times New Roman"/>
                <w:b/>
                <w:bCs/>
                <w:sz w:val="26"/>
                <w:szCs w:val="26"/>
              </w:rPr>
              <w:t>ĐKC 23</w:t>
            </w:r>
          </w:p>
        </w:tc>
        <w:tc>
          <w:tcPr>
            <w:tcW w:w="4094" w:type="pct"/>
            <w:shd w:val="clear" w:color="auto" w:fill="auto"/>
          </w:tcPr>
          <w:p w14:paraId="028C8ABD">
            <w:pPr>
              <w:ind w:left="122"/>
              <w:jc w:val="both"/>
              <w:outlineLvl w:val="0"/>
              <w:rPr>
                <w:rFonts w:eastAsia="Times New Roman"/>
                <w:b/>
                <w:bCs/>
                <w:kern w:val="36"/>
                <w:sz w:val="48"/>
                <w:szCs w:val="48"/>
              </w:rPr>
            </w:pPr>
            <w:r>
              <w:rPr>
                <w:rFonts w:eastAsia="Times New Roman"/>
                <w:color w:val="000000"/>
                <w:kern w:val="36"/>
                <w:sz w:val="26"/>
                <w:szCs w:val="26"/>
              </w:rPr>
              <w:t xml:space="preserve">Tổng giá trị bồi thường thiệt hại tối đa là: </w:t>
            </w:r>
            <w:r>
              <w:rPr>
                <w:rFonts w:eastAsia="Times New Roman"/>
                <w:color w:val="FF0000"/>
                <w:kern w:val="36"/>
                <w:sz w:val="26"/>
                <w:szCs w:val="26"/>
              </w:rPr>
              <w:t>8%</w:t>
            </w:r>
            <w:r>
              <w:rPr>
                <w:rFonts w:eastAsia="Times New Roman"/>
                <w:color w:val="000000"/>
                <w:kern w:val="36"/>
                <w:sz w:val="26"/>
                <w:szCs w:val="26"/>
              </w:rPr>
              <w:t>/tổng giá trị của mặt hàng thuốc không thực hiện theo hợp đồng. </w:t>
            </w:r>
          </w:p>
          <w:p w14:paraId="25D3F2B9">
            <w:pPr>
              <w:widowControl w:val="0"/>
              <w:autoSpaceDE w:val="0"/>
              <w:autoSpaceDN w:val="0"/>
              <w:adjustRightInd w:val="0"/>
              <w:spacing w:before="120"/>
              <w:ind w:left="142" w:right="187"/>
              <w:jc w:val="both"/>
              <w:rPr>
                <w:rFonts w:eastAsia="Times New Roman"/>
                <w:sz w:val="26"/>
                <w:szCs w:val="26"/>
              </w:rPr>
            </w:pPr>
            <w:r>
              <w:rPr>
                <w:rFonts w:eastAsia="Times New Roman"/>
                <w:color w:val="000000"/>
                <w:kern w:val="36"/>
                <w:sz w:val="26"/>
                <w:szCs w:val="26"/>
              </w:rPr>
              <w:t xml:space="preserve">Mức khấu trừ: </w:t>
            </w:r>
            <w:r>
              <w:rPr>
                <w:rFonts w:eastAsia="Times New Roman"/>
                <w:color w:val="FF0000"/>
                <w:kern w:val="36"/>
                <w:sz w:val="26"/>
                <w:szCs w:val="26"/>
              </w:rPr>
              <w:t>1%/tuần</w:t>
            </w:r>
            <w:r>
              <w:rPr>
                <w:rFonts w:eastAsia="Times New Roman"/>
                <w:color w:val="000000"/>
                <w:kern w:val="36"/>
                <w:sz w:val="26"/>
                <w:szCs w:val="26"/>
              </w:rPr>
              <w:t>/tổng giá trị của mặt hàng thuốc không thực hiện theo hợp đồng.</w:t>
            </w:r>
          </w:p>
        </w:tc>
      </w:tr>
      <w:tr w14:paraId="3F55C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atLeast"/>
        </w:trPr>
        <w:tc>
          <w:tcPr>
            <w:tcW w:w="905" w:type="pct"/>
            <w:shd w:val="clear" w:color="auto" w:fill="auto"/>
          </w:tcPr>
          <w:p w14:paraId="5572B3DA">
            <w:pPr>
              <w:widowControl w:val="0"/>
              <w:autoSpaceDE w:val="0"/>
              <w:autoSpaceDN w:val="0"/>
              <w:adjustRightInd w:val="0"/>
              <w:spacing w:before="120"/>
              <w:jc w:val="center"/>
              <w:rPr>
                <w:rFonts w:eastAsia="Times New Roman"/>
                <w:sz w:val="26"/>
                <w:szCs w:val="26"/>
              </w:rPr>
            </w:pPr>
            <w:r>
              <w:rPr>
                <w:rFonts w:eastAsia="Times New Roman"/>
                <w:b/>
                <w:bCs/>
                <w:sz w:val="26"/>
                <w:szCs w:val="26"/>
              </w:rPr>
              <w:t>ĐKC 24.1</w:t>
            </w:r>
          </w:p>
        </w:tc>
        <w:tc>
          <w:tcPr>
            <w:tcW w:w="4094" w:type="pct"/>
            <w:shd w:val="clear" w:color="auto" w:fill="auto"/>
          </w:tcPr>
          <w:p w14:paraId="7DCD7883">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Nội dung yêu cầu bảo đảm khác đối với thuốc : không yêu cầu</w:t>
            </w:r>
          </w:p>
        </w:tc>
      </w:tr>
      <w:tr w14:paraId="00303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622B8E37">
            <w:pPr>
              <w:widowControl w:val="0"/>
              <w:autoSpaceDE w:val="0"/>
              <w:autoSpaceDN w:val="0"/>
              <w:adjustRightInd w:val="0"/>
              <w:spacing w:before="120"/>
              <w:jc w:val="center"/>
              <w:rPr>
                <w:rFonts w:eastAsia="Times New Roman"/>
                <w:sz w:val="26"/>
                <w:szCs w:val="26"/>
              </w:rPr>
            </w:pPr>
            <w:r>
              <w:rPr>
                <w:rFonts w:eastAsia="Times New Roman"/>
                <w:b/>
                <w:bCs/>
                <w:sz w:val="26"/>
                <w:szCs w:val="26"/>
              </w:rPr>
              <w:t>ĐKC 24.2</w:t>
            </w:r>
          </w:p>
        </w:tc>
        <w:tc>
          <w:tcPr>
            <w:tcW w:w="4094" w:type="pct"/>
            <w:shd w:val="clear" w:color="auto" w:fill="auto"/>
          </w:tcPr>
          <w:p w14:paraId="21E83AE7">
            <w:pPr>
              <w:pStyle w:val="8"/>
              <w:tabs>
                <w:tab w:val="left" w:pos="269"/>
              </w:tabs>
              <w:autoSpaceDE w:val="0"/>
              <w:autoSpaceDN w:val="0"/>
              <w:spacing w:line="276" w:lineRule="auto"/>
              <w:ind w:left="107" w:right="93"/>
              <w:jc w:val="both"/>
              <w:rPr>
                <w:rFonts w:ascii="Times New Roman" w:hAnsi="Times New Roman"/>
                <w:color w:val="000000"/>
                <w:sz w:val="26"/>
                <w:szCs w:val="26"/>
              </w:rPr>
            </w:pPr>
            <w:r>
              <w:rPr>
                <w:rFonts w:ascii="Times New Roman" w:hAnsi="Times New Roman" w:eastAsia="Times New Roman"/>
                <w:sz w:val="26"/>
                <w:szCs w:val="26"/>
              </w:rPr>
              <w:t xml:space="preserve">Yêu cầu về chất lượng và hạn sử dụng: </w:t>
            </w:r>
            <w:r>
              <w:rPr>
                <w:rFonts w:ascii="Times New Roman" w:hAnsi="Times New Roman"/>
                <w:color w:val="000000"/>
                <w:sz w:val="26"/>
                <w:szCs w:val="26"/>
              </w:rPr>
              <w:t>Đảm bảo còn hạn sử dụng</w:t>
            </w:r>
          </w:p>
          <w:p w14:paraId="1FEAD83C">
            <w:pPr>
              <w:pStyle w:val="8"/>
              <w:tabs>
                <w:tab w:val="left" w:pos="269"/>
              </w:tabs>
              <w:autoSpaceDE w:val="0"/>
              <w:autoSpaceDN w:val="0"/>
              <w:spacing w:line="276" w:lineRule="auto"/>
              <w:ind w:left="107" w:right="93"/>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sz w:val="26"/>
                <w:szCs w:val="26"/>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Pr>
                <w:rFonts w:ascii="Times New Roman" w:hAnsi="Times New Roman"/>
                <w:iCs/>
                <w:sz w:val="26"/>
                <w:szCs w:val="26"/>
              </w:rPr>
              <w:t>Chủ đầu tư quyết định số lượng thuốc đặt hàng dựa theo hạn sử dụng còn lại của thuốc trúng thầu tính đến thời điểm thuốc cung ứng cho cơ sở y tế.</w:t>
            </w:r>
          </w:p>
          <w:p w14:paraId="0D733E5B">
            <w:pPr>
              <w:pStyle w:val="8"/>
              <w:numPr>
                <w:ilvl w:val="0"/>
                <w:numId w:val="1"/>
              </w:numPr>
              <w:tabs>
                <w:tab w:val="left" w:pos="336"/>
              </w:tabs>
              <w:autoSpaceDE w:val="0"/>
              <w:autoSpaceDN w:val="0"/>
              <w:spacing w:line="276" w:lineRule="auto"/>
              <w:ind w:right="101" w:firstLine="64"/>
              <w:jc w:val="both"/>
              <w:rPr>
                <w:rFonts w:ascii="Times New Roman" w:hAnsi="Times New Roman"/>
                <w:color w:val="000000"/>
                <w:sz w:val="26"/>
                <w:szCs w:val="26"/>
              </w:rPr>
            </w:pPr>
            <w:r>
              <w:rPr>
                <w:rFonts w:ascii="Times New Roman" w:hAnsi="Times New Roman"/>
                <w:color w:val="000000"/>
                <w:sz w:val="26"/>
                <w:szCs w:val="26"/>
              </w:rPr>
              <w:t>Cơ chế giải quyết các hư hỏng, khuyết tật phát sinh, thuốc kém chất lượng, phản ứng có hại của thuốc phát sinh trong quá trình sử dụng thuốc:</w:t>
            </w:r>
          </w:p>
          <w:p w14:paraId="5DE008B7">
            <w:pPr>
              <w:pStyle w:val="8"/>
              <w:spacing w:line="276" w:lineRule="auto"/>
              <w:ind w:left="107" w:right="98"/>
              <w:jc w:val="both"/>
              <w:rPr>
                <w:rFonts w:ascii="Times New Roman" w:hAnsi="Times New Roman"/>
                <w:i/>
                <w:color w:val="000000"/>
                <w:sz w:val="26"/>
                <w:szCs w:val="26"/>
              </w:rPr>
            </w:pPr>
            <w:r>
              <w:rPr>
                <w:rFonts w:ascii="Times New Roman" w:hAnsi="Times New Roman"/>
                <w:i/>
                <w:color w:val="000000"/>
                <w:sz w:val="26"/>
                <w:szCs w:val="26"/>
              </w:rPr>
              <w:t xml:space="preserve">+ </w:t>
            </w:r>
            <w:r>
              <w:rPr>
                <w:rFonts w:ascii="Times New Roman" w:hAnsi="Times New Roman"/>
                <w:color w:val="000000"/>
                <w:sz w:val="26"/>
                <w:szCs w:val="26"/>
              </w:rPr>
              <w:t xml:space="preserve">Trong vòng 05 ngày phát hiện, Bệnh viện </w:t>
            </w:r>
            <w:r>
              <w:rPr>
                <w:rFonts w:ascii="Times New Roman" w:hAnsi="Times New Roman"/>
                <w:sz w:val="26"/>
                <w:szCs w:val="26"/>
              </w:rPr>
              <w:t>ĐHQGHN</w:t>
            </w:r>
            <w:r>
              <w:rPr>
                <w:rFonts w:ascii="Times New Roman" w:hAnsi="Times New Roman"/>
                <w:color w:val="000000"/>
                <w:sz w:val="26"/>
                <w:szCs w:val="26"/>
              </w:rPr>
              <w:t xml:space="preserve"> thông báo cho Nhà thầu về các hư hỏng, khuyết tật, thuốc kém chất lượng, phản ứng có hại của thuốc phát sinh trong quá trình sử dụng thuốc</w:t>
            </w:r>
            <w:r>
              <w:rPr>
                <w:rFonts w:ascii="Times New Roman" w:hAnsi="Times New Roman"/>
                <w:i/>
                <w:color w:val="000000"/>
                <w:sz w:val="26"/>
                <w:szCs w:val="26"/>
              </w:rPr>
              <w:t>;</w:t>
            </w:r>
          </w:p>
          <w:p w14:paraId="149EE900">
            <w:pPr>
              <w:widowControl w:val="0"/>
              <w:autoSpaceDE w:val="0"/>
              <w:autoSpaceDN w:val="0"/>
              <w:adjustRightInd w:val="0"/>
              <w:spacing w:before="120"/>
              <w:ind w:left="142" w:right="187"/>
              <w:jc w:val="both"/>
              <w:rPr>
                <w:rFonts w:eastAsia="Times New Roman"/>
                <w:sz w:val="26"/>
                <w:szCs w:val="26"/>
              </w:rPr>
            </w:pPr>
            <w:r>
              <w:rPr>
                <w:color w:val="000000"/>
                <w:sz w:val="26"/>
                <w:szCs w:val="26"/>
              </w:rPr>
              <w:t xml:space="preserve">+ Nhà thầu phải đề xuất phương án tiến hành khắc phục thuốc kém chất lượng, phản ứng có hại của thuốc sau khi nhận được thông báo của Chủ đầu tư hoặc bên mua </w:t>
            </w:r>
            <w:r>
              <w:rPr>
                <w:b/>
                <w:color w:val="000000"/>
                <w:sz w:val="26"/>
                <w:szCs w:val="26"/>
              </w:rPr>
              <w:t>trong vòng 72 giờ</w:t>
            </w:r>
            <w:r>
              <w:rPr>
                <w:color w:val="000000"/>
                <w:sz w:val="26"/>
                <w:szCs w:val="26"/>
              </w:rPr>
              <w:t>; Nhà thầu phải chịu toàn</w:t>
            </w:r>
            <w:r>
              <w:rPr>
                <w:color w:val="000000"/>
                <w:spacing w:val="5"/>
                <w:sz w:val="26"/>
                <w:szCs w:val="26"/>
              </w:rPr>
              <w:t xml:space="preserve"> </w:t>
            </w:r>
            <w:r>
              <w:rPr>
                <w:color w:val="000000"/>
                <w:sz w:val="26"/>
                <w:szCs w:val="26"/>
              </w:rPr>
              <w:t>bộ</w:t>
            </w:r>
            <w:r>
              <w:rPr>
                <w:color w:val="000000"/>
                <w:spacing w:val="6"/>
                <w:sz w:val="26"/>
                <w:szCs w:val="26"/>
              </w:rPr>
              <w:t xml:space="preserve"> </w:t>
            </w:r>
            <w:r>
              <w:rPr>
                <w:color w:val="000000"/>
                <w:sz w:val="26"/>
                <w:szCs w:val="26"/>
              </w:rPr>
              <w:t>chi</w:t>
            </w:r>
            <w:r>
              <w:rPr>
                <w:color w:val="000000"/>
                <w:spacing w:val="6"/>
                <w:sz w:val="26"/>
                <w:szCs w:val="26"/>
              </w:rPr>
              <w:t xml:space="preserve"> </w:t>
            </w:r>
            <w:r>
              <w:rPr>
                <w:color w:val="000000"/>
                <w:sz w:val="26"/>
                <w:szCs w:val="26"/>
              </w:rPr>
              <w:t>phí</w:t>
            </w:r>
            <w:r>
              <w:rPr>
                <w:color w:val="000000"/>
                <w:spacing w:val="7"/>
                <w:sz w:val="26"/>
                <w:szCs w:val="26"/>
              </w:rPr>
              <w:t xml:space="preserve"> </w:t>
            </w:r>
            <w:r>
              <w:rPr>
                <w:color w:val="000000"/>
                <w:sz w:val="26"/>
                <w:szCs w:val="26"/>
              </w:rPr>
              <w:t>cho</w:t>
            </w:r>
            <w:r>
              <w:rPr>
                <w:color w:val="000000"/>
                <w:spacing w:val="6"/>
                <w:sz w:val="26"/>
                <w:szCs w:val="26"/>
              </w:rPr>
              <w:t xml:space="preserve"> </w:t>
            </w:r>
            <w:r>
              <w:rPr>
                <w:color w:val="000000"/>
                <w:sz w:val="26"/>
                <w:szCs w:val="26"/>
              </w:rPr>
              <w:t>việc</w:t>
            </w:r>
            <w:r>
              <w:rPr>
                <w:color w:val="000000"/>
                <w:spacing w:val="6"/>
                <w:sz w:val="26"/>
                <w:szCs w:val="26"/>
              </w:rPr>
              <w:t xml:space="preserve"> </w:t>
            </w:r>
            <w:r>
              <w:rPr>
                <w:color w:val="000000"/>
                <w:sz w:val="26"/>
                <w:szCs w:val="26"/>
              </w:rPr>
              <w:t>khắc</w:t>
            </w:r>
            <w:r>
              <w:rPr>
                <w:color w:val="000000"/>
                <w:spacing w:val="6"/>
                <w:sz w:val="26"/>
                <w:szCs w:val="26"/>
              </w:rPr>
              <w:t xml:space="preserve"> </w:t>
            </w:r>
            <w:r>
              <w:rPr>
                <w:color w:val="000000"/>
                <w:sz w:val="26"/>
                <w:szCs w:val="26"/>
              </w:rPr>
              <w:t>phục</w:t>
            </w:r>
            <w:r>
              <w:rPr>
                <w:color w:val="000000"/>
                <w:spacing w:val="6"/>
                <w:sz w:val="26"/>
                <w:szCs w:val="26"/>
              </w:rPr>
              <w:t xml:space="preserve"> </w:t>
            </w:r>
            <w:r>
              <w:rPr>
                <w:color w:val="000000"/>
                <w:sz w:val="26"/>
                <w:szCs w:val="26"/>
              </w:rPr>
              <w:t>các</w:t>
            </w:r>
            <w:r>
              <w:rPr>
                <w:color w:val="000000"/>
                <w:spacing w:val="9"/>
                <w:sz w:val="26"/>
                <w:szCs w:val="26"/>
              </w:rPr>
              <w:t xml:space="preserve"> </w:t>
            </w:r>
            <w:r>
              <w:rPr>
                <w:color w:val="000000"/>
                <w:sz w:val="26"/>
                <w:szCs w:val="26"/>
              </w:rPr>
              <w:t>hư</w:t>
            </w:r>
            <w:r>
              <w:rPr>
                <w:color w:val="000000"/>
                <w:spacing w:val="6"/>
                <w:sz w:val="26"/>
                <w:szCs w:val="26"/>
              </w:rPr>
              <w:t xml:space="preserve"> </w:t>
            </w:r>
            <w:r>
              <w:rPr>
                <w:color w:val="000000"/>
                <w:sz w:val="26"/>
                <w:szCs w:val="26"/>
              </w:rPr>
              <w:t>hỏng,</w:t>
            </w:r>
            <w:r>
              <w:rPr>
                <w:color w:val="000000"/>
                <w:spacing w:val="6"/>
                <w:sz w:val="26"/>
                <w:szCs w:val="26"/>
              </w:rPr>
              <w:t xml:space="preserve"> </w:t>
            </w:r>
            <w:r>
              <w:rPr>
                <w:color w:val="000000"/>
                <w:sz w:val="26"/>
                <w:szCs w:val="26"/>
              </w:rPr>
              <w:t>khuyết</w:t>
            </w:r>
            <w:r>
              <w:rPr>
                <w:color w:val="000000"/>
                <w:spacing w:val="6"/>
                <w:sz w:val="26"/>
                <w:szCs w:val="26"/>
              </w:rPr>
              <w:t xml:space="preserve"> </w:t>
            </w:r>
            <w:r>
              <w:rPr>
                <w:color w:val="000000"/>
                <w:sz w:val="26"/>
                <w:szCs w:val="26"/>
              </w:rPr>
              <w:t>tật,</w:t>
            </w:r>
            <w:r>
              <w:rPr>
                <w:color w:val="000000"/>
                <w:spacing w:val="5"/>
                <w:sz w:val="26"/>
                <w:szCs w:val="26"/>
              </w:rPr>
              <w:t xml:space="preserve"> </w:t>
            </w:r>
            <w:r>
              <w:rPr>
                <w:color w:val="000000"/>
                <w:sz w:val="26"/>
                <w:szCs w:val="26"/>
              </w:rPr>
              <w:t>thuốc</w:t>
            </w:r>
            <w:r>
              <w:rPr>
                <w:color w:val="000000"/>
                <w:spacing w:val="6"/>
                <w:sz w:val="26"/>
                <w:szCs w:val="26"/>
              </w:rPr>
              <w:t xml:space="preserve"> </w:t>
            </w:r>
            <w:r>
              <w:rPr>
                <w:color w:val="000000"/>
                <w:sz w:val="26"/>
                <w:szCs w:val="26"/>
              </w:rPr>
              <w:t>kém chất lượng, phản ứng có hại của thuốc.</w:t>
            </w:r>
          </w:p>
        </w:tc>
      </w:tr>
      <w:tr w14:paraId="19A6E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98" w:hRule="atLeast"/>
        </w:trPr>
        <w:tc>
          <w:tcPr>
            <w:tcW w:w="905" w:type="pct"/>
            <w:shd w:val="clear" w:color="auto" w:fill="auto"/>
          </w:tcPr>
          <w:p w14:paraId="77C84682">
            <w:pPr>
              <w:widowControl w:val="0"/>
              <w:autoSpaceDE w:val="0"/>
              <w:autoSpaceDN w:val="0"/>
              <w:adjustRightInd w:val="0"/>
              <w:spacing w:before="120"/>
              <w:jc w:val="center"/>
              <w:rPr>
                <w:rFonts w:eastAsia="Times New Roman"/>
                <w:sz w:val="26"/>
                <w:szCs w:val="26"/>
              </w:rPr>
            </w:pPr>
            <w:r>
              <w:rPr>
                <w:rFonts w:eastAsia="Times New Roman"/>
                <w:b/>
                <w:bCs/>
                <w:sz w:val="26"/>
                <w:szCs w:val="26"/>
              </w:rPr>
              <w:t>ĐKC 26.1(d)</w:t>
            </w:r>
          </w:p>
        </w:tc>
        <w:tc>
          <w:tcPr>
            <w:tcW w:w="4094" w:type="pct"/>
            <w:shd w:val="clear" w:color="auto" w:fill="auto"/>
          </w:tcPr>
          <w:p w14:paraId="3B26C244">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xml:space="preserve">Các nội dung khác về hiệu chỉnh, bổ sung hợp đồng: </w:t>
            </w:r>
          </w:p>
          <w:p w14:paraId="531C4CCE">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w:t>
            </w:r>
            <w:r>
              <w:rPr>
                <w:rFonts w:hint="default"/>
                <w:sz w:val="26"/>
                <w:szCs w:val="26"/>
                <w:lang w:val="en-US"/>
              </w:rPr>
              <w:t>40</w:t>
            </w:r>
            <w:r>
              <w:rPr>
                <w:rFonts w:eastAsia="Times New Roman"/>
                <w:sz w:val="26"/>
                <w:szCs w:val="26"/>
              </w:rPr>
              <w:t>/202</w:t>
            </w:r>
            <w:r>
              <w:rPr>
                <w:rFonts w:hint="default"/>
                <w:sz w:val="26"/>
                <w:szCs w:val="26"/>
                <w:lang w:val="en-US"/>
              </w:rPr>
              <w:t>5</w:t>
            </w:r>
            <w:r>
              <w:rPr>
                <w:rFonts w:eastAsia="Times New Roman"/>
                <w:sz w:val="26"/>
                <w:szCs w:val="26"/>
              </w:rPr>
              <w:t>/TT-BYT.</w:t>
            </w:r>
          </w:p>
          <w:p w14:paraId="5387D31A">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Giảm giá trong trường hợp nhà thầu có công văn đề xuất giảm giá thuốc.</w:t>
            </w:r>
          </w:p>
        </w:tc>
      </w:tr>
      <w:tr w14:paraId="320CA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4396C4CA">
            <w:pPr>
              <w:widowControl w:val="0"/>
              <w:autoSpaceDE w:val="0"/>
              <w:autoSpaceDN w:val="0"/>
              <w:adjustRightInd w:val="0"/>
              <w:spacing w:before="120"/>
              <w:jc w:val="center"/>
              <w:rPr>
                <w:rFonts w:eastAsia="Times New Roman"/>
                <w:sz w:val="26"/>
                <w:szCs w:val="26"/>
              </w:rPr>
            </w:pPr>
            <w:r>
              <w:rPr>
                <w:rFonts w:eastAsia="Times New Roman"/>
                <w:b/>
                <w:bCs/>
                <w:sz w:val="26"/>
                <w:szCs w:val="26"/>
              </w:rPr>
              <w:t>ĐKC 27.4</w:t>
            </w:r>
          </w:p>
        </w:tc>
        <w:tc>
          <w:tcPr>
            <w:tcW w:w="4094" w:type="pct"/>
            <w:shd w:val="clear" w:color="auto" w:fill="auto"/>
          </w:tcPr>
          <w:p w14:paraId="1465B86C">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Các trường hợp khác: không.</w:t>
            </w:r>
          </w:p>
        </w:tc>
      </w:tr>
      <w:tr w14:paraId="5FAD7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19F24ACE">
            <w:pPr>
              <w:widowControl w:val="0"/>
              <w:autoSpaceDE w:val="0"/>
              <w:autoSpaceDN w:val="0"/>
              <w:adjustRightInd w:val="0"/>
              <w:spacing w:before="120"/>
              <w:jc w:val="center"/>
              <w:rPr>
                <w:rFonts w:eastAsia="Times New Roman"/>
                <w:sz w:val="26"/>
                <w:szCs w:val="26"/>
              </w:rPr>
            </w:pPr>
            <w:r>
              <w:rPr>
                <w:rFonts w:eastAsia="Times New Roman"/>
                <w:b/>
                <w:bCs/>
                <w:sz w:val="26"/>
                <w:szCs w:val="26"/>
              </w:rPr>
              <w:t>ĐKC 28.1(d)</w:t>
            </w:r>
          </w:p>
        </w:tc>
        <w:tc>
          <w:tcPr>
            <w:tcW w:w="4094" w:type="pct"/>
            <w:shd w:val="clear" w:color="auto" w:fill="auto"/>
          </w:tcPr>
          <w:p w14:paraId="724BC099">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Các hành vi khác: không</w:t>
            </w:r>
            <w:r>
              <w:rPr>
                <w:rFonts w:eastAsia="Times New Roman"/>
                <w:i/>
                <w:iCs/>
                <w:sz w:val="26"/>
                <w:szCs w:val="26"/>
              </w:rPr>
              <w:t>.</w:t>
            </w:r>
          </w:p>
        </w:tc>
      </w:tr>
    </w:tbl>
    <w:p w14:paraId="2044CB68"/>
    <w:p w14:paraId="077EE843">
      <w:pPr>
        <w:rPr>
          <w:lang w:val="es-ES"/>
        </w:rPr>
      </w:pPr>
    </w:p>
    <w:p w14:paraId="4026D75F"/>
    <w:sectPr>
      <w:pgSz w:w="11906" w:h="16838"/>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663F8"/>
    <w:multiLevelType w:val="multilevel"/>
    <w:tmpl w:val="1B0663F8"/>
    <w:lvl w:ilvl="0" w:tentative="0">
      <w:start w:val="0"/>
      <w:numFmt w:val="bullet"/>
      <w:lvlText w:val="-"/>
      <w:lvlJc w:val="left"/>
      <w:pPr>
        <w:ind w:left="107" w:hanging="161"/>
      </w:pPr>
      <w:rPr>
        <w:rFonts w:hint="default" w:ascii="Times New Roman" w:hAnsi="Times New Roman" w:eastAsia="Times New Roman" w:cs="Times New Roman"/>
        <w:i/>
        <w:w w:val="99"/>
        <w:sz w:val="26"/>
        <w:szCs w:val="26"/>
        <w:lang w:eastAsia="en-US" w:bidi="ar-SA"/>
      </w:rPr>
    </w:lvl>
    <w:lvl w:ilvl="1" w:tentative="0">
      <w:start w:val="0"/>
      <w:numFmt w:val="bullet"/>
      <w:lvlText w:val="•"/>
      <w:lvlJc w:val="left"/>
      <w:pPr>
        <w:ind w:left="854" w:hanging="161"/>
      </w:pPr>
      <w:rPr>
        <w:lang w:eastAsia="en-US" w:bidi="ar-SA"/>
      </w:rPr>
    </w:lvl>
    <w:lvl w:ilvl="2" w:tentative="0">
      <w:start w:val="0"/>
      <w:numFmt w:val="bullet"/>
      <w:lvlText w:val="•"/>
      <w:lvlJc w:val="left"/>
      <w:pPr>
        <w:ind w:left="1609" w:hanging="161"/>
      </w:pPr>
      <w:rPr>
        <w:lang w:eastAsia="en-US" w:bidi="ar-SA"/>
      </w:rPr>
    </w:lvl>
    <w:lvl w:ilvl="3" w:tentative="0">
      <w:start w:val="0"/>
      <w:numFmt w:val="bullet"/>
      <w:lvlText w:val="•"/>
      <w:lvlJc w:val="left"/>
      <w:pPr>
        <w:ind w:left="2363" w:hanging="161"/>
      </w:pPr>
      <w:rPr>
        <w:lang w:eastAsia="en-US" w:bidi="ar-SA"/>
      </w:rPr>
    </w:lvl>
    <w:lvl w:ilvl="4" w:tentative="0">
      <w:start w:val="0"/>
      <w:numFmt w:val="bullet"/>
      <w:lvlText w:val="•"/>
      <w:lvlJc w:val="left"/>
      <w:pPr>
        <w:ind w:left="3118" w:hanging="161"/>
      </w:pPr>
      <w:rPr>
        <w:lang w:eastAsia="en-US" w:bidi="ar-SA"/>
      </w:rPr>
    </w:lvl>
    <w:lvl w:ilvl="5" w:tentative="0">
      <w:start w:val="0"/>
      <w:numFmt w:val="bullet"/>
      <w:lvlText w:val="•"/>
      <w:lvlJc w:val="left"/>
      <w:pPr>
        <w:ind w:left="3872" w:hanging="161"/>
      </w:pPr>
      <w:rPr>
        <w:lang w:eastAsia="en-US" w:bidi="ar-SA"/>
      </w:rPr>
    </w:lvl>
    <w:lvl w:ilvl="6" w:tentative="0">
      <w:start w:val="0"/>
      <w:numFmt w:val="bullet"/>
      <w:lvlText w:val="•"/>
      <w:lvlJc w:val="left"/>
      <w:pPr>
        <w:ind w:left="4627" w:hanging="161"/>
      </w:pPr>
      <w:rPr>
        <w:lang w:eastAsia="en-US" w:bidi="ar-SA"/>
      </w:rPr>
    </w:lvl>
    <w:lvl w:ilvl="7" w:tentative="0">
      <w:start w:val="0"/>
      <w:numFmt w:val="bullet"/>
      <w:lvlText w:val="•"/>
      <w:lvlJc w:val="left"/>
      <w:pPr>
        <w:ind w:left="5381" w:hanging="161"/>
      </w:pPr>
      <w:rPr>
        <w:lang w:eastAsia="en-US" w:bidi="ar-SA"/>
      </w:rPr>
    </w:lvl>
    <w:lvl w:ilvl="8" w:tentative="0">
      <w:start w:val="0"/>
      <w:numFmt w:val="bullet"/>
      <w:lvlText w:val="•"/>
      <w:lvlJc w:val="left"/>
      <w:pPr>
        <w:ind w:left="6136" w:hanging="161"/>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47A6D"/>
    <w:rsid w:val="07DF32BE"/>
    <w:rsid w:val="372E44B4"/>
    <w:rsid w:val="3BC900D3"/>
    <w:rsid w:val="3D40587B"/>
    <w:rsid w:val="3D747A6D"/>
    <w:rsid w:val="7C12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Times New Roman" w:cs="Times New Roman"/>
      <w:sz w:val="24"/>
      <w:szCs w:val="20"/>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uppressAutoHyphens/>
      <w:ind w:right="-72"/>
    </w:pPr>
    <w:rPr>
      <w:spacing w:val="-4"/>
      <w:lang w:val="zh-CN" w:eastAsia="zh-CN"/>
    </w:rPr>
  </w:style>
  <w:style w:type="character" w:customStyle="1" w:styleId="5">
    <w:name w:val="Body text (17)_"/>
    <w:link w:val="6"/>
    <w:qFormat/>
    <w:locked/>
    <w:uiPriority w:val="99"/>
    <w:rPr>
      <w:b/>
      <w:bCs/>
      <w:sz w:val="21"/>
      <w:szCs w:val="21"/>
    </w:rPr>
  </w:style>
  <w:style w:type="paragraph" w:customStyle="1" w:styleId="6">
    <w:name w:val="Body text (17)"/>
    <w:basedOn w:val="1"/>
    <w:link w:val="5"/>
    <w:qFormat/>
    <w:uiPriority w:val="99"/>
    <w:pPr>
      <w:widowControl w:val="0"/>
      <w:shd w:val="clear" w:color="auto" w:fill="FFFFFF"/>
      <w:spacing w:line="240" w:lineRule="atLeast"/>
    </w:pPr>
    <w:rPr>
      <w:b/>
      <w:bCs/>
      <w:sz w:val="21"/>
      <w:szCs w:val="21"/>
    </w:rPr>
  </w:style>
  <w:style w:type="character" w:customStyle="1" w:styleId="7">
    <w:name w:val="Body Text Char1"/>
    <w:qFormat/>
    <w:locked/>
    <w:uiPriority w:val="99"/>
    <w:rPr>
      <w:rFonts w:hint="default" w:ascii="Times New Roman" w:hAnsi="Times New Roman" w:cs="Times New Roman"/>
      <w:sz w:val="26"/>
      <w:szCs w:val="26"/>
      <w:shd w:val="clear" w:color="auto" w:fill="FFFFFF"/>
    </w:rPr>
  </w:style>
  <w:style w:type="paragraph" w:customStyle="1" w:styleId="8">
    <w:name w:val="Table Paragraph"/>
    <w:basedOn w:val="1"/>
    <w:qFormat/>
    <w:uiPriority w:val="1"/>
    <w:pPr>
      <w:widowControl w:val="0"/>
    </w:pPr>
    <w:rPr>
      <w:rFonts w:ascii="Calibri" w:hAnsi="Calibri" w:eastAsia="Calibr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2025-05-15T03:33:00Z</dcterms:created>
  <dc:creator>Dung Đỗ</dc:creator>
  <cp:lastModifiedBy>Dung Đỗ</cp:lastModifiedBy>
  <dcterms:modified xsi:type="dcterms:W3CDTF">2025-12-29T03:15:46Z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9B465A24122E4FB99CA5E2A02D2AAD81_11</vt:lpwstr>
  </property>
</Properties>
</file>