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93CB" w14:textId="77777777" w:rsidR="00194854" w:rsidRPr="002B1976" w:rsidRDefault="00194854" w:rsidP="00194854">
      <w:pPr>
        <w:pStyle w:val="TOC1"/>
        <w:rPr>
          <w:sz w:val="26"/>
          <w:szCs w:val="26"/>
        </w:rPr>
      </w:pPr>
      <w:r w:rsidRPr="002B1976">
        <w:rPr>
          <w:sz w:val="26"/>
          <w:szCs w:val="26"/>
        </w:rPr>
        <w:t xml:space="preserve">Mục </w:t>
      </w:r>
      <w:r w:rsidRPr="002B1976">
        <w:rPr>
          <w:sz w:val="26"/>
          <w:szCs w:val="26"/>
          <w:lang w:val="pl-PL"/>
        </w:rPr>
        <w:t>3</w:t>
      </w:r>
      <w:r w:rsidRPr="002B1976">
        <w:rPr>
          <w:sz w:val="26"/>
          <w:szCs w:val="26"/>
        </w:rPr>
        <w:t>. Tiêu chuẩn đánh giá về kỹ thuật</w:t>
      </w:r>
    </w:p>
    <w:p w14:paraId="017BC169" w14:textId="77777777" w:rsidR="00194854" w:rsidRPr="002B1976" w:rsidRDefault="00194854" w:rsidP="00194854">
      <w:pPr>
        <w:spacing w:before="80" w:after="80" w:line="264" w:lineRule="auto"/>
        <w:ind w:firstLine="709"/>
        <w:rPr>
          <w:sz w:val="26"/>
          <w:szCs w:val="26"/>
          <w:lang w:val="nl-NL"/>
        </w:rPr>
      </w:pPr>
      <w:r w:rsidRPr="002B1976">
        <w:rPr>
          <w:b/>
          <w:iCs/>
          <w:sz w:val="26"/>
          <w:szCs w:val="26"/>
          <w:lang w:val="nl-NL"/>
        </w:rPr>
        <w:t>Đánh giá theo phương pháp</w:t>
      </w:r>
      <w:r w:rsidRPr="002B1976" w:rsidDel="00BE4476">
        <w:rPr>
          <w:b/>
          <w:iCs/>
          <w:sz w:val="26"/>
          <w:szCs w:val="26"/>
          <w:lang w:val="nl-NL"/>
        </w:rPr>
        <w:t xml:space="preserve"> </w:t>
      </w:r>
      <w:r w:rsidRPr="002B1976">
        <w:rPr>
          <w:b/>
          <w:iCs/>
          <w:sz w:val="26"/>
          <w:szCs w:val="26"/>
          <w:lang w:val="nl-NL"/>
        </w:rPr>
        <w:t>đạt/không đạt</w:t>
      </w:r>
      <w:r w:rsidRPr="002B1976">
        <w:rPr>
          <w:b/>
          <w:sz w:val="26"/>
          <w:szCs w:val="26"/>
          <w:lang w:val="nl-NL"/>
        </w:rPr>
        <w:t>:</w:t>
      </w:r>
    </w:p>
    <w:p w14:paraId="38ACF5C2" w14:textId="6A3B160C" w:rsidR="00194854" w:rsidRPr="002B1976" w:rsidRDefault="00194854" w:rsidP="00194854">
      <w:pPr>
        <w:spacing w:before="80" w:after="80"/>
        <w:ind w:firstLine="709"/>
        <w:rPr>
          <w:sz w:val="26"/>
          <w:szCs w:val="26"/>
          <w:lang w:val="nl-NL"/>
        </w:rPr>
      </w:pPr>
      <w:r w:rsidRPr="002B1976">
        <w:rPr>
          <w:sz w:val="26"/>
          <w:szCs w:val="26"/>
          <w:lang w:val="nl-NL"/>
        </w:rPr>
        <w:t xml:space="preserve"> </w:t>
      </w:r>
      <w:r w:rsidRPr="002B1976">
        <w:rPr>
          <w:bCs/>
          <w:sz w:val="26"/>
          <w:szCs w:val="26"/>
          <w:lang w:val="nl-NL"/>
        </w:rPr>
        <w:t>Các tài liệu chứng minh tính đáp ứng các tiêu chí đánh giá về kỹ thuật của hàng hóa dự thầu phải còn hiệu lực đến thời điểm đóng thầu.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2715"/>
        <w:gridCol w:w="2520"/>
      </w:tblGrid>
      <w:tr w:rsidR="00AC7ECA" w:rsidRPr="005E3C43" w14:paraId="5E3CFCCA" w14:textId="77777777" w:rsidTr="0090446E">
        <w:trPr>
          <w:tblHeader/>
        </w:trPr>
        <w:tc>
          <w:tcPr>
            <w:tcW w:w="675" w:type="dxa"/>
            <w:vMerge w:val="restart"/>
            <w:shd w:val="clear" w:color="auto" w:fill="auto"/>
            <w:vAlign w:val="center"/>
          </w:tcPr>
          <w:p w14:paraId="28C5A843" w14:textId="77777777" w:rsidR="00194854" w:rsidRPr="005E3C43" w:rsidRDefault="00194854" w:rsidP="00142728">
            <w:pPr>
              <w:spacing w:before="120" w:after="120"/>
              <w:jc w:val="center"/>
              <w:rPr>
                <w:b/>
                <w:szCs w:val="24"/>
              </w:rPr>
            </w:pPr>
            <w:r w:rsidRPr="005E3C43">
              <w:rPr>
                <w:b/>
                <w:szCs w:val="24"/>
              </w:rPr>
              <w:t>Stt</w:t>
            </w:r>
          </w:p>
        </w:tc>
        <w:tc>
          <w:tcPr>
            <w:tcW w:w="3828" w:type="dxa"/>
            <w:vMerge w:val="restart"/>
            <w:shd w:val="clear" w:color="auto" w:fill="auto"/>
            <w:vAlign w:val="center"/>
          </w:tcPr>
          <w:p w14:paraId="71AFA657" w14:textId="77777777" w:rsidR="00194854" w:rsidRPr="005E3C43" w:rsidRDefault="00194854" w:rsidP="00142728">
            <w:pPr>
              <w:spacing w:before="120" w:after="120"/>
              <w:jc w:val="center"/>
              <w:rPr>
                <w:b/>
                <w:szCs w:val="24"/>
              </w:rPr>
            </w:pPr>
            <w:r w:rsidRPr="005E3C43">
              <w:rPr>
                <w:b/>
                <w:szCs w:val="24"/>
              </w:rPr>
              <w:t>Nội dung yêu cầu</w:t>
            </w:r>
          </w:p>
        </w:tc>
        <w:tc>
          <w:tcPr>
            <w:tcW w:w="5235" w:type="dxa"/>
            <w:gridSpan w:val="2"/>
            <w:shd w:val="clear" w:color="auto" w:fill="auto"/>
            <w:vAlign w:val="center"/>
          </w:tcPr>
          <w:p w14:paraId="7F620264" w14:textId="77777777" w:rsidR="00194854" w:rsidRPr="005E3C43" w:rsidRDefault="00194854" w:rsidP="00142728">
            <w:pPr>
              <w:spacing w:before="120" w:after="120"/>
              <w:jc w:val="center"/>
              <w:rPr>
                <w:szCs w:val="24"/>
              </w:rPr>
            </w:pPr>
            <w:r w:rsidRPr="005E3C43">
              <w:rPr>
                <w:b/>
                <w:szCs w:val="24"/>
              </w:rPr>
              <w:t>Mức độ đáp ứng</w:t>
            </w:r>
          </w:p>
        </w:tc>
      </w:tr>
      <w:tr w:rsidR="00AC7ECA" w:rsidRPr="005E3C43" w14:paraId="4F2C2841" w14:textId="77777777" w:rsidTr="0090446E">
        <w:trPr>
          <w:trHeight w:val="455"/>
          <w:tblHeader/>
        </w:trPr>
        <w:tc>
          <w:tcPr>
            <w:tcW w:w="675" w:type="dxa"/>
            <w:vMerge/>
            <w:shd w:val="clear" w:color="auto" w:fill="auto"/>
            <w:vAlign w:val="center"/>
          </w:tcPr>
          <w:p w14:paraId="672A6659" w14:textId="77777777" w:rsidR="00194854" w:rsidRPr="005E3C43" w:rsidRDefault="00194854" w:rsidP="00142728">
            <w:pPr>
              <w:spacing w:before="120" w:after="120"/>
              <w:jc w:val="center"/>
              <w:rPr>
                <w:b/>
                <w:szCs w:val="24"/>
              </w:rPr>
            </w:pPr>
          </w:p>
        </w:tc>
        <w:tc>
          <w:tcPr>
            <w:tcW w:w="3828" w:type="dxa"/>
            <w:vMerge/>
            <w:shd w:val="clear" w:color="auto" w:fill="auto"/>
            <w:vAlign w:val="center"/>
          </w:tcPr>
          <w:p w14:paraId="0A37501D" w14:textId="77777777" w:rsidR="00194854" w:rsidRPr="005E3C43" w:rsidRDefault="00194854" w:rsidP="00142728">
            <w:pPr>
              <w:spacing w:before="120" w:after="120"/>
              <w:jc w:val="center"/>
              <w:rPr>
                <w:b/>
                <w:szCs w:val="24"/>
              </w:rPr>
            </w:pPr>
          </w:p>
        </w:tc>
        <w:tc>
          <w:tcPr>
            <w:tcW w:w="2715" w:type="dxa"/>
            <w:shd w:val="clear" w:color="auto" w:fill="auto"/>
            <w:vAlign w:val="center"/>
          </w:tcPr>
          <w:p w14:paraId="76044921" w14:textId="77777777" w:rsidR="00194854" w:rsidRPr="005E3C43" w:rsidRDefault="00194854" w:rsidP="00142728">
            <w:pPr>
              <w:spacing w:before="120" w:after="120"/>
              <w:ind w:left="-57" w:right="-57"/>
              <w:jc w:val="center"/>
              <w:rPr>
                <w:b/>
                <w:szCs w:val="24"/>
              </w:rPr>
            </w:pPr>
            <w:r w:rsidRPr="005E3C43">
              <w:rPr>
                <w:b/>
                <w:szCs w:val="24"/>
              </w:rPr>
              <w:t>Đạt</w:t>
            </w:r>
          </w:p>
        </w:tc>
        <w:tc>
          <w:tcPr>
            <w:tcW w:w="2520" w:type="dxa"/>
            <w:shd w:val="clear" w:color="auto" w:fill="auto"/>
            <w:vAlign w:val="center"/>
          </w:tcPr>
          <w:p w14:paraId="69BDD57B" w14:textId="77777777" w:rsidR="00194854" w:rsidRPr="005E3C43" w:rsidRDefault="00194854" w:rsidP="00142728">
            <w:pPr>
              <w:spacing w:before="120" w:after="120"/>
              <w:ind w:left="-57" w:right="-57"/>
              <w:jc w:val="center"/>
              <w:rPr>
                <w:b/>
                <w:szCs w:val="24"/>
              </w:rPr>
            </w:pPr>
            <w:r w:rsidRPr="005E3C43">
              <w:rPr>
                <w:b/>
                <w:szCs w:val="24"/>
              </w:rPr>
              <w:t>Không đạt</w:t>
            </w:r>
          </w:p>
        </w:tc>
      </w:tr>
      <w:tr w:rsidR="00AC7ECA" w:rsidRPr="005E3C43" w14:paraId="40C9D9AF" w14:textId="77777777" w:rsidTr="0090446E">
        <w:trPr>
          <w:trHeight w:val="1617"/>
        </w:trPr>
        <w:tc>
          <w:tcPr>
            <w:tcW w:w="675" w:type="dxa"/>
            <w:shd w:val="clear" w:color="auto" w:fill="auto"/>
            <w:vAlign w:val="center"/>
          </w:tcPr>
          <w:p w14:paraId="649841BE" w14:textId="77777777" w:rsidR="00194854" w:rsidRPr="005E3C43" w:rsidRDefault="00194854" w:rsidP="00142728">
            <w:pPr>
              <w:spacing w:before="120" w:after="120"/>
              <w:jc w:val="center"/>
              <w:rPr>
                <w:szCs w:val="24"/>
              </w:rPr>
            </w:pPr>
            <w:r w:rsidRPr="005E3C43">
              <w:rPr>
                <w:szCs w:val="24"/>
              </w:rPr>
              <w:t>1</w:t>
            </w:r>
          </w:p>
        </w:tc>
        <w:tc>
          <w:tcPr>
            <w:tcW w:w="3828" w:type="dxa"/>
            <w:shd w:val="clear" w:color="auto" w:fill="auto"/>
            <w:vAlign w:val="center"/>
          </w:tcPr>
          <w:p w14:paraId="147593DD" w14:textId="0AA5021E" w:rsidR="00194854" w:rsidRPr="005E3C43" w:rsidRDefault="001B7287" w:rsidP="001B7287">
            <w:pPr>
              <w:pStyle w:val="ListParagraph"/>
              <w:spacing w:before="120" w:after="120"/>
              <w:ind w:left="0"/>
              <w:contextualSpacing w:val="0"/>
              <w:jc w:val="left"/>
              <w:rPr>
                <w:szCs w:val="24"/>
                <w:lang w:val="pl-PL"/>
              </w:rPr>
            </w:pPr>
            <w:r w:rsidRPr="005E3C43">
              <w:rPr>
                <w:b/>
                <w:bCs/>
                <w:szCs w:val="24"/>
              </w:rPr>
              <w:t>Sửa chữa Hệ thống chụp CT 64 lát cắt</w:t>
            </w:r>
            <w:r w:rsidRPr="005E3C43">
              <w:rPr>
                <w:b/>
                <w:bCs/>
                <w:szCs w:val="24"/>
              </w:rPr>
              <w:br/>
            </w:r>
            <w:r w:rsidRPr="005E3C43">
              <w:rPr>
                <w:szCs w:val="24"/>
              </w:rPr>
              <w:t>Model: Definition AS</w:t>
            </w:r>
            <w:r w:rsidRPr="005E3C43">
              <w:rPr>
                <w:szCs w:val="24"/>
              </w:rPr>
              <w:br/>
              <w:t>Hãng: Siemens</w:t>
            </w:r>
            <w:r w:rsidRPr="005E3C43">
              <w:rPr>
                <w:szCs w:val="24"/>
              </w:rPr>
              <w:br/>
              <w:t>Năm sản xuất: 2014</w:t>
            </w:r>
          </w:p>
        </w:tc>
        <w:tc>
          <w:tcPr>
            <w:tcW w:w="2715" w:type="dxa"/>
            <w:shd w:val="clear" w:color="auto" w:fill="auto"/>
            <w:vAlign w:val="center"/>
          </w:tcPr>
          <w:p w14:paraId="274BAD2A" w14:textId="2FC20BD6" w:rsidR="000B11C3" w:rsidRPr="005E3C43" w:rsidRDefault="000B11C3" w:rsidP="000B11C3">
            <w:pPr>
              <w:spacing w:before="120" w:after="120"/>
              <w:rPr>
                <w:szCs w:val="24"/>
                <w:lang w:val="pl-PL"/>
              </w:rPr>
            </w:pPr>
            <w:r w:rsidRPr="005E3C43">
              <w:rPr>
                <w:szCs w:val="24"/>
                <w:lang w:val="pl-PL"/>
              </w:rPr>
              <w:t>Cam kết đảm bảo Thiết bị sau khi sửa chữa sẽ hoạt động bình thường</w:t>
            </w:r>
            <w:r w:rsidR="00BA33AA" w:rsidRPr="005E3C43">
              <w:rPr>
                <w:szCs w:val="24"/>
                <w:lang w:val="pl-PL"/>
              </w:rPr>
              <w:t>.</w:t>
            </w:r>
          </w:p>
          <w:p w14:paraId="37B78230" w14:textId="68E9A914" w:rsidR="00194854" w:rsidRPr="005E3C43" w:rsidRDefault="000B11C3" w:rsidP="000B11C3">
            <w:pPr>
              <w:spacing w:before="120" w:after="120"/>
              <w:rPr>
                <w:szCs w:val="24"/>
                <w:lang w:val="pl-PL"/>
              </w:rPr>
            </w:pPr>
            <w:r w:rsidRPr="005E3C43">
              <w:rPr>
                <w:szCs w:val="24"/>
                <w:lang w:val="pl-PL"/>
              </w:rPr>
              <w:t>Cam kết đáp ứng các yêu cầu tại chương V</w:t>
            </w:r>
            <w:r w:rsidR="00DC235A" w:rsidRPr="005E3C43">
              <w:rPr>
                <w:szCs w:val="24"/>
                <w:lang w:val="pl-PL"/>
              </w:rPr>
              <w:t>.</w:t>
            </w:r>
          </w:p>
        </w:tc>
        <w:tc>
          <w:tcPr>
            <w:tcW w:w="2520" w:type="dxa"/>
            <w:shd w:val="clear" w:color="auto" w:fill="auto"/>
            <w:vAlign w:val="center"/>
          </w:tcPr>
          <w:p w14:paraId="72F04CBD" w14:textId="29BCC801" w:rsidR="00194854" w:rsidRPr="005E3C43" w:rsidRDefault="000B11C3" w:rsidP="00E46082">
            <w:pPr>
              <w:spacing w:before="120" w:after="120"/>
              <w:jc w:val="center"/>
              <w:rPr>
                <w:szCs w:val="24"/>
                <w:lang w:val="pl-PL"/>
              </w:rPr>
            </w:pPr>
            <w:r w:rsidRPr="005E3C43">
              <w:rPr>
                <w:szCs w:val="24"/>
                <w:lang w:val="pl-PL"/>
              </w:rPr>
              <w:t>Không có cam kết</w:t>
            </w:r>
          </w:p>
        </w:tc>
      </w:tr>
      <w:tr w:rsidR="00AC7ECA" w:rsidRPr="005E3C43" w14:paraId="774F2411" w14:textId="77777777" w:rsidTr="00AC7ECA">
        <w:trPr>
          <w:trHeight w:val="2266"/>
        </w:trPr>
        <w:tc>
          <w:tcPr>
            <w:tcW w:w="675" w:type="dxa"/>
            <w:shd w:val="clear" w:color="auto" w:fill="auto"/>
            <w:vAlign w:val="center"/>
          </w:tcPr>
          <w:p w14:paraId="58550A61" w14:textId="3BD93E4E" w:rsidR="00B82596" w:rsidRPr="005E3C43" w:rsidRDefault="00B82596" w:rsidP="00B82596">
            <w:pPr>
              <w:spacing w:before="120" w:after="120"/>
              <w:jc w:val="center"/>
              <w:rPr>
                <w:szCs w:val="24"/>
              </w:rPr>
            </w:pPr>
            <w:r w:rsidRPr="005E3C43">
              <w:rPr>
                <w:szCs w:val="24"/>
              </w:rPr>
              <w:t>2</w:t>
            </w:r>
          </w:p>
        </w:tc>
        <w:tc>
          <w:tcPr>
            <w:tcW w:w="3828" w:type="dxa"/>
            <w:shd w:val="clear" w:color="auto" w:fill="auto"/>
            <w:vAlign w:val="center"/>
          </w:tcPr>
          <w:p w14:paraId="517C224C" w14:textId="405BABF8" w:rsidR="00B82596" w:rsidRPr="005E3C43" w:rsidRDefault="00B82596" w:rsidP="00B82596">
            <w:pPr>
              <w:widowControl w:val="0"/>
              <w:suppressAutoHyphens/>
              <w:spacing w:before="120" w:after="120"/>
              <w:rPr>
                <w:szCs w:val="24"/>
              </w:rPr>
            </w:pPr>
            <w:r w:rsidRPr="005E3C43">
              <w:rPr>
                <w:szCs w:val="24"/>
                <w:lang w:val="vi-VN"/>
              </w:rPr>
              <w:t>Uy tín của nhà thầu thông qua việc tham dự thầu (không thương thảo hợp đồng, có quyết định trúng thầu nhưng không tiến hành hoàn thiện, ký kết hợp đồng) và thực hiện các hợp đồng tương tự trước đó</w:t>
            </w:r>
            <w:r w:rsidRPr="005E3C43">
              <w:rPr>
                <w:szCs w:val="24"/>
              </w:rPr>
              <w:t xml:space="preserve"> (Từ năm 2022 </w:t>
            </w:r>
            <w:r w:rsidRPr="005E3C43">
              <w:rPr>
                <w:szCs w:val="24"/>
              </w:rPr>
              <w:t>trở về sau</w:t>
            </w:r>
            <w:r w:rsidRPr="005E3C43">
              <w:rPr>
                <w:szCs w:val="24"/>
              </w:rPr>
              <w:t>).</w:t>
            </w:r>
          </w:p>
        </w:tc>
        <w:tc>
          <w:tcPr>
            <w:tcW w:w="2715" w:type="dxa"/>
            <w:shd w:val="clear" w:color="auto" w:fill="auto"/>
            <w:vAlign w:val="center"/>
          </w:tcPr>
          <w:p w14:paraId="6E7B8334" w14:textId="77777777" w:rsidR="00B82596" w:rsidRPr="005E3C43" w:rsidRDefault="00B82596" w:rsidP="00B82596">
            <w:pPr>
              <w:widowControl w:val="0"/>
              <w:spacing w:before="60" w:after="60"/>
              <w:rPr>
                <w:szCs w:val="24"/>
              </w:rPr>
            </w:pPr>
            <w:r w:rsidRPr="005E3C43">
              <w:rPr>
                <w:szCs w:val="24"/>
              </w:rPr>
              <w:t>Nhà thầu cam kết v</w:t>
            </w:r>
            <w:r w:rsidRPr="005E3C43">
              <w:rPr>
                <w:szCs w:val="24"/>
                <w:lang w:val="vi-VN"/>
              </w:rPr>
              <w:t>iệc tham dự thầu</w:t>
            </w:r>
            <w:r w:rsidRPr="005E3C43">
              <w:rPr>
                <w:szCs w:val="24"/>
              </w:rPr>
              <w:t xml:space="preserve"> của nhà thầu</w:t>
            </w:r>
            <w:r w:rsidRPr="005E3C43">
              <w:rPr>
                <w:szCs w:val="24"/>
                <w:lang w:val="vi-VN"/>
              </w:rPr>
              <w:t xml:space="preserve"> (</w:t>
            </w:r>
            <w:r w:rsidRPr="005E3C43">
              <w:rPr>
                <w:szCs w:val="24"/>
              </w:rPr>
              <w:t xml:space="preserve">không có các trường hợp: </w:t>
            </w:r>
            <w:r w:rsidRPr="005E3C43">
              <w:rPr>
                <w:szCs w:val="24"/>
                <w:lang w:val="vi-VN"/>
              </w:rPr>
              <w:t>có quyết định trúng thầu nhưng không tiến hành hoàn thiện, ký kết hợp đồn</w:t>
            </w:r>
            <w:bookmarkStart w:id="0" w:name="_GoBack"/>
            <w:bookmarkEnd w:id="0"/>
            <w:r w:rsidRPr="005E3C43">
              <w:rPr>
                <w:szCs w:val="24"/>
                <w:lang w:val="vi-VN"/>
              </w:rPr>
              <w:t>g)</w:t>
            </w:r>
            <w:r w:rsidRPr="005E3C43">
              <w:rPr>
                <w:szCs w:val="24"/>
              </w:rPr>
              <w:t>.</w:t>
            </w:r>
          </w:p>
          <w:p w14:paraId="223CAF81" w14:textId="136563BF" w:rsidR="00B82596" w:rsidRPr="005E3C43" w:rsidRDefault="00B82596" w:rsidP="00B82596">
            <w:pPr>
              <w:spacing w:before="120" w:after="120"/>
              <w:rPr>
                <w:szCs w:val="24"/>
                <w:lang w:val="pl-PL"/>
              </w:rPr>
            </w:pPr>
            <w:r w:rsidRPr="005E3C43">
              <w:rPr>
                <w:rFonts w:eastAsia="Calibri"/>
                <w:szCs w:val="24"/>
              </w:rPr>
              <w:t>Không có hợp đồng tương tự bỏ dở hoặc chậm tiến độ do lỗi của nhà thầu.</w:t>
            </w:r>
          </w:p>
        </w:tc>
        <w:tc>
          <w:tcPr>
            <w:tcW w:w="2520" w:type="dxa"/>
            <w:shd w:val="clear" w:color="auto" w:fill="auto"/>
            <w:vAlign w:val="center"/>
          </w:tcPr>
          <w:p w14:paraId="0D259EF0" w14:textId="215CEAB1" w:rsidR="00B82596" w:rsidRPr="005E3C43" w:rsidRDefault="00B82596" w:rsidP="00B82596">
            <w:pPr>
              <w:spacing w:before="120" w:after="120"/>
              <w:jc w:val="center"/>
              <w:rPr>
                <w:szCs w:val="24"/>
                <w:lang w:val="pl-PL"/>
              </w:rPr>
            </w:pPr>
            <w:r w:rsidRPr="005E3C43">
              <w:rPr>
                <w:szCs w:val="24"/>
                <w:lang w:val="de-DE"/>
              </w:rPr>
              <w:t>Không có cam kết của Nhà thầu</w:t>
            </w:r>
          </w:p>
        </w:tc>
      </w:tr>
      <w:tr w:rsidR="00AC7ECA" w:rsidRPr="005E3C43" w14:paraId="737C3B8E" w14:textId="77777777" w:rsidTr="00AC7ECA">
        <w:trPr>
          <w:trHeight w:val="481"/>
        </w:trPr>
        <w:tc>
          <w:tcPr>
            <w:tcW w:w="675" w:type="dxa"/>
            <w:shd w:val="clear" w:color="auto" w:fill="auto"/>
            <w:vAlign w:val="center"/>
          </w:tcPr>
          <w:p w14:paraId="7B071864" w14:textId="7B2DF618" w:rsidR="00A66092" w:rsidRPr="005E3C43" w:rsidRDefault="00A66092" w:rsidP="00A66092">
            <w:pPr>
              <w:spacing w:before="120" w:after="120"/>
              <w:jc w:val="center"/>
              <w:rPr>
                <w:szCs w:val="24"/>
              </w:rPr>
            </w:pPr>
            <w:r w:rsidRPr="005E3C43">
              <w:rPr>
                <w:szCs w:val="24"/>
              </w:rPr>
              <w:t>3</w:t>
            </w:r>
          </w:p>
        </w:tc>
        <w:tc>
          <w:tcPr>
            <w:tcW w:w="3828" w:type="dxa"/>
            <w:shd w:val="clear" w:color="auto" w:fill="auto"/>
            <w:vAlign w:val="center"/>
          </w:tcPr>
          <w:p w14:paraId="5A3FBA39" w14:textId="509655E8" w:rsidR="00A66092" w:rsidRPr="005E3C43" w:rsidRDefault="00A66092" w:rsidP="00A66092">
            <w:pPr>
              <w:widowControl w:val="0"/>
              <w:suppressAutoHyphens/>
              <w:spacing w:before="120" w:after="120"/>
              <w:rPr>
                <w:szCs w:val="24"/>
                <w:lang w:val="vi-VN"/>
              </w:rPr>
            </w:pPr>
            <w:r w:rsidRPr="005E3C43">
              <w:rPr>
                <w:szCs w:val="24"/>
              </w:rPr>
              <w:t>Nhân sự chủ chốt</w:t>
            </w:r>
          </w:p>
        </w:tc>
        <w:tc>
          <w:tcPr>
            <w:tcW w:w="2715" w:type="dxa"/>
            <w:shd w:val="clear" w:color="auto" w:fill="auto"/>
            <w:vAlign w:val="center"/>
          </w:tcPr>
          <w:p w14:paraId="326A96F3" w14:textId="77777777" w:rsidR="00A66092" w:rsidRPr="005E3C43" w:rsidRDefault="00A66092" w:rsidP="00A66092">
            <w:pPr>
              <w:widowControl w:val="0"/>
              <w:spacing w:before="60" w:after="60"/>
              <w:rPr>
                <w:szCs w:val="24"/>
                <w:lang w:eastAsia="vi-VN"/>
              </w:rPr>
            </w:pPr>
            <w:r w:rsidRPr="005E3C43">
              <w:rPr>
                <w:szCs w:val="24"/>
                <w:lang w:eastAsia="vi-VN"/>
              </w:rPr>
              <w:t>≥ 01 Cán bộ quản lý (Tốt nghiệp đại học trở lên).</w:t>
            </w:r>
          </w:p>
          <w:p w14:paraId="3E2DB0CF" w14:textId="77777777" w:rsidR="00A66092" w:rsidRPr="005E3C43" w:rsidRDefault="00A66092" w:rsidP="00A66092">
            <w:pPr>
              <w:widowControl w:val="0"/>
              <w:spacing w:before="60" w:after="60"/>
              <w:rPr>
                <w:szCs w:val="24"/>
                <w:lang w:eastAsia="vi-VN"/>
              </w:rPr>
            </w:pPr>
            <w:r w:rsidRPr="005E3C43">
              <w:rPr>
                <w:szCs w:val="24"/>
                <w:lang w:eastAsia="vi-VN"/>
              </w:rPr>
              <w:t>≥ 01 Nhân viên kỹ thuật (Tốt nghiệp cao đẳng trở lên).</w:t>
            </w:r>
          </w:p>
          <w:p w14:paraId="79E4C871" w14:textId="77777777" w:rsidR="00A66092" w:rsidRPr="005E3C43" w:rsidRDefault="00A66092" w:rsidP="00A66092">
            <w:pPr>
              <w:widowControl w:val="0"/>
              <w:spacing w:before="60" w:after="60"/>
              <w:rPr>
                <w:szCs w:val="24"/>
                <w:lang w:eastAsia="vi-VN"/>
              </w:rPr>
            </w:pPr>
            <w:r w:rsidRPr="005E3C43">
              <w:rPr>
                <w:szCs w:val="24"/>
                <w:lang w:eastAsia="vi-VN"/>
              </w:rPr>
              <w:t>- Có bằng cấp chuyên ngành: Điện - Điện tử, Điện tử - Tự động hóa; Kỹ thuật y sinh; hoặc tương đương chuyên ngành kỹ thuật có liên quan).</w:t>
            </w:r>
          </w:p>
          <w:p w14:paraId="58EA8FAF" w14:textId="77777777" w:rsidR="00A66092" w:rsidRPr="005E3C43" w:rsidRDefault="00A66092" w:rsidP="00A66092">
            <w:pPr>
              <w:widowControl w:val="0"/>
              <w:spacing w:before="60" w:after="60"/>
              <w:rPr>
                <w:szCs w:val="24"/>
                <w:lang w:eastAsia="vi-VN"/>
              </w:rPr>
            </w:pPr>
            <w:r w:rsidRPr="005E3C43">
              <w:rPr>
                <w:szCs w:val="24"/>
                <w:lang w:eastAsia="vi-VN"/>
              </w:rPr>
              <w:t xml:space="preserve">- Có chứng chỉ đào tạo của chính hãng sản xuất về chủng loại, model của thiết bị thực hiện dịch vụ (Siemens). </w:t>
            </w:r>
          </w:p>
          <w:p w14:paraId="3997177F" w14:textId="77777777" w:rsidR="00A66092" w:rsidRPr="005E3C43" w:rsidRDefault="00A66092" w:rsidP="00A66092">
            <w:pPr>
              <w:widowControl w:val="0"/>
              <w:spacing w:before="60" w:after="60"/>
              <w:rPr>
                <w:szCs w:val="24"/>
                <w:lang w:eastAsia="vi-VN"/>
              </w:rPr>
            </w:pPr>
            <w:r w:rsidRPr="005E3C43">
              <w:rPr>
                <w:szCs w:val="24"/>
                <w:lang w:eastAsia="vi-VN"/>
              </w:rPr>
              <w:t>- Tối thiểu 2 năm kinh nghiệm.</w:t>
            </w:r>
          </w:p>
          <w:p w14:paraId="59D80D53" w14:textId="746D44B1" w:rsidR="00A66092" w:rsidRPr="005E3C43" w:rsidRDefault="00A66092" w:rsidP="00A66092">
            <w:pPr>
              <w:widowControl w:val="0"/>
              <w:spacing w:before="60" w:after="60"/>
              <w:rPr>
                <w:szCs w:val="24"/>
              </w:rPr>
            </w:pPr>
            <w:r w:rsidRPr="005E3C43">
              <w:rPr>
                <w:szCs w:val="24"/>
                <w:lang w:eastAsia="vi-VN"/>
              </w:rPr>
              <w:t xml:space="preserve">- Đính kèm: File scan bản gốc hoặc bản sao được chứng thực tại cơ quan có thẩm quyền bằng tốt </w:t>
            </w:r>
            <w:r w:rsidRPr="005E3C43">
              <w:rPr>
                <w:szCs w:val="24"/>
                <w:lang w:eastAsia="vi-VN"/>
              </w:rPr>
              <w:lastRenderedPageBreak/>
              <w:t>nghiệp Đại học trở lên của nhân sự và các chứng chỉ, chứng nhận có liên quan (Trường hợp nhân sự không thuộc quản lý của nhà thầu thì cần cung cấp tài liệu chứng minh khả năng huy động nhân sự của nhà thầu).</w:t>
            </w:r>
          </w:p>
        </w:tc>
        <w:tc>
          <w:tcPr>
            <w:tcW w:w="2520" w:type="dxa"/>
            <w:shd w:val="clear" w:color="auto" w:fill="auto"/>
            <w:vAlign w:val="center"/>
          </w:tcPr>
          <w:p w14:paraId="50840337" w14:textId="1B3B7EB8" w:rsidR="00A66092" w:rsidRPr="005E3C43" w:rsidRDefault="00A66092" w:rsidP="00A66092">
            <w:pPr>
              <w:spacing w:before="120" w:after="120"/>
              <w:jc w:val="center"/>
              <w:rPr>
                <w:szCs w:val="24"/>
                <w:lang w:val="de-DE"/>
              </w:rPr>
            </w:pPr>
            <w:r w:rsidRPr="005E3C43">
              <w:rPr>
                <w:szCs w:val="24"/>
                <w:lang w:val="vi-VN" w:eastAsia="vi-VN"/>
              </w:rPr>
              <w:lastRenderedPageBreak/>
              <w:t>Không đáp ứng hoặc đáp ứng không đầy đủ</w:t>
            </w:r>
          </w:p>
        </w:tc>
      </w:tr>
      <w:tr w:rsidR="00AC7ECA" w:rsidRPr="005E3C43" w14:paraId="32E8C3E2" w14:textId="77777777" w:rsidTr="00AC7ECA">
        <w:trPr>
          <w:trHeight w:val="5591"/>
        </w:trPr>
        <w:tc>
          <w:tcPr>
            <w:tcW w:w="675" w:type="dxa"/>
            <w:tcBorders>
              <w:bottom w:val="single" w:sz="4" w:space="0" w:color="auto"/>
            </w:tcBorders>
            <w:shd w:val="clear" w:color="auto" w:fill="auto"/>
            <w:vAlign w:val="center"/>
          </w:tcPr>
          <w:p w14:paraId="2FB42FB9" w14:textId="7D2C2B92" w:rsidR="00A66092" w:rsidRPr="005E3C43" w:rsidRDefault="00A66092" w:rsidP="00A66092">
            <w:pPr>
              <w:spacing w:before="120" w:after="120"/>
              <w:jc w:val="center"/>
              <w:rPr>
                <w:szCs w:val="24"/>
              </w:rPr>
            </w:pPr>
            <w:r w:rsidRPr="005E3C43">
              <w:rPr>
                <w:szCs w:val="24"/>
              </w:rPr>
              <w:lastRenderedPageBreak/>
              <w:t>4</w:t>
            </w:r>
          </w:p>
        </w:tc>
        <w:tc>
          <w:tcPr>
            <w:tcW w:w="3828" w:type="dxa"/>
            <w:tcBorders>
              <w:bottom w:val="single" w:sz="4" w:space="0" w:color="auto"/>
            </w:tcBorders>
            <w:shd w:val="clear" w:color="auto" w:fill="auto"/>
            <w:vAlign w:val="center"/>
          </w:tcPr>
          <w:p w14:paraId="2E978C32" w14:textId="486C0B76" w:rsidR="00A66092" w:rsidRPr="005E3C43" w:rsidRDefault="00A66092" w:rsidP="00A66092">
            <w:pPr>
              <w:widowControl w:val="0"/>
              <w:spacing w:before="120" w:after="120"/>
              <w:rPr>
                <w:b/>
                <w:bCs/>
                <w:szCs w:val="24"/>
                <w:lang w:val="de-DE"/>
              </w:rPr>
            </w:pPr>
            <w:r w:rsidRPr="005E3C43">
              <w:rPr>
                <w:szCs w:val="24"/>
              </w:rPr>
              <w:t>Năng lực và kinh nghiệm.</w:t>
            </w:r>
          </w:p>
        </w:tc>
        <w:tc>
          <w:tcPr>
            <w:tcW w:w="2715" w:type="dxa"/>
            <w:tcBorders>
              <w:bottom w:val="single" w:sz="4" w:space="0" w:color="auto"/>
            </w:tcBorders>
            <w:shd w:val="clear" w:color="auto" w:fill="auto"/>
            <w:vAlign w:val="center"/>
          </w:tcPr>
          <w:p w14:paraId="740099FC" w14:textId="77777777" w:rsidR="00A66092" w:rsidRPr="005E3C43" w:rsidRDefault="00A66092" w:rsidP="00A66092">
            <w:pPr>
              <w:widowControl w:val="0"/>
              <w:spacing w:before="60" w:after="60"/>
              <w:rPr>
                <w:szCs w:val="24"/>
                <w:lang w:eastAsia="vi-VN"/>
              </w:rPr>
            </w:pPr>
            <w:r w:rsidRPr="005E3C43">
              <w:rPr>
                <w:szCs w:val="24"/>
                <w:lang w:eastAsia="vi-VN"/>
              </w:rPr>
              <w:t>- Nhà thầu đã thực hiện nghĩa vụ kê khai thuế, nộp thuế của năm tài chính gần nhất so với thời điểm đóng thầu.</w:t>
            </w:r>
          </w:p>
          <w:p w14:paraId="56205CDF" w14:textId="77777777" w:rsidR="00A66092" w:rsidRPr="005E3C43" w:rsidRDefault="00A66092" w:rsidP="00A66092">
            <w:pPr>
              <w:widowControl w:val="0"/>
              <w:spacing w:before="60" w:after="60"/>
              <w:rPr>
                <w:szCs w:val="24"/>
                <w:lang w:eastAsia="vi-VN"/>
              </w:rPr>
            </w:pPr>
            <w:r w:rsidRPr="005E3C43">
              <w:rPr>
                <w:szCs w:val="24"/>
                <w:lang w:eastAsia="vi-VN"/>
              </w:rPr>
              <w:t>- Giá trị tài sản ròng của nhà thầu trong năm tài chính gần nhất so với thời điểm đóng thầu phải dương.</w:t>
            </w:r>
          </w:p>
          <w:p w14:paraId="3297A876" w14:textId="77777777" w:rsidR="00A66092" w:rsidRPr="005E3C43" w:rsidRDefault="00A66092" w:rsidP="00A66092">
            <w:pPr>
              <w:widowControl w:val="0"/>
              <w:spacing w:before="60" w:after="60"/>
              <w:rPr>
                <w:szCs w:val="24"/>
                <w:lang w:eastAsia="vi-VN"/>
              </w:rPr>
            </w:pPr>
            <w:r w:rsidRPr="005E3C43">
              <w:rPr>
                <w:szCs w:val="24"/>
                <w:lang w:eastAsia="vi-VN"/>
              </w:rPr>
              <w:t>- Nhà thầu đã hoàn thành ≥ 01 hợp đồng tương tự với tư cách là nhà thầu chính (độc lập hoặc thành viên liên danh) (trong 03 năm tài chính gần nhất).</w:t>
            </w:r>
          </w:p>
          <w:p w14:paraId="06EA38A7" w14:textId="7F267B59" w:rsidR="00A66092" w:rsidRPr="005E3C43" w:rsidRDefault="00A66092" w:rsidP="00A66092">
            <w:pPr>
              <w:widowControl w:val="0"/>
              <w:spacing w:before="120" w:after="120"/>
              <w:rPr>
                <w:szCs w:val="24"/>
                <w:lang w:val="de-DE"/>
              </w:rPr>
            </w:pPr>
            <w:r w:rsidRPr="005E3C43">
              <w:rPr>
                <w:szCs w:val="24"/>
                <w:lang w:eastAsia="vi-VN"/>
              </w:rPr>
              <w:t>Trong đó: Hợp đồng tương tự là: Hợp đồng Có tính chất và quy mô (giá trị) tương tự gói thầu đang xét.</w:t>
            </w:r>
          </w:p>
        </w:tc>
        <w:tc>
          <w:tcPr>
            <w:tcW w:w="2520" w:type="dxa"/>
            <w:tcBorders>
              <w:bottom w:val="single" w:sz="4" w:space="0" w:color="auto"/>
            </w:tcBorders>
            <w:shd w:val="clear" w:color="auto" w:fill="auto"/>
            <w:vAlign w:val="center"/>
          </w:tcPr>
          <w:p w14:paraId="628C1404" w14:textId="4E9D4481" w:rsidR="00A66092" w:rsidRPr="005E3C43" w:rsidRDefault="00A66092" w:rsidP="00A66092">
            <w:pPr>
              <w:widowControl w:val="0"/>
              <w:spacing w:before="120" w:after="120"/>
              <w:jc w:val="center"/>
              <w:rPr>
                <w:szCs w:val="24"/>
                <w:lang w:val="de-DE"/>
              </w:rPr>
            </w:pPr>
            <w:r w:rsidRPr="005E3C43">
              <w:rPr>
                <w:szCs w:val="24"/>
                <w:lang w:val="vi-VN" w:eastAsia="vi-VN"/>
              </w:rPr>
              <w:t>Không đáp ứng hoặc đáp ứng không đầy đủ</w:t>
            </w:r>
          </w:p>
        </w:tc>
      </w:tr>
      <w:tr w:rsidR="00AC7ECA" w:rsidRPr="005E3C43" w14:paraId="3419DAB9" w14:textId="77777777" w:rsidTr="0090446E">
        <w:trPr>
          <w:trHeight w:val="1537"/>
        </w:trPr>
        <w:tc>
          <w:tcPr>
            <w:tcW w:w="675" w:type="dxa"/>
            <w:tcBorders>
              <w:bottom w:val="single" w:sz="4" w:space="0" w:color="auto"/>
            </w:tcBorders>
            <w:shd w:val="clear" w:color="auto" w:fill="auto"/>
            <w:vAlign w:val="center"/>
          </w:tcPr>
          <w:p w14:paraId="58DE8503" w14:textId="34E730A1" w:rsidR="00A66092" w:rsidRPr="005E3C43" w:rsidRDefault="00A66092" w:rsidP="00A66092">
            <w:pPr>
              <w:spacing w:before="120" w:after="120"/>
              <w:jc w:val="center"/>
              <w:rPr>
                <w:szCs w:val="24"/>
              </w:rPr>
            </w:pPr>
            <w:r w:rsidRPr="005E3C43">
              <w:rPr>
                <w:szCs w:val="24"/>
              </w:rPr>
              <w:t>5</w:t>
            </w:r>
          </w:p>
        </w:tc>
        <w:tc>
          <w:tcPr>
            <w:tcW w:w="3828" w:type="dxa"/>
            <w:tcBorders>
              <w:bottom w:val="single" w:sz="4" w:space="0" w:color="auto"/>
            </w:tcBorders>
            <w:shd w:val="clear" w:color="auto" w:fill="auto"/>
            <w:vAlign w:val="center"/>
          </w:tcPr>
          <w:p w14:paraId="39B12CA8" w14:textId="5262A6F1" w:rsidR="00A66092" w:rsidRPr="005E3C43" w:rsidRDefault="00A66092" w:rsidP="00A66092">
            <w:pPr>
              <w:widowControl w:val="0"/>
              <w:spacing w:before="120" w:after="120"/>
              <w:rPr>
                <w:b/>
                <w:bCs/>
                <w:szCs w:val="24"/>
                <w:lang w:val="de-DE"/>
              </w:rPr>
            </w:pPr>
            <w:r w:rsidRPr="005E3C43">
              <w:rPr>
                <w:b/>
                <w:bCs/>
                <w:szCs w:val="24"/>
                <w:lang w:val="de-DE"/>
              </w:rPr>
              <w:t>Thời gian bảo hành:</w:t>
            </w:r>
          </w:p>
          <w:p w14:paraId="6BA1B920" w14:textId="7987FAD2" w:rsidR="00A66092" w:rsidRPr="005E3C43" w:rsidRDefault="00A66092" w:rsidP="00A66092">
            <w:pPr>
              <w:widowControl w:val="0"/>
              <w:spacing w:before="120" w:after="120"/>
              <w:rPr>
                <w:bCs/>
                <w:szCs w:val="24"/>
                <w:lang w:val="de-DE"/>
              </w:rPr>
            </w:pPr>
            <w:r w:rsidRPr="005E3C43">
              <w:rPr>
                <w:bCs/>
                <w:szCs w:val="24"/>
                <w:lang w:val="de-DE"/>
              </w:rPr>
              <w:t>Tối thiểu 06 tháng kể từ ngày bàn giao nghiệm thu (Khuyến khích nhà thầu tăng thời gian bảo hành so với quy định của E-HSMT)</w:t>
            </w:r>
          </w:p>
        </w:tc>
        <w:tc>
          <w:tcPr>
            <w:tcW w:w="2715" w:type="dxa"/>
            <w:tcBorders>
              <w:bottom w:val="single" w:sz="4" w:space="0" w:color="auto"/>
            </w:tcBorders>
            <w:shd w:val="clear" w:color="auto" w:fill="auto"/>
            <w:vAlign w:val="center"/>
          </w:tcPr>
          <w:p w14:paraId="3647F630" w14:textId="654AF872" w:rsidR="00A66092" w:rsidRPr="005E3C43" w:rsidRDefault="00A66092" w:rsidP="00A66092">
            <w:pPr>
              <w:widowControl w:val="0"/>
              <w:spacing w:before="120" w:after="120"/>
              <w:rPr>
                <w:szCs w:val="24"/>
                <w:lang w:val="de-DE"/>
              </w:rPr>
            </w:pPr>
            <w:r w:rsidRPr="005E3C43">
              <w:rPr>
                <w:szCs w:val="24"/>
                <w:lang w:val="de-DE"/>
              </w:rPr>
              <w:t xml:space="preserve">Có cam kết của Nhà thầu </w:t>
            </w:r>
          </w:p>
        </w:tc>
        <w:tc>
          <w:tcPr>
            <w:tcW w:w="2520" w:type="dxa"/>
            <w:tcBorders>
              <w:bottom w:val="single" w:sz="4" w:space="0" w:color="auto"/>
            </w:tcBorders>
            <w:shd w:val="clear" w:color="auto" w:fill="auto"/>
            <w:vAlign w:val="center"/>
          </w:tcPr>
          <w:p w14:paraId="01BC6921" w14:textId="04A4528F" w:rsidR="00A66092" w:rsidRPr="005E3C43" w:rsidRDefault="00A66092" w:rsidP="00A66092">
            <w:pPr>
              <w:widowControl w:val="0"/>
              <w:spacing w:before="120" w:after="120"/>
              <w:jc w:val="center"/>
              <w:rPr>
                <w:szCs w:val="24"/>
                <w:lang w:val="de-DE"/>
              </w:rPr>
            </w:pPr>
            <w:r w:rsidRPr="005E3C43">
              <w:rPr>
                <w:szCs w:val="24"/>
                <w:lang w:val="de-DE"/>
              </w:rPr>
              <w:t>Không có cam kết của Nhà thầu</w:t>
            </w:r>
          </w:p>
        </w:tc>
      </w:tr>
      <w:tr w:rsidR="00AC7ECA" w:rsidRPr="00AC7ECA" w14:paraId="73940F3F" w14:textId="77777777" w:rsidTr="0090446E">
        <w:trPr>
          <w:trHeight w:val="910"/>
        </w:trPr>
        <w:tc>
          <w:tcPr>
            <w:tcW w:w="4503" w:type="dxa"/>
            <w:gridSpan w:val="2"/>
            <w:tcBorders>
              <w:bottom w:val="single" w:sz="4" w:space="0" w:color="auto"/>
            </w:tcBorders>
            <w:shd w:val="clear" w:color="auto" w:fill="auto"/>
            <w:vAlign w:val="center"/>
          </w:tcPr>
          <w:p w14:paraId="08FE2B5F" w14:textId="77777777" w:rsidR="00A66092" w:rsidRPr="005E3C43" w:rsidRDefault="00A66092" w:rsidP="00A66092">
            <w:pPr>
              <w:widowControl w:val="0"/>
              <w:spacing w:before="120" w:after="120"/>
              <w:jc w:val="center"/>
              <w:rPr>
                <w:b/>
                <w:szCs w:val="24"/>
                <w:lang w:val="de-DE"/>
              </w:rPr>
            </w:pPr>
            <w:r w:rsidRPr="005E3C43">
              <w:rPr>
                <w:b/>
                <w:szCs w:val="24"/>
                <w:lang w:val="de-DE"/>
              </w:rPr>
              <w:t>KẾT LUẬN</w:t>
            </w:r>
          </w:p>
        </w:tc>
        <w:tc>
          <w:tcPr>
            <w:tcW w:w="5235" w:type="dxa"/>
            <w:gridSpan w:val="2"/>
            <w:tcBorders>
              <w:bottom w:val="single" w:sz="4" w:space="0" w:color="auto"/>
            </w:tcBorders>
            <w:shd w:val="clear" w:color="auto" w:fill="auto"/>
            <w:vAlign w:val="center"/>
          </w:tcPr>
          <w:p w14:paraId="57BD2859" w14:textId="77777777" w:rsidR="00A66092" w:rsidRPr="005E3C43" w:rsidRDefault="00A66092" w:rsidP="00A66092">
            <w:pPr>
              <w:widowControl w:val="0"/>
              <w:spacing w:before="120" w:after="120"/>
              <w:rPr>
                <w:szCs w:val="24"/>
                <w:lang w:val="de-DE"/>
              </w:rPr>
            </w:pPr>
            <w:r w:rsidRPr="005E3C43">
              <w:rPr>
                <w:b/>
                <w:szCs w:val="24"/>
                <w:lang w:val="de-DE"/>
              </w:rPr>
              <w:t>ĐẠT</w:t>
            </w:r>
            <w:r w:rsidRPr="005E3C43">
              <w:rPr>
                <w:szCs w:val="24"/>
                <w:lang w:val="de-DE"/>
              </w:rPr>
              <w:t>: Khi tất cả các tiêu chí được đánh giá Đạt</w:t>
            </w:r>
          </w:p>
          <w:p w14:paraId="2A555ED2" w14:textId="77777777" w:rsidR="00A66092" w:rsidRPr="00AC7ECA" w:rsidRDefault="00A66092" w:rsidP="00A66092">
            <w:pPr>
              <w:widowControl w:val="0"/>
              <w:spacing w:before="120" w:after="120"/>
              <w:rPr>
                <w:szCs w:val="24"/>
                <w:lang w:val="de-DE"/>
              </w:rPr>
            </w:pPr>
            <w:r w:rsidRPr="005E3C43">
              <w:rPr>
                <w:b/>
                <w:szCs w:val="24"/>
                <w:lang w:val="de-DE"/>
              </w:rPr>
              <w:t>KHÔNG ĐẠT</w:t>
            </w:r>
            <w:r w:rsidRPr="005E3C43">
              <w:rPr>
                <w:szCs w:val="24"/>
                <w:lang w:val="de-DE"/>
              </w:rPr>
              <w:t>: Khi có ít nhất 01 tiêu chí được đánh giá Không đạt</w:t>
            </w:r>
          </w:p>
        </w:tc>
      </w:tr>
    </w:tbl>
    <w:p w14:paraId="6A05A809" w14:textId="77777777" w:rsidR="00AB55AB" w:rsidRPr="00A24FA2" w:rsidRDefault="00AB55AB">
      <w:pPr>
        <w:rPr>
          <w:lang w:val="de-DE"/>
        </w:rPr>
      </w:pPr>
    </w:p>
    <w:sectPr w:rsidR="00AB55AB" w:rsidRPr="00A24FA2" w:rsidSect="00150507">
      <w:headerReference w:type="default" r:id="rId6"/>
      <w:pgSz w:w="12240" w:h="15840"/>
      <w:pgMar w:top="851"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F6023" w14:textId="77777777" w:rsidR="00CA21C4" w:rsidRDefault="00CA21C4" w:rsidP="00150507">
      <w:r>
        <w:separator/>
      </w:r>
    </w:p>
  </w:endnote>
  <w:endnote w:type="continuationSeparator" w:id="0">
    <w:p w14:paraId="0C715CB7" w14:textId="77777777" w:rsidR="00CA21C4" w:rsidRDefault="00CA21C4" w:rsidP="0015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E2DC1" w14:textId="77777777" w:rsidR="00CA21C4" w:rsidRDefault="00CA21C4" w:rsidP="00150507">
      <w:r>
        <w:separator/>
      </w:r>
    </w:p>
  </w:footnote>
  <w:footnote w:type="continuationSeparator" w:id="0">
    <w:p w14:paraId="15337F26" w14:textId="77777777" w:rsidR="00CA21C4" w:rsidRDefault="00CA21C4" w:rsidP="001505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71367"/>
      <w:docPartObj>
        <w:docPartGallery w:val="Page Numbers (Top of Page)"/>
        <w:docPartUnique/>
      </w:docPartObj>
    </w:sdtPr>
    <w:sdtEndPr>
      <w:rPr>
        <w:noProof/>
        <w:sz w:val="26"/>
        <w:szCs w:val="26"/>
      </w:rPr>
    </w:sdtEndPr>
    <w:sdtContent>
      <w:p w14:paraId="2FB98705" w14:textId="4D934984" w:rsidR="00150507" w:rsidRPr="00150507" w:rsidRDefault="00150507">
        <w:pPr>
          <w:pStyle w:val="Header"/>
          <w:jc w:val="center"/>
          <w:rPr>
            <w:sz w:val="26"/>
            <w:szCs w:val="26"/>
          </w:rPr>
        </w:pPr>
        <w:r w:rsidRPr="00150507">
          <w:rPr>
            <w:sz w:val="26"/>
            <w:szCs w:val="26"/>
          </w:rPr>
          <w:fldChar w:fldCharType="begin"/>
        </w:r>
        <w:r w:rsidRPr="00150507">
          <w:rPr>
            <w:sz w:val="26"/>
            <w:szCs w:val="26"/>
          </w:rPr>
          <w:instrText xml:space="preserve"> PAGE   \* MERGEFORMAT </w:instrText>
        </w:r>
        <w:r w:rsidRPr="00150507">
          <w:rPr>
            <w:sz w:val="26"/>
            <w:szCs w:val="26"/>
          </w:rPr>
          <w:fldChar w:fldCharType="separate"/>
        </w:r>
        <w:r w:rsidR="005E3C43">
          <w:rPr>
            <w:noProof/>
            <w:sz w:val="26"/>
            <w:szCs w:val="26"/>
          </w:rPr>
          <w:t>2</w:t>
        </w:r>
        <w:r w:rsidRPr="00150507">
          <w:rPr>
            <w:noProof/>
            <w:sz w:val="26"/>
            <w:szCs w:val="26"/>
          </w:rPr>
          <w:fldChar w:fldCharType="end"/>
        </w:r>
      </w:p>
    </w:sdtContent>
  </w:sdt>
  <w:p w14:paraId="799B4821" w14:textId="77777777" w:rsidR="00150507" w:rsidRDefault="001505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54"/>
    <w:rsid w:val="0001086F"/>
    <w:rsid w:val="00035F5C"/>
    <w:rsid w:val="00055809"/>
    <w:rsid w:val="000B11C3"/>
    <w:rsid w:val="000E0C7A"/>
    <w:rsid w:val="00150507"/>
    <w:rsid w:val="00162221"/>
    <w:rsid w:val="00173731"/>
    <w:rsid w:val="001845C5"/>
    <w:rsid w:val="001941E3"/>
    <w:rsid w:val="00194854"/>
    <w:rsid w:val="001B7287"/>
    <w:rsid w:val="001C71DB"/>
    <w:rsid w:val="001F6391"/>
    <w:rsid w:val="002B1976"/>
    <w:rsid w:val="002C2852"/>
    <w:rsid w:val="002E0235"/>
    <w:rsid w:val="00392F3C"/>
    <w:rsid w:val="003B1BB5"/>
    <w:rsid w:val="003D3080"/>
    <w:rsid w:val="003E16BE"/>
    <w:rsid w:val="0042538E"/>
    <w:rsid w:val="004266D6"/>
    <w:rsid w:val="00426843"/>
    <w:rsid w:val="00483E1B"/>
    <w:rsid w:val="00486335"/>
    <w:rsid w:val="004A1095"/>
    <w:rsid w:val="005A152C"/>
    <w:rsid w:val="005C6571"/>
    <w:rsid w:val="005E3C43"/>
    <w:rsid w:val="006E258B"/>
    <w:rsid w:val="00704A87"/>
    <w:rsid w:val="00721B9C"/>
    <w:rsid w:val="00770BEB"/>
    <w:rsid w:val="007944B8"/>
    <w:rsid w:val="007A4D63"/>
    <w:rsid w:val="007F368B"/>
    <w:rsid w:val="008462D3"/>
    <w:rsid w:val="0085190C"/>
    <w:rsid w:val="00853973"/>
    <w:rsid w:val="00873055"/>
    <w:rsid w:val="0088371D"/>
    <w:rsid w:val="008B1B0D"/>
    <w:rsid w:val="008E0D8E"/>
    <w:rsid w:val="008E24B0"/>
    <w:rsid w:val="008F0B5B"/>
    <w:rsid w:val="0090446E"/>
    <w:rsid w:val="00927F32"/>
    <w:rsid w:val="00934946"/>
    <w:rsid w:val="00975931"/>
    <w:rsid w:val="00983B30"/>
    <w:rsid w:val="00A1699C"/>
    <w:rsid w:val="00A24FA2"/>
    <w:rsid w:val="00A53607"/>
    <w:rsid w:val="00A66092"/>
    <w:rsid w:val="00AB55AB"/>
    <w:rsid w:val="00AC7ECA"/>
    <w:rsid w:val="00B03DFC"/>
    <w:rsid w:val="00B24EA3"/>
    <w:rsid w:val="00B2543A"/>
    <w:rsid w:val="00B53B95"/>
    <w:rsid w:val="00B82596"/>
    <w:rsid w:val="00BA33AA"/>
    <w:rsid w:val="00BA7F9E"/>
    <w:rsid w:val="00BD5C11"/>
    <w:rsid w:val="00BF385D"/>
    <w:rsid w:val="00C11201"/>
    <w:rsid w:val="00C23452"/>
    <w:rsid w:val="00C91796"/>
    <w:rsid w:val="00CA21C4"/>
    <w:rsid w:val="00CA2664"/>
    <w:rsid w:val="00CB62AA"/>
    <w:rsid w:val="00CD1252"/>
    <w:rsid w:val="00D03D82"/>
    <w:rsid w:val="00D5368A"/>
    <w:rsid w:val="00DC235A"/>
    <w:rsid w:val="00DE6D5F"/>
    <w:rsid w:val="00E00D44"/>
    <w:rsid w:val="00E45931"/>
    <w:rsid w:val="00E46082"/>
    <w:rsid w:val="00F53BFA"/>
    <w:rsid w:val="00F92C7D"/>
    <w:rsid w:val="00F95FEE"/>
    <w:rsid w:val="00FD529E"/>
    <w:rsid w:val="2E40A98E"/>
    <w:rsid w:val="408C1098"/>
    <w:rsid w:val="44802F7D"/>
    <w:rsid w:val="54E4BF52"/>
    <w:rsid w:val="7879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6C5B"/>
  <w15:chartTrackingRefBased/>
  <w15:docId w15:val="{F5B9A7F6-326C-4793-986A-D761A9D4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854"/>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94854"/>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1948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94854"/>
    <w:rPr>
      <w:rFonts w:eastAsia="Times New Roman"/>
      <w:sz w:val="24"/>
      <w:szCs w:val="20"/>
    </w:rPr>
  </w:style>
  <w:style w:type="paragraph" w:styleId="Header">
    <w:name w:val="header"/>
    <w:basedOn w:val="Normal"/>
    <w:link w:val="HeaderChar"/>
    <w:uiPriority w:val="99"/>
    <w:unhideWhenUsed/>
    <w:rsid w:val="00150507"/>
    <w:pPr>
      <w:tabs>
        <w:tab w:val="center" w:pos="4680"/>
        <w:tab w:val="right" w:pos="9360"/>
      </w:tabs>
    </w:pPr>
  </w:style>
  <w:style w:type="character" w:customStyle="1" w:styleId="HeaderChar">
    <w:name w:val="Header Char"/>
    <w:basedOn w:val="DefaultParagraphFont"/>
    <w:link w:val="Header"/>
    <w:uiPriority w:val="99"/>
    <w:rsid w:val="00150507"/>
    <w:rPr>
      <w:rFonts w:eastAsia="Times New Roman"/>
      <w:sz w:val="24"/>
      <w:szCs w:val="20"/>
    </w:rPr>
  </w:style>
  <w:style w:type="paragraph" w:styleId="Footer">
    <w:name w:val="footer"/>
    <w:basedOn w:val="Normal"/>
    <w:link w:val="FooterChar"/>
    <w:uiPriority w:val="99"/>
    <w:unhideWhenUsed/>
    <w:rsid w:val="00150507"/>
    <w:pPr>
      <w:tabs>
        <w:tab w:val="center" w:pos="4680"/>
        <w:tab w:val="right" w:pos="9360"/>
      </w:tabs>
    </w:pPr>
  </w:style>
  <w:style w:type="character" w:customStyle="1" w:styleId="FooterChar">
    <w:name w:val="Footer Char"/>
    <w:basedOn w:val="DefaultParagraphFont"/>
    <w:link w:val="Footer"/>
    <w:uiPriority w:val="99"/>
    <w:rsid w:val="00150507"/>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Cao Lam (Phong VTTB)</dc:creator>
  <cp:keywords/>
  <dc:description/>
  <cp:lastModifiedBy>Admin</cp:lastModifiedBy>
  <cp:revision>136</cp:revision>
  <dcterms:created xsi:type="dcterms:W3CDTF">2025-08-06T03:23:00Z</dcterms:created>
  <dcterms:modified xsi:type="dcterms:W3CDTF">2025-12-31T08:24:00Z</dcterms:modified>
</cp:coreProperties>
</file>