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58" w:rsidRPr="00D60358" w:rsidRDefault="00D60358" w:rsidP="00D60358">
      <w:pPr>
        <w:spacing w:before="120" w:after="120"/>
        <w:ind w:firstLine="709"/>
        <w:outlineLvl w:val="1"/>
        <w:rPr>
          <w:rFonts w:ascii="Times New Roman" w:eastAsia="Cambria" w:hAnsi="Times New Roman" w:cs="Times New Roman"/>
          <w:b/>
          <w:sz w:val="28"/>
          <w:szCs w:val="28"/>
          <w:lang w:val="vi-VN" w:eastAsia="vi-VN"/>
        </w:rPr>
      </w:pPr>
      <w:r w:rsidRPr="00D60358">
        <w:rPr>
          <w:rFonts w:ascii="Times New Roman" w:hAnsi="Times New Roman" w:cs="Times New Roman"/>
          <w:b/>
          <w:bCs/>
          <w:sz w:val="28"/>
          <w:szCs w:val="28"/>
          <w:lang w:val="vi-VN"/>
        </w:rPr>
        <w:t xml:space="preserve">Mục </w:t>
      </w:r>
      <w:r w:rsidRPr="00D60358">
        <w:rPr>
          <w:rFonts w:ascii="Times New Roman" w:hAnsi="Times New Roman" w:cs="Times New Roman"/>
          <w:b/>
          <w:bCs/>
          <w:sz w:val="28"/>
          <w:szCs w:val="28"/>
          <w:lang w:val="nl-NL"/>
        </w:rPr>
        <w:t>3</w:t>
      </w:r>
      <w:r w:rsidRPr="00D60358">
        <w:rPr>
          <w:rFonts w:ascii="Times New Roman" w:hAnsi="Times New Roman" w:cs="Times New Roman"/>
          <w:b/>
          <w:bCs/>
          <w:sz w:val="28"/>
          <w:szCs w:val="28"/>
          <w:lang w:val="vi-VN"/>
        </w:rPr>
        <w:t>. Tiêu chuẩn đánh giá về kỹ thuật</w:t>
      </w:r>
      <w:r w:rsidRPr="00D60358">
        <w:rPr>
          <w:rFonts w:ascii="Times New Roman" w:eastAsia="Cambria" w:hAnsi="Times New Roman" w:cs="Times New Roman"/>
          <w:b/>
          <w:sz w:val="28"/>
          <w:szCs w:val="28"/>
          <w:lang w:val="vi-VN" w:eastAsia="vi-VN"/>
        </w:rPr>
        <w:t xml:space="preserve"> </w:t>
      </w:r>
    </w:p>
    <w:p w:rsidR="00D60358" w:rsidRPr="00D60358" w:rsidRDefault="00D60358" w:rsidP="00D60358">
      <w:pPr>
        <w:spacing w:before="120" w:after="120"/>
        <w:ind w:firstLine="709"/>
        <w:rPr>
          <w:rFonts w:ascii="Times New Roman" w:hAnsi="Times New Roman" w:cs="Times New Roman"/>
          <w:spacing w:val="2"/>
          <w:sz w:val="28"/>
          <w:szCs w:val="28"/>
          <w:lang w:val="vi-VN"/>
        </w:rPr>
      </w:pPr>
      <w:bookmarkStart w:id="0" w:name="_Hlk99723051"/>
      <w:r w:rsidRPr="00D60358">
        <w:rPr>
          <w:rFonts w:ascii="Times New Roman" w:hAnsi="Times New Roman" w:cs="Times New Roman"/>
          <w:spacing w:val="2"/>
          <w:sz w:val="28"/>
          <w:szCs w:val="28"/>
          <w:lang w:val="vi-VN"/>
        </w:rPr>
        <w:t xml:space="preserve">Sử dụng tiêu chí đạt/không đạt. </w:t>
      </w:r>
    </w:p>
    <w:bookmarkEnd w:id="0"/>
    <w:p w:rsidR="00D60358" w:rsidRPr="00D60358" w:rsidRDefault="00D60358" w:rsidP="00D60358">
      <w:pPr>
        <w:spacing w:before="120" w:after="120"/>
        <w:ind w:firstLine="709"/>
        <w:rPr>
          <w:rFonts w:ascii="Times New Roman" w:hAnsi="Times New Roman" w:cs="Times New Roman"/>
          <w:sz w:val="28"/>
          <w:szCs w:val="28"/>
          <w:lang w:val="es-ES"/>
        </w:rPr>
      </w:pPr>
      <w:r w:rsidRPr="00D60358">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60358" w:rsidRPr="00D60358" w:rsidRDefault="00D60358" w:rsidP="00D60358">
      <w:pPr>
        <w:spacing w:before="120" w:after="120"/>
        <w:ind w:firstLine="709"/>
        <w:rPr>
          <w:rFonts w:ascii="Times New Roman" w:hAnsi="Times New Roman" w:cs="Times New Roman"/>
          <w:sz w:val="28"/>
          <w:szCs w:val="28"/>
          <w:lang w:val="es-ES"/>
        </w:rPr>
      </w:pPr>
      <w:r w:rsidRPr="00D60358">
        <w:rPr>
          <w:rFonts w:ascii="Times New Roman" w:hAnsi="Times New Roman" w:cs="Times New Roman"/>
          <w:sz w:val="28"/>
          <w:szCs w:val="28"/>
          <w:lang w:val="es-ES"/>
        </w:rPr>
        <w:t>E-HSDT được đánh giá là đáp ứng yêu cầu về kỹ thuật khi có tất cả các tiêu chí tổng quát đều được đánh giá là đạt.</w:t>
      </w:r>
    </w:p>
    <w:tbl>
      <w:tblPr>
        <w:tblW w:w="5000" w:type="pct"/>
        <w:tblLook w:val="04A0" w:firstRow="1" w:lastRow="0" w:firstColumn="1" w:lastColumn="0" w:noHBand="0" w:noVBand="1"/>
      </w:tblPr>
      <w:tblGrid>
        <w:gridCol w:w="770"/>
        <w:gridCol w:w="3041"/>
        <w:gridCol w:w="3679"/>
        <w:gridCol w:w="2086"/>
      </w:tblGrid>
      <w:tr w:rsidR="00D60358" w:rsidRPr="00B076BF" w:rsidTr="0006741B">
        <w:trPr>
          <w:trHeight w:val="375"/>
          <w:tblHeader/>
        </w:trPr>
        <w:tc>
          <w:tcPr>
            <w:tcW w:w="4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TT</w:t>
            </w:r>
          </w:p>
        </w:tc>
        <w:tc>
          <w:tcPr>
            <w:tcW w:w="15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Nội dung yêu cầu</w:t>
            </w:r>
          </w:p>
        </w:tc>
        <w:tc>
          <w:tcPr>
            <w:tcW w:w="3010" w:type="pct"/>
            <w:gridSpan w:val="2"/>
            <w:tcBorders>
              <w:top w:val="single" w:sz="4" w:space="0" w:color="auto"/>
              <w:left w:val="nil"/>
              <w:bottom w:val="single" w:sz="4" w:space="0" w:color="auto"/>
              <w:right w:val="single" w:sz="4" w:space="0" w:color="000000"/>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Mức độ đáp ứng</w:t>
            </w:r>
          </w:p>
        </w:tc>
      </w:tr>
      <w:tr w:rsidR="00D60358" w:rsidRPr="00B076BF" w:rsidTr="0006741B">
        <w:trPr>
          <w:trHeight w:val="375"/>
          <w:tblHeader/>
        </w:trPr>
        <w:tc>
          <w:tcPr>
            <w:tcW w:w="402" w:type="pct"/>
            <w:vMerge/>
            <w:tcBorders>
              <w:top w:val="single" w:sz="4" w:space="0" w:color="auto"/>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b/>
                <w:bCs/>
                <w:sz w:val="26"/>
                <w:szCs w:val="26"/>
              </w:rPr>
            </w:pPr>
          </w:p>
        </w:tc>
        <w:tc>
          <w:tcPr>
            <w:tcW w:w="1588" w:type="pct"/>
            <w:vMerge/>
            <w:tcBorders>
              <w:top w:val="single" w:sz="4" w:space="0" w:color="auto"/>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b/>
                <w:bCs/>
                <w:sz w:val="26"/>
                <w:szCs w:val="26"/>
              </w:rPr>
            </w:pP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Đạt</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Không đạt</w:t>
            </w:r>
          </w:p>
        </w:tc>
      </w:tr>
      <w:tr w:rsidR="00D60358" w:rsidRPr="00B076BF" w:rsidTr="00D60358">
        <w:trPr>
          <w:trHeight w:val="338"/>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I</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Mục đích, phạm vi cung cấp</w:t>
            </w:r>
          </w:p>
        </w:tc>
      </w:tr>
      <w:tr w:rsidR="00D60358" w:rsidRPr="00B076BF" w:rsidTr="00D60358">
        <w:trPr>
          <w:trHeight w:val="1271"/>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1</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Mức độ hiểu biết về tính chất, mục đích công việc, phạm vi cung cấp và tính hiệu quả của việc cung cấp dịch vụ</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Tài liệu kỹ thuật mô tả đáp ứng tất cả yêu cầu tại Chương V. E-HSMT</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37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II</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Giải pháp kỹ thuật, biện pháp tổ chức, tiến độ cung cấp</w:t>
            </w:r>
          </w:p>
        </w:tc>
      </w:tr>
      <w:tr w:rsidR="00D60358" w:rsidRPr="00B076BF" w:rsidTr="004558B3">
        <w:trPr>
          <w:trHeight w:val="1079"/>
        </w:trPr>
        <w:tc>
          <w:tcPr>
            <w:tcW w:w="402" w:type="pct"/>
            <w:vMerge w:val="restart"/>
            <w:tcBorders>
              <w:top w:val="nil"/>
              <w:left w:val="single" w:sz="4" w:space="0" w:color="auto"/>
              <w:bottom w:val="single" w:sz="4" w:space="0" w:color="000000"/>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1</w:t>
            </w:r>
          </w:p>
        </w:tc>
        <w:tc>
          <w:tcPr>
            <w:tcW w:w="1588" w:type="pct"/>
            <w:vMerge w:val="restart"/>
            <w:tcBorders>
              <w:top w:val="nil"/>
              <w:left w:val="single" w:sz="4" w:space="0" w:color="auto"/>
              <w:bottom w:val="single" w:sz="4" w:space="0" w:color="000000"/>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Tính hợp lý và khả thi của giải pháp kỹ thuật, biện pháp của tổ chức, tiến độ cung cấp dịch vụ</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Có kế hoạch triển khai các nhiệm vụ hợp lý, phù hợp với phạm vi cung cấp dịch vụ.</w:t>
            </w:r>
          </w:p>
        </w:tc>
        <w:tc>
          <w:tcPr>
            <w:tcW w:w="1089" w:type="pct"/>
            <w:vMerge w:val="restart"/>
            <w:tcBorders>
              <w:top w:val="nil"/>
              <w:left w:val="nil"/>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Pr>
                <w:rFonts w:ascii="Times New Roman" w:hAnsi="Times New Roman" w:cs="Times New Roman"/>
                <w:sz w:val="26"/>
                <w:szCs w:val="26"/>
              </w:rPr>
              <w:t xml:space="preserve">≥ </w:t>
            </w:r>
            <w:r w:rsidRPr="00B076BF">
              <w:rPr>
                <w:rFonts w:ascii="Times New Roman" w:hAnsi="Times New Roman" w:cs="Times New Roman"/>
                <w:sz w:val="26"/>
                <w:szCs w:val="26"/>
              </w:rPr>
              <w:t>01 nội dung không đáp ứng yêu cầu</w:t>
            </w:r>
          </w:p>
        </w:tc>
      </w:tr>
      <w:tr w:rsidR="00D60358" w:rsidRPr="00B076BF" w:rsidTr="004558B3">
        <w:trPr>
          <w:trHeight w:val="738"/>
        </w:trPr>
        <w:tc>
          <w:tcPr>
            <w:tcW w:w="402" w:type="pct"/>
            <w:vMerge/>
            <w:tcBorders>
              <w:top w:val="nil"/>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color w:val="FF0000"/>
                <w:sz w:val="26"/>
                <w:szCs w:val="26"/>
              </w:rPr>
            </w:pPr>
          </w:p>
        </w:tc>
        <w:tc>
          <w:tcPr>
            <w:tcW w:w="1588" w:type="pct"/>
            <w:vMerge/>
            <w:tcBorders>
              <w:top w:val="nil"/>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color w:val="FF0000"/>
                <w:sz w:val="26"/>
                <w:szCs w:val="26"/>
              </w:rPr>
            </w:pP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Có bảng tiến độ cung cấp dịch vụ chi tiết từng mốc thời gian</w:t>
            </w:r>
          </w:p>
        </w:tc>
        <w:tc>
          <w:tcPr>
            <w:tcW w:w="1089" w:type="pct"/>
            <w:vMerge/>
            <w:tcBorders>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color w:val="FF0000"/>
                <w:sz w:val="26"/>
                <w:szCs w:val="26"/>
              </w:rPr>
            </w:pPr>
          </w:p>
        </w:tc>
      </w:tr>
      <w:tr w:rsidR="00D60358" w:rsidRPr="00B076BF" w:rsidTr="004558B3">
        <w:trPr>
          <w:trHeight w:val="548"/>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III</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 xml:space="preserve"> Nền tảng công nghệ, tiêu chuẩn kỹ thuật</w:t>
            </w:r>
          </w:p>
        </w:tc>
      </w:tr>
      <w:tr w:rsidR="00D60358" w:rsidRPr="00B076BF" w:rsidTr="004558B3">
        <w:trPr>
          <w:trHeight w:val="286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4558B3" w:rsidP="0006741B">
            <w:pPr>
              <w:jc w:val="center"/>
              <w:rPr>
                <w:rFonts w:ascii="Times New Roman" w:hAnsi="Times New Roman" w:cs="Times New Roman"/>
                <w:sz w:val="26"/>
                <w:szCs w:val="26"/>
              </w:rPr>
            </w:pPr>
            <w:r>
              <w:rPr>
                <w:rFonts w:ascii="Times New Roman" w:hAnsi="Times New Roman" w:cs="Times New Roman"/>
                <w:sz w:val="26"/>
                <w:szCs w:val="26"/>
              </w:rPr>
              <w:t>1</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sz w:val="26"/>
                <w:szCs w:val="26"/>
              </w:rPr>
            </w:pPr>
            <w:r w:rsidRPr="00B076BF">
              <w:rPr>
                <w:rFonts w:ascii="Times New Roman" w:hAnsi="Times New Roman" w:cs="Times New Roman"/>
                <w:sz w:val="26"/>
                <w:szCs w:val="26"/>
              </w:rPr>
              <w:t xml:space="preserve">Nền tảng công nghệ </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Phần mềm HIS EMR xây dựng sử dụng .NET Framework, giao diện người dùng Windows Forms, chạy được trên nền Windows, cài đặt và lưu trữ dữ liệu tại máy chủ vật lý/cloud của Chủ đầu tư, dữ liệu bệnh nhân được lập và lưu trữ đảm bảo theo Luật Khám bệnh chữa bệnh.</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4558B3">
        <w:trPr>
          <w:trHeight w:val="1429"/>
        </w:trPr>
        <w:tc>
          <w:tcPr>
            <w:tcW w:w="402" w:type="pct"/>
            <w:tcBorders>
              <w:top w:val="nil"/>
              <w:left w:val="single" w:sz="4" w:space="0" w:color="auto"/>
              <w:bottom w:val="single" w:sz="4" w:space="0" w:color="auto"/>
              <w:right w:val="single" w:sz="4" w:space="0" w:color="auto"/>
            </w:tcBorders>
            <w:shd w:val="clear" w:color="auto" w:fill="auto"/>
            <w:vAlign w:val="center"/>
          </w:tcPr>
          <w:p w:rsidR="00D60358" w:rsidRPr="00B076BF" w:rsidRDefault="004558B3" w:rsidP="0006741B">
            <w:pPr>
              <w:jc w:val="center"/>
              <w:rPr>
                <w:rFonts w:ascii="Times New Roman" w:hAnsi="Times New Roman" w:cs="Times New Roman"/>
                <w:sz w:val="26"/>
                <w:szCs w:val="26"/>
              </w:rPr>
            </w:pPr>
            <w:r>
              <w:rPr>
                <w:rFonts w:ascii="Times New Roman" w:hAnsi="Times New Roman" w:cs="Times New Roman"/>
                <w:sz w:val="26"/>
                <w:szCs w:val="26"/>
              </w:rPr>
              <w:t>2</w:t>
            </w:r>
          </w:p>
        </w:tc>
        <w:tc>
          <w:tcPr>
            <w:tcW w:w="1588"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jc w:val="left"/>
              <w:rPr>
                <w:rFonts w:ascii="Times New Roman" w:hAnsi="Times New Roman" w:cs="Times New Roman"/>
                <w:sz w:val="26"/>
                <w:szCs w:val="26"/>
              </w:rPr>
            </w:pPr>
            <w:r w:rsidRPr="00B076BF">
              <w:rPr>
                <w:rFonts w:ascii="Times New Roman" w:hAnsi="Times New Roman" w:cs="Times New Roman"/>
                <w:sz w:val="26"/>
                <w:szCs w:val="26"/>
              </w:rPr>
              <w:t>Phần mềm có đăng ký bản quyền tác giả. Nhà cung cấp phải thể hiện bằng tài liệu chứng minh</w:t>
            </w:r>
          </w:p>
        </w:tc>
        <w:tc>
          <w:tcPr>
            <w:tcW w:w="1921"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Có cam kết bản quyền đối với phần mềm và tài liệu chứng minh</w:t>
            </w:r>
          </w:p>
        </w:tc>
        <w:tc>
          <w:tcPr>
            <w:tcW w:w="1089"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sz w:val="26"/>
                <w:szCs w:val="26"/>
              </w:rPr>
            </w:pPr>
          </w:p>
        </w:tc>
      </w:tr>
      <w:tr w:rsidR="00D60358" w:rsidRPr="00B076BF" w:rsidTr="0006741B">
        <w:trPr>
          <w:trHeight w:val="37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lastRenderedPageBreak/>
              <w:t>IV</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Thời gian triển khai, tiến độ cung cấp dịch vụ</w:t>
            </w:r>
          </w:p>
        </w:tc>
      </w:tr>
      <w:tr w:rsidR="00D60358" w:rsidRPr="00B076BF" w:rsidTr="00D60358">
        <w:trPr>
          <w:trHeight w:val="1704"/>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1</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Demo hệ thống</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D60358">
            <w:pPr>
              <w:spacing w:before="40" w:after="40"/>
              <w:rPr>
                <w:rFonts w:ascii="Times New Roman" w:hAnsi="Times New Roman" w:cs="Times New Roman"/>
                <w:bCs/>
                <w:sz w:val="26"/>
                <w:szCs w:val="26"/>
              </w:rPr>
            </w:pPr>
            <w:r w:rsidRPr="00B076BF">
              <w:rPr>
                <w:rFonts w:ascii="Times New Roman" w:hAnsi="Times New Roman" w:cs="Times New Roman"/>
                <w:sz w:val="26"/>
                <w:szCs w:val="26"/>
              </w:rPr>
              <w:t xml:space="preserve">Có cam kết Demo phần mềm đáp ứng các yêu cầu tại Chương V của E-HSMT khi chủ đầu tư có yêu cầu; </w:t>
            </w:r>
            <w:r w:rsidRPr="00B076BF">
              <w:rPr>
                <w:rFonts w:ascii="Times New Roman" w:hAnsi="Times New Roman" w:cs="Times New Roman"/>
                <w:bCs/>
                <w:sz w:val="26"/>
                <w:szCs w:val="26"/>
              </w:rPr>
              <w:t>Nhà cung cấp phải cam kết Demo chi tiết tính năng phần mềm theo phụ lục chức năng hồ sơ mời thầu.</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1500"/>
        </w:trPr>
        <w:tc>
          <w:tcPr>
            <w:tcW w:w="402" w:type="pct"/>
            <w:tcBorders>
              <w:top w:val="nil"/>
              <w:left w:val="single" w:sz="4" w:space="0" w:color="auto"/>
              <w:bottom w:val="single" w:sz="4" w:space="0" w:color="auto"/>
              <w:right w:val="single" w:sz="4" w:space="0" w:color="auto"/>
            </w:tcBorders>
            <w:shd w:val="clear" w:color="auto" w:fill="auto"/>
            <w:vAlign w:val="center"/>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2</w:t>
            </w:r>
          </w:p>
        </w:tc>
        <w:tc>
          <w:tcPr>
            <w:tcW w:w="1588"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Kiểm thử hệ thống</w:t>
            </w:r>
          </w:p>
        </w:tc>
        <w:tc>
          <w:tcPr>
            <w:tcW w:w="1921" w:type="pct"/>
            <w:tcBorders>
              <w:top w:val="nil"/>
              <w:left w:val="nil"/>
              <w:bottom w:val="single" w:sz="4" w:space="0" w:color="auto"/>
              <w:right w:val="single" w:sz="4" w:space="0" w:color="auto"/>
            </w:tcBorders>
            <w:shd w:val="clear" w:color="auto" w:fill="auto"/>
            <w:vAlign w:val="center"/>
          </w:tcPr>
          <w:p w:rsidR="00D60358" w:rsidRPr="00B076BF" w:rsidRDefault="00D60358" w:rsidP="00D60358">
            <w:pPr>
              <w:spacing w:before="40" w:after="40"/>
              <w:rPr>
                <w:rFonts w:ascii="Times New Roman" w:hAnsi="Times New Roman" w:cs="Times New Roman"/>
                <w:bCs/>
                <w:sz w:val="26"/>
                <w:szCs w:val="26"/>
              </w:rPr>
            </w:pPr>
            <w:r w:rsidRPr="00B076BF">
              <w:rPr>
                <w:rFonts w:ascii="Times New Roman" w:hAnsi="Times New Roman" w:cs="Times New Roman"/>
                <w:bCs/>
                <w:sz w:val="26"/>
                <w:szCs w:val="26"/>
              </w:rPr>
              <w:t xml:space="preserve">TTYT sẽ tự thực hiện hoặc thuê tổ chức, cá nhân độc lập đủ năng lực, phương tiện và điều kiện để thực hiện kiểm thử hệ thống. Thời gian </w:t>
            </w:r>
            <w:r w:rsidRPr="00D60358">
              <w:rPr>
                <w:rFonts w:ascii="Times New Roman" w:hAnsi="Times New Roman" w:cs="Times New Roman"/>
                <w:bCs/>
                <w:sz w:val="26"/>
                <w:szCs w:val="26"/>
              </w:rPr>
              <w:t>chuẩn bị hệ thống, thực hiện kiểm thử: 05 ngày, kể từ ngày Demo thành công. Kiểm</w:t>
            </w:r>
            <w:r w:rsidRPr="00B076BF">
              <w:rPr>
                <w:rFonts w:ascii="Times New Roman" w:hAnsi="Times New Roman" w:cs="Times New Roman"/>
                <w:bCs/>
                <w:sz w:val="26"/>
                <w:szCs w:val="26"/>
              </w:rPr>
              <w:t xml:space="preserve"> thử thành công là điều kiện bắt buộc để nhà cung cấp có thể tiến hành chuyển dữ liệu từ hệ thống cũ sang hệ thống mới.</w:t>
            </w:r>
          </w:p>
        </w:tc>
        <w:tc>
          <w:tcPr>
            <w:tcW w:w="1089"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1500"/>
        </w:trPr>
        <w:tc>
          <w:tcPr>
            <w:tcW w:w="402" w:type="pct"/>
            <w:tcBorders>
              <w:top w:val="nil"/>
              <w:left w:val="single" w:sz="4" w:space="0" w:color="auto"/>
              <w:bottom w:val="single" w:sz="4" w:space="0" w:color="auto"/>
              <w:right w:val="single" w:sz="4" w:space="0" w:color="auto"/>
            </w:tcBorders>
            <w:shd w:val="clear" w:color="auto" w:fill="auto"/>
            <w:vAlign w:val="center"/>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3</w:t>
            </w:r>
          </w:p>
        </w:tc>
        <w:tc>
          <w:tcPr>
            <w:tcW w:w="1588"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Kế thừa dữ liệu</w:t>
            </w:r>
          </w:p>
        </w:tc>
        <w:tc>
          <w:tcPr>
            <w:tcW w:w="1921"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bCs/>
                <w:sz w:val="26"/>
                <w:szCs w:val="26"/>
              </w:rPr>
            </w:pPr>
            <w:r w:rsidRPr="00B076BF">
              <w:rPr>
                <w:rFonts w:ascii="Times New Roman" w:hAnsi="Times New Roman" w:cs="Times New Roman"/>
                <w:bCs/>
                <w:sz w:val="26"/>
                <w:szCs w:val="26"/>
              </w:rPr>
              <w:t xml:space="preserve">- </w:t>
            </w:r>
            <w:r w:rsidRPr="00D60358">
              <w:rPr>
                <w:rFonts w:ascii="Times New Roman" w:hAnsi="Times New Roman" w:cs="Times New Roman"/>
                <w:bCs/>
                <w:sz w:val="26"/>
                <w:szCs w:val="26"/>
                <w:lang w:val="vi-VN"/>
              </w:rPr>
              <w:t xml:space="preserve">Nhà thầu phải cam kết phần mềm được triển khai sẽ kế thừa và giữ nguyên toàn bộ cấu trúc dữ liệu của phần mềm đang được vận hành tại đơn vị, bảo đảm quá trình triển khai không làm gián đoạn hoạt động khám chữa bệnh và không </w:t>
            </w:r>
            <w:r w:rsidRPr="00D60358">
              <w:rPr>
                <w:rFonts w:ascii="Times New Roman" w:hAnsi="Times New Roman" w:cs="Times New Roman"/>
                <w:bCs/>
                <w:sz w:val="26"/>
                <w:szCs w:val="26"/>
              </w:rPr>
              <w:t>cần sử dụng thêm</w:t>
            </w:r>
            <w:r w:rsidRPr="00D60358">
              <w:rPr>
                <w:rFonts w:ascii="Times New Roman" w:hAnsi="Times New Roman" w:cs="Times New Roman"/>
                <w:bCs/>
                <w:sz w:val="26"/>
                <w:szCs w:val="26"/>
                <w:lang w:val="vi-VN"/>
              </w:rPr>
              <w:t xml:space="preserve"> bất kỳ phần mềm của bên thứ ba</w:t>
            </w:r>
          </w:p>
        </w:tc>
        <w:tc>
          <w:tcPr>
            <w:tcW w:w="1089" w:type="pct"/>
            <w:tcBorders>
              <w:top w:val="nil"/>
              <w:left w:val="nil"/>
              <w:bottom w:val="single" w:sz="4" w:space="0" w:color="auto"/>
              <w:right w:val="single" w:sz="4" w:space="0" w:color="auto"/>
            </w:tcBorders>
            <w:shd w:val="clear" w:color="auto" w:fill="auto"/>
            <w:vAlign w:val="center"/>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D60358">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D60358" w:rsidRDefault="00D60358" w:rsidP="0006741B">
            <w:pPr>
              <w:jc w:val="center"/>
              <w:rPr>
                <w:rFonts w:ascii="Times New Roman" w:hAnsi="Times New Roman" w:cs="Times New Roman"/>
                <w:sz w:val="26"/>
                <w:szCs w:val="26"/>
              </w:rPr>
            </w:pPr>
            <w:r w:rsidRPr="00D60358">
              <w:rPr>
                <w:rFonts w:ascii="Times New Roman" w:hAnsi="Times New Roman" w:cs="Times New Roman"/>
                <w:sz w:val="26"/>
                <w:szCs w:val="26"/>
              </w:rPr>
              <w:t>4</w:t>
            </w:r>
          </w:p>
        </w:tc>
        <w:tc>
          <w:tcPr>
            <w:tcW w:w="1588" w:type="pct"/>
            <w:tcBorders>
              <w:top w:val="nil"/>
              <w:left w:val="nil"/>
              <w:bottom w:val="single" w:sz="4" w:space="0" w:color="auto"/>
              <w:right w:val="single" w:sz="4" w:space="0" w:color="auto"/>
            </w:tcBorders>
            <w:shd w:val="clear" w:color="auto" w:fill="auto"/>
            <w:vAlign w:val="center"/>
            <w:hideMark/>
          </w:tcPr>
          <w:p w:rsidR="00D60358" w:rsidRPr="00D60358" w:rsidRDefault="00D60358" w:rsidP="0006741B">
            <w:pPr>
              <w:rPr>
                <w:rFonts w:ascii="Times New Roman" w:hAnsi="Times New Roman" w:cs="Times New Roman"/>
                <w:sz w:val="26"/>
                <w:szCs w:val="26"/>
              </w:rPr>
            </w:pPr>
            <w:r w:rsidRPr="00D60358">
              <w:rPr>
                <w:rFonts w:ascii="Times New Roman" w:hAnsi="Times New Roman" w:cs="Times New Roman"/>
                <w:sz w:val="26"/>
                <w:szCs w:val="26"/>
              </w:rPr>
              <w:t>Thời gian thực hiện triển khai đưa hệ thống vào vận hành thực tế</w:t>
            </w:r>
          </w:p>
        </w:tc>
        <w:tc>
          <w:tcPr>
            <w:tcW w:w="1921" w:type="pct"/>
            <w:tcBorders>
              <w:top w:val="nil"/>
              <w:left w:val="nil"/>
              <w:bottom w:val="single" w:sz="4" w:space="0" w:color="auto"/>
              <w:right w:val="single" w:sz="4" w:space="0" w:color="auto"/>
            </w:tcBorders>
            <w:shd w:val="clear" w:color="auto" w:fill="auto"/>
            <w:vAlign w:val="center"/>
            <w:hideMark/>
          </w:tcPr>
          <w:p w:rsidR="00D60358" w:rsidRPr="00D60358" w:rsidRDefault="00D60358" w:rsidP="0006741B">
            <w:pPr>
              <w:rPr>
                <w:rFonts w:ascii="Times New Roman" w:hAnsi="Times New Roman" w:cs="Times New Roman"/>
                <w:sz w:val="26"/>
                <w:szCs w:val="26"/>
              </w:rPr>
            </w:pPr>
            <w:r w:rsidRPr="00D60358">
              <w:rPr>
                <w:rFonts w:ascii="Times New Roman" w:hAnsi="Times New Roman" w:cs="Times New Roman"/>
                <w:sz w:val="26"/>
                <w:szCs w:val="26"/>
              </w:rPr>
              <w:t>Có cam kết và đảm bảo hoàn thành triển khai cài đặt, kiểm thử, đào tạo, nghiệm thu, bàn giao đưa hệ thống vào vận hành thực tế trong vòng 15 ngày kể từ ngày hợp đồng có hiệu lực.</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D60358">
              <w:rPr>
                <w:rFonts w:ascii="Times New Roman" w:hAnsi="Times New Roman" w:cs="Times New Roman"/>
                <w:sz w:val="26"/>
                <w:szCs w:val="26"/>
              </w:rPr>
              <w:t>≥ 01 nội dung không đáp ứng yêu cầu</w:t>
            </w:r>
          </w:p>
        </w:tc>
      </w:tr>
      <w:tr w:rsidR="00D60358" w:rsidRPr="00B076BF" w:rsidTr="0006741B">
        <w:trPr>
          <w:trHeight w:val="37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V</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Bảo hành, hỗ trợ sau triển khai</w:t>
            </w:r>
          </w:p>
        </w:tc>
      </w:tr>
      <w:tr w:rsidR="00D60358" w:rsidRPr="00B076BF" w:rsidTr="0006741B">
        <w:trPr>
          <w:trHeight w:val="75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1</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Thời gian bảo hành</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Có cam kết bảo hành đến hết thời gian thực hiện hợp đồng.</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15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lastRenderedPageBreak/>
              <w:t>2</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Thời gian giải quyết sự cố</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xml:space="preserve">Có cam kết và đảm bảo thời gian giải quyết khi có sự cố về phần mềm gây gián đoạn dịch vụ, ách tắc luồng khám chữa bệnh trong vòng 04 giờ kể từ khi nhận được thông báo bằng fax, email hoặc điện thoại của </w:t>
            </w:r>
            <w:r w:rsidRPr="00B076BF">
              <w:rPr>
                <w:rFonts w:ascii="Times New Roman" w:hAnsi="Times New Roman" w:cs="Times New Roman"/>
                <w:bCs/>
                <w:sz w:val="26"/>
                <w:szCs w:val="26"/>
              </w:rPr>
              <w:t>TTYT</w:t>
            </w:r>
            <w:r w:rsidRPr="00B076BF">
              <w:rPr>
                <w:rFonts w:ascii="Times New Roman" w:hAnsi="Times New Roman" w:cs="Times New Roman"/>
                <w:sz w:val="26"/>
                <w:szCs w:val="26"/>
              </w:rPr>
              <w:t>.</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750"/>
        </w:trPr>
        <w:tc>
          <w:tcPr>
            <w:tcW w:w="402" w:type="pct"/>
            <w:vMerge w:val="restart"/>
            <w:tcBorders>
              <w:top w:val="nil"/>
              <w:left w:val="single" w:sz="4" w:space="0" w:color="auto"/>
              <w:bottom w:val="single" w:sz="4" w:space="0" w:color="000000"/>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3</w:t>
            </w:r>
          </w:p>
        </w:tc>
        <w:tc>
          <w:tcPr>
            <w:tcW w:w="1588" w:type="pct"/>
            <w:vMerge w:val="restart"/>
            <w:tcBorders>
              <w:top w:val="nil"/>
              <w:left w:val="single" w:sz="4" w:space="0" w:color="auto"/>
              <w:bottom w:val="single" w:sz="4" w:space="0" w:color="000000"/>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Hỗ trợ kỹ thuật</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Nhà thầu cam kết có phòng chăm sóc dịch vụ kỹ thuật, cũng như tổng đài chăm sóc dịch vụ kỹ thuật hoạt động 24/7.</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750"/>
        </w:trPr>
        <w:tc>
          <w:tcPr>
            <w:tcW w:w="402" w:type="pct"/>
            <w:vMerge/>
            <w:tcBorders>
              <w:top w:val="nil"/>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sz w:val="26"/>
                <w:szCs w:val="26"/>
              </w:rPr>
            </w:pPr>
          </w:p>
        </w:tc>
        <w:tc>
          <w:tcPr>
            <w:tcW w:w="1588" w:type="pct"/>
            <w:vMerge/>
            <w:tcBorders>
              <w:top w:val="nil"/>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sz w:val="26"/>
                <w:szCs w:val="26"/>
              </w:rPr>
            </w:pP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Nhà thầu cần cung cấp số tổng đài để đơn vị thực hiện gọi, kiểm tra chất lượng và thời gian hoạt động theo cam kết.</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1125"/>
        </w:trPr>
        <w:tc>
          <w:tcPr>
            <w:tcW w:w="402" w:type="pct"/>
            <w:vMerge/>
            <w:tcBorders>
              <w:top w:val="nil"/>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sz w:val="26"/>
                <w:szCs w:val="26"/>
              </w:rPr>
            </w:pPr>
          </w:p>
        </w:tc>
        <w:tc>
          <w:tcPr>
            <w:tcW w:w="1588" w:type="pct"/>
            <w:vMerge/>
            <w:tcBorders>
              <w:top w:val="nil"/>
              <w:left w:val="single" w:sz="4" w:space="0" w:color="auto"/>
              <w:bottom w:val="single" w:sz="4" w:space="0" w:color="000000"/>
              <w:right w:val="single" w:sz="4" w:space="0" w:color="auto"/>
            </w:tcBorders>
            <w:vAlign w:val="center"/>
            <w:hideMark/>
          </w:tcPr>
          <w:p w:rsidR="00D60358" w:rsidRPr="00B076BF" w:rsidRDefault="00D60358" w:rsidP="0006741B">
            <w:pPr>
              <w:jc w:val="left"/>
              <w:rPr>
                <w:rFonts w:ascii="Times New Roman" w:hAnsi="Times New Roman" w:cs="Times New Roman"/>
                <w:sz w:val="26"/>
                <w:szCs w:val="26"/>
              </w:rPr>
            </w:pP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Hỗ trợ trực tiếp tại vị trí triển khai, sử dụng trong vòng 48 giờ kể từ khi có thông báo sự cố từ chủ trì thuê dịch vụ nếu hỗ trợ từ xa không xử lý được dứt điểm vấn đề.</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112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4</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Hướng dẫn sử dụng</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Cam kết hướng dẫn và cung cấp tài liệu hướng dẫn sử dụng hệ thống. Cam kết đào tạo cho toàn bộ nhân viên bộ phận công nghệ thông tin sử dụng và quản trị, vận hành phần mềm cho đến khi thành thạo.</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06741B">
        <w:trPr>
          <w:trHeight w:val="37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VI</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Cập nhật hệ thống</w:t>
            </w:r>
          </w:p>
        </w:tc>
      </w:tr>
      <w:tr w:rsidR="00D60358" w:rsidRPr="00B076BF" w:rsidTr="00D60358">
        <w:trPr>
          <w:trHeight w:val="214"/>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1</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Cập nhật hệ thống</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bookmarkStart w:id="1" w:name="_Hlk215676185"/>
            <w:r w:rsidRPr="00B076BF">
              <w:rPr>
                <w:rFonts w:ascii="Times New Roman" w:hAnsi="Times New Roman" w:cs="Times New Roman"/>
                <w:sz w:val="26"/>
                <w:szCs w:val="26"/>
              </w:rPr>
              <w:t>Có cam kết cập nhật, nâng cấp hệ thống phần mềm đáp ứng kịp thời theo yêu cầu của Bộ Y tế, Bảo hiểm Xã hội trong thời gian thực hiện hợp đồng (nếu có).</w:t>
            </w:r>
            <w:bookmarkEnd w:id="1"/>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D60358">
        <w:trPr>
          <w:trHeight w:val="18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VII</w:t>
            </w:r>
          </w:p>
        </w:tc>
        <w:tc>
          <w:tcPr>
            <w:tcW w:w="4598" w:type="pct"/>
            <w:gridSpan w:val="3"/>
            <w:tcBorders>
              <w:top w:val="single" w:sz="4" w:space="0" w:color="auto"/>
              <w:left w:val="nil"/>
              <w:bottom w:val="single" w:sz="4" w:space="0" w:color="auto"/>
              <w:right w:val="single" w:sz="4" w:space="0" w:color="auto"/>
            </w:tcBorders>
            <w:shd w:val="clear" w:color="auto" w:fill="auto"/>
            <w:vAlign w:val="center"/>
            <w:hideMark/>
          </w:tcPr>
          <w:p w:rsidR="00D60358" w:rsidRPr="00B076BF" w:rsidRDefault="00D60358" w:rsidP="0006741B">
            <w:pPr>
              <w:jc w:val="left"/>
              <w:rPr>
                <w:rFonts w:ascii="Times New Roman" w:hAnsi="Times New Roman" w:cs="Times New Roman"/>
                <w:b/>
                <w:bCs/>
                <w:sz w:val="26"/>
                <w:szCs w:val="26"/>
              </w:rPr>
            </w:pPr>
            <w:r w:rsidRPr="00B076BF">
              <w:rPr>
                <w:rFonts w:ascii="Times New Roman" w:hAnsi="Times New Roman" w:cs="Times New Roman"/>
                <w:b/>
                <w:bCs/>
                <w:sz w:val="26"/>
                <w:szCs w:val="26"/>
              </w:rPr>
              <w:t>Các yêu cầu khác</w:t>
            </w:r>
          </w:p>
        </w:tc>
      </w:tr>
      <w:tr w:rsidR="00D60358" w:rsidRPr="00B076BF" w:rsidTr="004558B3">
        <w:trPr>
          <w:trHeight w:val="356"/>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t>1</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Kinh nghiệm vận hành thực tế</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xml:space="preserve">Nhà thầu cam kết phần mềm </w:t>
            </w:r>
            <w:r w:rsidRPr="00D60358">
              <w:rPr>
                <w:rFonts w:ascii="Times New Roman" w:hAnsi="Times New Roman" w:cs="Times New Roman"/>
                <w:sz w:val="26"/>
                <w:szCs w:val="26"/>
              </w:rPr>
              <w:t>EMR đã được triển khai tại ít nhất 02 cơ sở y tế</w:t>
            </w:r>
            <w:r w:rsidRPr="00B076BF">
              <w:rPr>
                <w:rFonts w:ascii="Times New Roman" w:hAnsi="Times New Roman" w:cs="Times New Roman"/>
                <w:sz w:val="26"/>
                <w:szCs w:val="26"/>
              </w:rPr>
              <w:t xml:space="preserve"> đã công bố sử dụng HSBA điện tử thay cho HSBA giấy trên website của Bộ </w:t>
            </w:r>
            <w:r w:rsidRPr="00B076BF">
              <w:rPr>
                <w:rFonts w:ascii="Times New Roman" w:hAnsi="Times New Roman" w:cs="Times New Roman"/>
                <w:sz w:val="26"/>
                <w:szCs w:val="26"/>
              </w:rPr>
              <w:lastRenderedPageBreak/>
              <w:t>Y Tế (Có tài liệu chứng minh)</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lastRenderedPageBreak/>
              <w:t>≥ 01 nội dung không đáp ứng yêu cầu</w:t>
            </w:r>
          </w:p>
        </w:tc>
      </w:tr>
      <w:tr w:rsidR="00D60358" w:rsidRPr="00B076BF" w:rsidTr="0006741B">
        <w:trPr>
          <w:trHeight w:val="7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sz w:val="26"/>
                <w:szCs w:val="26"/>
              </w:rPr>
            </w:pPr>
            <w:r w:rsidRPr="00B076BF">
              <w:rPr>
                <w:rFonts w:ascii="Times New Roman" w:hAnsi="Times New Roman" w:cs="Times New Roman"/>
                <w:sz w:val="26"/>
                <w:szCs w:val="26"/>
              </w:rPr>
              <w:lastRenderedPageBreak/>
              <w:t>2</w:t>
            </w:r>
          </w:p>
        </w:tc>
        <w:tc>
          <w:tcPr>
            <w:tcW w:w="1588"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Uy tín của nhà thầu</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Nhà thầu cam kết không có hợp đồng không hoàn thành trong vòng 03 năm trở lại đây.</w:t>
            </w:r>
            <w:r w:rsidRPr="00B076BF">
              <w:rPr>
                <w:rFonts w:ascii="Times New Roman" w:hAnsi="Times New Roman" w:cs="Times New Roman"/>
                <w:sz w:val="26"/>
                <w:szCs w:val="26"/>
              </w:rPr>
              <w:br/>
              <w:t>Nhà thầu chưa từng vi phạm quy định về đấu thầu ở bất kỳ gói thầu nào và chưa từng bị xử lý vi phạm về đấu thầu trong vòng 03 năm trở lại đây.</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sz w:val="26"/>
                <w:szCs w:val="26"/>
              </w:rPr>
            </w:pPr>
            <w:r w:rsidRPr="00B076BF">
              <w:rPr>
                <w:rFonts w:ascii="Times New Roman" w:hAnsi="Times New Roman" w:cs="Times New Roman"/>
                <w:sz w:val="26"/>
                <w:szCs w:val="26"/>
              </w:rPr>
              <w:t>≥ 01 nội dung không đáp ứng yêu cầu</w:t>
            </w:r>
          </w:p>
        </w:tc>
      </w:tr>
      <w:tr w:rsidR="00D60358" w:rsidRPr="00B076BF" w:rsidTr="00D60358">
        <w:trPr>
          <w:trHeight w:val="259"/>
        </w:trPr>
        <w:tc>
          <w:tcPr>
            <w:tcW w:w="199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bookmarkStart w:id="2" w:name="_GoBack"/>
            <w:bookmarkEnd w:id="2"/>
            <w:r w:rsidRPr="00B076BF">
              <w:rPr>
                <w:rFonts w:ascii="Times New Roman" w:hAnsi="Times New Roman" w:cs="Times New Roman"/>
                <w:b/>
                <w:bCs/>
                <w:sz w:val="26"/>
                <w:szCs w:val="26"/>
              </w:rPr>
              <w:t>KẾT LUẬN</w:t>
            </w:r>
          </w:p>
        </w:tc>
        <w:tc>
          <w:tcPr>
            <w:tcW w:w="1921"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rPr>
                <w:rFonts w:ascii="Times New Roman" w:hAnsi="Times New Roman" w:cs="Times New Roman"/>
                <w:b/>
                <w:bCs/>
                <w:sz w:val="26"/>
                <w:szCs w:val="26"/>
              </w:rPr>
            </w:pPr>
            <w:r w:rsidRPr="00B076BF">
              <w:rPr>
                <w:rFonts w:ascii="Times New Roman" w:hAnsi="Times New Roman" w:cs="Times New Roman"/>
                <w:b/>
                <w:bCs/>
                <w:sz w:val="26"/>
                <w:szCs w:val="26"/>
              </w:rPr>
              <w:t>Tất cả các tiêu chuẩn được đánh giá là đạt</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ĐẠT</w:t>
            </w:r>
          </w:p>
        </w:tc>
      </w:tr>
      <w:tr w:rsidR="00D60358" w:rsidRPr="00B076BF" w:rsidTr="00D60358">
        <w:trPr>
          <w:trHeight w:val="245"/>
        </w:trPr>
        <w:tc>
          <w:tcPr>
            <w:tcW w:w="1990" w:type="pct"/>
            <w:gridSpan w:val="2"/>
            <w:vMerge/>
            <w:tcBorders>
              <w:top w:val="single" w:sz="4" w:space="0" w:color="auto"/>
              <w:left w:val="single" w:sz="4" w:space="0" w:color="auto"/>
              <w:bottom w:val="single" w:sz="4" w:space="0" w:color="auto"/>
              <w:right w:val="single" w:sz="4" w:space="0" w:color="auto"/>
            </w:tcBorders>
            <w:vAlign w:val="center"/>
            <w:hideMark/>
          </w:tcPr>
          <w:p w:rsidR="00D60358" w:rsidRPr="00B076BF" w:rsidRDefault="00D60358" w:rsidP="0006741B">
            <w:pPr>
              <w:rPr>
                <w:rFonts w:ascii="Times New Roman" w:hAnsi="Times New Roman" w:cs="Times New Roman"/>
                <w:b/>
                <w:bCs/>
                <w:sz w:val="26"/>
                <w:szCs w:val="26"/>
              </w:rPr>
            </w:pPr>
          </w:p>
        </w:tc>
        <w:tc>
          <w:tcPr>
            <w:tcW w:w="1921" w:type="pct"/>
            <w:tcBorders>
              <w:top w:val="nil"/>
              <w:left w:val="nil"/>
              <w:bottom w:val="single" w:sz="4" w:space="0" w:color="auto"/>
              <w:right w:val="single" w:sz="4" w:space="0" w:color="auto"/>
            </w:tcBorders>
            <w:shd w:val="clear" w:color="auto" w:fill="auto"/>
            <w:vAlign w:val="center"/>
            <w:hideMark/>
          </w:tcPr>
          <w:p w:rsidR="00D60358" w:rsidRPr="00D60358" w:rsidRDefault="00D60358" w:rsidP="0006741B">
            <w:pPr>
              <w:rPr>
                <w:rFonts w:ascii="Times New Roman Bold" w:hAnsi="Times New Roman Bold" w:cs="Times New Roman"/>
                <w:b/>
                <w:bCs/>
                <w:spacing w:val="-6"/>
                <w:sz w:val="26"/>
                <w:szCs w:val="26"/>
              </w:rPr>
            </w:pPr>
            <w:r w:rsidRPr="00D60358">
              <w:rPr>
                <w:rFonts w:ascii="Times New Roman Bold" w:hAnsi="Times New Roman Bold" w:cs="Times New Roman"/>
                <w:b/>
                <w:bCs/>
                <w:spacing w:val="-6"/>
                <w:sz w:val="26"/>
                <w:szCs w:val="26"/>
              </w:rPr>
              <w:t>Bất kỳ một trong các tiêu chuẩn được đánh giá là không đạt</w:t>
            </w:r>
          </w:p>
        </w:tc>
        <w:tc>
          <w:tcPr>
            <w:tcW w:w="1089" w:type="pct"/>
            <w:tcBorders>
              <w:top w:val="nil"/>
              <w:left w:val="nil"/>
              <w:bottom w:val="single" w:sz="4" w:space="0" w:color="auto"/>
              <w:right w:val="single" w:sz="4" w:space="0" w:color="auto"/>
            </w:tcBorders>
            <w:shd w:val="clear" w:color="auto" w:fill="auto"/>
            <w:vAlign w:val="center"/>
            <w:hideMark/>
          </w:tcPr>
          <w:p w:rsidR="00D60358" w:rsidRPr="00B076BF" w:rsidRDefault="00D60358" w:rsidP="0006741B">
            <w:pPr>
              <w:jc w:val="center"/>
              <w:rPr>
                <w:rFonts w:ascii="Times New Roman" w:hAnsi="Times New Roman" w:cs="Times New Roman"/>
                <w:b/>
                <w:bCs/>
                <w:sz w:val="26"/>
                <w:szCs w:val="26"/>
              </w:rPr>
            </w:pPr>
            <w:r w:rsidRPr="00B076BF">
              <w:rPr>
                <w:rFonts w:ascii="Times New Roman" w:hAnsi="Times New Roman" w:cs="Times New Roman"/>
                <w:b/>
                <w:bCs/>
                <w:sz w:val="26"/>
                <w:szCs w:val="26"/>
              </w:rPr>
              <w:t>KHÔNG ĐẠT</w:t>
            </w:r>
          </w:p>
        </w:tc>
      </w:tr>
    </w:tbl>
    <w:p w:rsidR="00123D4B" w:rsidRDefault="00123D4B"/>
    <w:sectPr w:rsidR="00123D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58" w:rsidRDefault="00D60358" w:rsidP="00D60358">
      <w:r>
        <w:separator/>
      </w:r>
    </w:p>
  </w:endnote>
  <w:endnote w:type="continuationSeparator" w:id="0">
    <w:p w:rsidR="00D60358" w:rsidRDefault="00D60358" w:rsidP="00D6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58" w:rsidRDefault="00D60358" w:rsidP="00D60358">
      <w:r>
        <w:separator/>
      </w:r>
    </w:p>
  </w:footnote>
  <w:footnote w:type="continuationSeparator" w:id="0">
    <w:p w:rsidR="00D60358" w:rsidRDefault="00D60358" w:rsidP="00D60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358"/>
    <w:rsid w:val="00123D4B"/>
    <w:rsid w:val="00205272"/>
    <w:rsid w:val="00431B4C"/>
    <w:rsid w:val="004558B3"/>
    <w:rsid w:val="006F1C23"/>
    <w:rsid w:val="00D6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58"/>
    <w:pPr>
      <w:spacing w:after="0" w:line="240" w:lineRule="auto"/>
      <w:jc w:val="both"/>
    </w:pPr>
    <w:rPr>
      <w:rFonts w:ascii="Book Antiqua" w:eastAsia="Book Antiqua" w:hAnsi="Book Antiqua" w:cs="Book Antiqu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6035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60358"/>
    <w:rPr>
      <w:rFonts w:ascii="Book Antiqua" w:eastAsia="Book Antiqua" w:hAnsi="Book Antiqua" w:cs="Book Antiqua"/>
      <w:sz w:val="20"/>
      <w:szCs w:val="20"/>
      <w:lang w:val="x-none" w:eastAsia="x-none"/>
    </w:rPr>
  </w:style>
  <w:style w:type="character" w:styleId="FootnoteReference">
    <w:name w:val="footnote reference"/>
    <w:aliases w:val="callout"/>
    <w:uiPriority w:val="99"/>
    <w:rsid w:val="00D603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58"/>
    <w:pPr>
      <w:spacing w:after="0" w:line="240" w:lineRule="auto"/>
      <w:jc w:val="both"/>
    </w:pPr>
    <w:rPr>
      <w:rFonts w:ascii="Book Antiqua" w:eastAsia="Book Antiqua" w:hAnsi="Book Antiqua" w:cs="Book Antiqu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6035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60358"/>
    <w:rPr>
      <w:rFonts w:ascii="Book Antiqua" w:eastAsia="Book Antiqua" w:hAnsi="Book Antiqua" w:cs="Book Antiqua"/>
      <w:sz w:val="20"/>
      <w:szCs w:val="20"/>
      <w:lang w:val="x-none" w:eastAsia="x-none"/>
    </w:rPr>
  </w:style>
  <w:style w:type="character" w:styleId="FootnoteReference">
    <w:name w:val="footnote reference"/>
    <w:aliases w:val="callout"/>
    <w:uiPriority w:val="99"/>
    <w:rsid w:val="00D60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T470S</dc:creator>
  <cp:lastModifiedBy>T470S</cp:lastModifiedBy>
  <cp:revision>2</cp:revision>
  <cp:lastPrinted>2025-12-19T08:06:00Z</cp:lastPrinted>
  <dcterms:created xsi:type="dcterms:W3CDTF">2025-12-21T16:37:00Z</dcterms:created>
  <dcterms:modified xsi:type="dcterms:W3CDTF">2025-12-21T16:37:00Z</dcterms:modified>
</cp:coreProperties>
</file>