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94E93" w14:textId="77777777" w:rsidR="00C223D9" w:rsidRPr="005C3E8C" w:rsidRDefault="00C223D9" w:rsidP="00C223D9">
      <w:pPr>
        <w:widowControl w:val="0"/>
        <w:spacing w:before="120" w:after="120" w:line="264" w:lineRule="auto"/>
        <w:jc w:val="center"/>
        <w:outlineLvl w:val="1"/>
        <w:rPr>
          <w:sz w:val="28"/>
          <w:szCs w:val="28"/>
          <w:lang w:val="nl-NL"/>
        </w:rPr>
      </w:pPr>
      <w:r w:rsidRPr="005C3E8C">
        <w:rPr>
          <w:b/>
          <w:sz w:val="28"/>
          <w:szCs w:val="28"/>
          <w:lang w:val="nl-NL"/>
        </w:rPr>
        <w:t>Chương V. YÊU CẦU VỀ KỸ THUẬT</w:t>
      </w:r>
    </w:p>
    <w:p w14:paraId="1D8850B8" w14:textId="77777777" w:rsidR="00C223D9" w:rsidRPr="005C3E8C" w:rsidRDefault="00C223D9" w:rsidP="00C223D9">
      <w:pPr>
        <w:pStyle w:val="Subtitle"/>
        <w:rPr>
          <w:rFonts w:ascii="Times New Roman" w:hAnsi="Times New Roman" w:cs="Times New Roman"/>
          <w:color w:val="auto"/>
          <w:sz w:val="28"/>
          <w:lang w:val="nl-NL"/>
        </w:rPr>
      </w:pPr>
    </w:p>
    <w:p w14:paraId="118D6B3A" w14:textId="77777777" w:rsidR="00C223D9" w:rsidRPr="005C3E8C" w:rsidRDefault="00C223D9" w:rsidP="00C223D9">
      <w:pPr>
        <w:pStyle w:val="SectionVIHeader"/>
        <w:widowControl w:val="0"/>
        <w:spacing w:after="120" w:line="264" w:lineRule="auto"/>
        <w:ind w:firstLine="709"/>
        <w:jc w:val="both"/>
        <w:rPr>
          <w:sz w:val="28"/>
          <w:szCs w:val="28"/>
          <w:lang w:val="nl-NL"/>
        </w:rPr>
      </w:pPr>
      <w:r w:rsidRPr="005C3E8C">
        <w:rPr>
          <w:sz w:val="28"/>
          <w:szCs w:val="28"/>
          <w:lang w:val="nl-NL"/>
        </w:rPr>
        <w:t>Mục 1. Yêu cầu về kỹ thuật</w:t>
      </w:r>
    </w:p>
    <w:p w14:paraId="79575560" w14:textId="77777777" w:rsidR="00C223D9" w:rsidRPr="005C3E8C" w:rsidRDefault="00C223D9" w:rsidP="00C223D9">
      <w:pPr>
        <w:widowControl w:val="0"/>
        <w:spacing w:before="120" w:after="120" w:line="264" w:lineRule="auto"/>
        <w:ind w:firstLine="709"/>
        <w:rPr>
          <w:b/>
          <w:i/>
          <w:sz w:val="28"/>
          <w:szCs w:val="28"/>
          <w:lang w:val="nl-NL"/>
        </w:rPr>
      </w:pPr>
      <w:r w:rsidRPr="005C3E8C">
        <w:rPr>
          <w:b/>
          <w:i/>
          <w:sz w:val="28"/>
          <w:szCs w:val="28"/>
          <w:lang w:val="nl-NL"/>
        </w:rPr>
        <w:t>1.1. Giới thiệu chung về dự án/</w:t>
      </w:r>
      <w:r w:rsidRPr="005C3E8C">
        <w:rPr>
          <w:b/>
          <w:i/>
          <w:sz w:val="28"/>
          <w:szCs w:val="28"/>
        </w:rPr>
        <w:t>dự toán mua sắm</w:t>
      </w:r>
      <w:r w:rsidRPr="005C3E8C">
        <w:rPr>
          <w:b/>
          <w:i/>
          <w:sz w:val="28"/>
          <w:szCs w:val="28"/>
          <w:lang w:val="nl-NL"/>
        </w:rPr>
        <w:t>, gói thầu:</w:t>
      </w:r>
    </w:p>
    <w:p w14:paraId="267344C1"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Chủ đầu tư: Bệnh viện Đa khoa Vĩnh Long.</w:t>
      </w:r>
    </w:p>
    <w:p w14:paraId="2F2163C6"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Tên dự toán mua sắm: Mua sắm màn hình LED phục vụ chuyên môn tại Bệnh viện Đa khoa Vĩnh Long năm 2026.</w:t>
      </w:r>
    </w:p>
    <w:p w14:paraId="2EFD7D98"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Tên gói thầu: Mua sắm màn hình LED phục vụ chuyên môn tại Bệnh viện Đa khoa Vĩnh Long năm 2026.</w:t>
      </w:r>
    </w:p>
    <w:p w14:paraId="4DC801D1"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Nguồn vốn: Nguồn thu dịch vụ khám bệnh, chữa bệnh năm 2025, 2026.</w:t>
      </w:r>
    </w:p>
    <w:p w14:paraId="0CFA815A"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Hình thức lựa chọn nhà thầu: Chào hàng cạnh tranh trong nước, qua mạng.</w:t>
      </w:r>
    </w:p>
    <w:p w14:paraId="014105AF"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Phương thức lựa chọn nhà thầu: Một giai đoạn một túi hồ sơ.</w:t>
      </w:r>
    </w:p>
    <w:p w14:paraId="3683AF97"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Loại hợp đồng: Hợp đồng trọn gói.</w:t>
      </w:r>
    </w:p>
    <w:p w14:paraId="74F4035A"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Thời gian thực hiện gói thầu: 30 ngày</w:t>
      </w:r>
    </w:p>
    <w:p w14:paraId="503194A5"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Thời gian lựa chọn nhà thầu: Quý I/2026</w:t>
      </w:r>
    </w:p>
    <w:p w14:paraId="19206F03" w14:textId="77777777" w:rsidR="00C223D9" w:rsidRPr="005C3E8C" w:rsidRDefault="00C223D9" w:rsidP="00C223D9">
      <w:pPr>
        <w:widowControl w:val="0"/>
        <w:spacing w:before="120" w:after="120" w:line="264" w:lineRule="auto"/>
        <w:ind w:firstLine="709"/>
        <w:rPr>
          <w:b/>
          <w:i/>
          <w:sz w:val="28"/>
          <w:szCs w:val="28"/>
          <w:lang w:val="nl-NL"/>
        </w:rPr>
      </w:pPr>
      <w:r w:rsidRPr="005C3E8C">
        <w:rPr>
          <w:b/>
          <w:i/>
          <w:sz w:val="28"/>
          <w:szCs w:val="28"/>
          <w:lang w:val="nl-NL"/>
        </w:rPr>
        <w:t>1.2. Yêu cầu về kỹ thuật</w:t>
      </w:r>
    </w:p>
    <w:p w14:paraId="0C4F7D3E" w14:textId="77777777" w:rsidR="00C223D9" w:rsidRPr="005C3E8C" w:rsidRDefault="00C223D9" w:rsidP="00C223D9">
      <w:pPr>
        <w:widowControl w:val="0"/>
        <w:spacing w:before="120" w:after="120" w:line="264" w:lineRule="auto"/>
        <w:ind w:firstLine="709"/>
        <w:rPr>
          <w:b/>
          <w:i/>
          <w:sz w:val="28"/>
          <w:szCs w:val="28"/>
          <w:lang w:val="nl-NL"/>
        </w:rPr>
      </w:pPr>
      <w:r w:rsidRPr="005C3E8C">
        <w:rPr>
          <w:b/>
          <w:i/>
          <w:sz w:val="28"/>
          <w:szCs w:val="28"/>
          <w:lang w:val="nl-NL"/>
        </w:rPr>
        <w:t>a) Yêu cầu chung</w:t>
      </w:r>
    </w:p>
    <w:p w14:paraId="60845B02"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Hàng hóa thuộc gói thầu mới 100%, được sản xuất hoặc nhập khẩu từ năm 2024 trở về sau, có nguồn gốc xuất xứ rõ ràng, với đầy đủ các thông số kỹ thuật kèm theo. Đã bao gồm đầy đủ các vật tư, phụ kiện, dịch vụ kỹ thuật kèm theo để lắp đặt hoàn chỉnh, bàn giao theo yêu cầu của chủ đầu tư.</w:t>
      </w:r>
    </w:p>
    <w:p w14:paraId="50A4515D" w14:textId="77777777" w:rsidR="00C223D9" w:rsidRPr="005C3E8C" w:rsidRDefault="00C223D9" w:rsidP="00C223D9">
      <w:pPr>
        <w:widowControl w:val="0"/>
        <w:spacing w:before="120" w:after="120" w:line="264" w:lineRule="auto"/>
        <w:ind w:firstLine="709"/>
        <w:rPr>
          <w:bCs/>
          <w:iCs/>
          <w:sz w:val="28"/>
          <w:szCs w:val="28"/>
          <w:lang w:val="nl-NL"/>
        </w:rPr>
      </w:pPr>
      <w:r w:rsidRPr="005C3E8C">
        <w:rPr>
          <w:bCs/>
          <w:iCs/>
          <w:sz w:val="28"/>
          <w:szCs w:val="28"/>
          <w:lang w:val="nl-NL"/>
        </w:rPr>
        <w:t>- Cam kết thu hồi trong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4AD23D5E" w14:textId="77777777" w:rsidR="00C223D9" w:rsidRPr="005C3E8C" w:rsidRDefault="00C223D9" w:rsidP="00C223D9">
      <w:pPr>
        <w:widowControl w:val="0"/>
        <w:spacing w:before="120" w:after="120" w:line="264" w:lineRule="auto"/>
        <w:ind w:firstLine="709"/>
        <w:rPr>
          <w:b/>
          <w:i/>
          <w:sz w:val="28"/>
          <w:szCs w:val="28"/>
          <w:lang w:val="nl-NL"/>
        </w:rPr>
      </w:pPr>
      <w:r w:rsidRPr="005C3E8C">
        <w:rPr>
          <w:b/>
          <w:i/>
          <w:sz w:val="28"/>
          <w:szCs w:val="28"/>
          <w:lang w:val="nl-NL"/>
        </w:rPr>
        <w:t>b) Yêu cầu về kỹ thuật cụ thể:</w:t>
      </w:r>
    </w:p>
    <w:tbl>
      <w:tblPr>
        <w:tblStyle w:val="TableGrid"/>
        <w:tblW w:w="9209" w:type="dxa"/>
        <w:tblLook w:val="04A0" w:firstRow="1" w:lastRow="0" w:firstColumn="1" w:lastColumn="0" w:noHBand="0" w:noVBand="1"/>
      </w:tblPr>
      <w:tblGrid>
        <w:gridCol w:w="746"/>
        <w:gridCol w:w="1976"/>
        <w:gridCol w:w="6487"/>
      </w:tblGrid>
      <w:tr w:rsidR="00EC58DB" w:rsidRPr="005C3E8C" w14:paraId="427BDE7A" w14:textId="77777777" w:rsidTr="00E44C01">
        <w:trPr>
          <w:tblHeader/>
        </w:trPr>
        <w:tc>
          <w:tcPr>
            <w:tcW w:w="708" w:type="dxa"/>
            <w:vAlign w:val="center"/>
          </w:tcPr>
          <w:p w14:paraId="7E891E27" w14:textId="77777777" w:rsidR="00C223D9" w:rsidRPr="005C3E8C" w:rsidRDefault="00C223D9" w:rsidP="00E44C01">
            <w:pPr>
              <w:spacing w:line="288" w:lineRule="auto"/>
              <w:jc w:val="center"/>
              <w:rPr>
                <w:rFonts w:ascii="Times New Roman" w:hAnsi="Times New Roman"/>
                <w:b/>
                <w:sz w:val="28"/>
                <w:szCs w:val="28"/>
              </w:rPr>
            </w:pPr>
            <w:r w:rsidRPr="005C3E8C">
              <w:rPr>
                <w:rFonts w:ascii="Times New Roman" w:hAnsi="Times New Roman"/>
                <w:b/>
                <w:i/>
                <w:sz w:val="28"/>
                <w:szCs w:val="28"/>
                <w:lang w:val="nl-NL"/>
              </w:rPr>
              <w:br w:type="page"/>
            </w:r>
            <w:r w:rsidRPr="005C3E8C">
              <w:rPr>
                <w:rFonts w:ascii="Times New Roman" w:hAnsi="Times New Roman"/>
                <w:b/>
                <w:bCs/>
                <w:sz w:val="28"/>
                <w:szCs w:val="28"/>
              </w:rPr>
              <w:t>STT</w:t>
            </w:r>
          </w:p>
        </w:tc>
        <w:tc>
          <w:tcPr>
            <w:tcW w:w="1981" w:type="dxa"/>
          </w:tcPr>
          <w:p w14:paraId="6D56CAA8" w14:textId="77777777" w:rsidR="00C223D9" w:rsidRPr="005C3E8C" w:rsidRDefault="00C223D9" w:rsidP="00E44C01">
            <w:pPr>
              <w:spacing w:line="288" w:lineRule="auto"/>
              <w:jc w:val="center"/>
              <w:rPr>
                <w:rFonts w:ascii="Times New Roman" w:hAnsi="Times New Roman"/>
                <w:b/>
                <w:sz w:val="28"/>
                <w:szCs w:val="28"/>
              </w:rPr>
            </w:pPr>
            <w:r w:rsidRPr="005C3E8C">
              <w:rPr>
                <w:rFonts w:ascii="Times New Roman" w:hAnsi="Times New Roman"/>
                <w:b/>
                <w:bCs/>
                <w:sz w:val="28"/>
                <w:szCs w:val="28"/>
              </w:rPr>
              <w:t>Danh mục hàng hóa</w:t>
            </w:r>
          </w:p>
        </w:tc>
        <w:tc>
          <w:tcPr>
            <w:tcW w:w="6520" w:type="dxa"/>
            <w:vAlign w:val="center"/>
          </w:tcPr>
          <w:p w14:paraId="35A97F0D" w14:textId="77777777" w:rsidR="00C223D9" w:rsidRPr="005C3E8C" w:rsidRDefault="00C223D9" w:rsidP="00E44C01">
            <w:pPr>
              <w:spacing w:line="288" w:lineRule="auto"/>
              <w:jc w:val="center"/>
              <w:rPr>
                <w:rFonts w:ascii="Times New Roman" w:hAnsi="Times New Roman"/>
                <w:b/>
                <w:sz w:val="28"/>
                <w:szCs w:val="28"/>
              </w:rPr>
            </w:pPr>
            <w:r w:rsidRPr="005C3E8C">
              <w:rPr>
                <w:rFonts w:ascii="Times New Roman" w:hAnsi="Times New Roman"/>
                <w:b/>
                <w:sz w:val="28"/>
                <w:szCs w:val="28"/>
              </w:rPr>
              <w:t>Thông số kỹ thuật và các tiêu chuẩn</w:t>
            </w:r>
          </w:p>
        </w:tc>
      </w:tr>
      <w:tr w:rsidR="00EC58DB" w:rsidRPr="005C3E8C" w14:paraId="69032C86" w14:textId="77777777" w:rsidTr="00E44C01">
        <w:tc>
          <w:tcPr>
            <w:tcW w:w="708" w:type="dxa"/>
          </w:tcPr>
          <w:p w14:paraId="2512D679" w14:textId="77777777" w:rsidR="00C223D9" w:rsidRPr="005C3E8C" w:rsidRDefault="00C223D9" w:rsidP="00C223D9">
            <w:pPr>
              <w:pStyle w:val="ListParagraph"/>
              <w:numPr>
                <w:ilvl w:val="0"/>
                <w:numId w:val="1"/>
              </w:numPr>
              <w:spacing w:line="288" w:lineRule="auto"/>
              <w:ind w:left="527" w:hanging="357"/>
              <w:jc w:val="center"/>
              <w:rPr>
                <w:rFonts w:ascii="Times New Roman" w:hAnsi="Times New Roman"/>
                <w:bCs/>
                <w:i/>
                <w:sz w:val="28"/>
                <w:szCs w:val="28"/>
                <w:lang w:val="nl-NL"/>
              </w:rPr>
            </w:pPr>
          </w:p>
        </w:tc>
        <w:tc>
          <w:tcPr>
            <w:tcW w:w="1981" w:type="dxa"/>
          </w:tcPr>
          <w:p w14:paraId="5EBAA5DD" w14:textId="77777777" w:rsidR="00C223D9" w:rsidRPr="005C3E8C" w:rsidRDefault="00C223D9" w:rsidP="00E44C01">
            <w:pPr>
              <w:spacing w:line="288" w:lineRule="auto"/>
              <w:jc w:val="left"/>
              <w:rPr>
                <w:rFonts w:ascii="Times New Roman" w:hAnsi="Times New Roman"/>
                <w:b/>
                <w:bCs/>
                <w:sz w:val="28"/>
                <w:szCs w:val="28"/>
              </w:rPr>
            </w:pPr>
            <w:r w:rsidRPr="005C3E8C">
              <w:rPr>
                <w:rFonts w:ascii="Times New Roman" w:hAnsi="Times New Roman"/>
                <w:sz w:val="28"/>
                <w:szCs w:val="28"/>
              </w:rPr>
              <w:t>Màn hình led (ngang 4800mm x cao 3200mm)</w:t>
            </w:r>
          </w:p>
        </w:tc>
        <w:tc>
          <w:tcPr>
            <w:tcW w:w="6520" w:type="dxa"/>
          </w:tcPr>
          <w:p w14:paraId="3979FB2F" w14:textId="77777777" w:rsidR="00C223D9" w:rsidRPr="005C3E8C" w:rsidRDefault="00C223D9" w:rsidP="00E44C01">
            <w:pPr>
              <w:spacing w:line="288" w:lineRule="auto"/>
              <w:rPr>
                <w:rFonts w:ascii="Times New Roman" w:hAnsi="Times New Roman"/>
                <w:b/>
                <w:bCs/>
                <w:sz w:val="28"/>
                <w:szCs w:val="28"/>
              </w:rPr>
            </w:pPr>
            <w:r w:rsidRPr="005C3E8C">
              <w:rPr>
                <w:rFonts w:ascii="Times New Roman" w:hAnsi="Times New Roman"/>
                <w:b/>
                <w:bCs/>
                <w:sz w:val="28"/>
                <w:szCs w:val="28"/>
              </w:rPr>
              <w:t xml:space="preserve">Màn hình:  </w:t>
            </w:r>
          </w:p>
          <w:p w14:paraId="17A60322"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Kích thước: 4800mm x 3200mm </w:t>
            </w:r>
          </w:p>
          <w:p w14:paraId="56D2E6A6"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Module led P2 Indoor  </w:t>
            </w:r>
          </w:p>
          <w:p w14:paraId="73E74A17" w14:textId="28D7A5D5"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Khoảng cách 2 điểm ảnh (Pitch): ≤</w:t>
            </w:r>
            <w:r w:rsidR="00B13050" w:rsidRPr="005C3E8C">
              <w:rPr>
                <w:rFonts w:ascii="Times New Roman" w:hAnsi="Times New Roman"/>
                <w:sz w:val="28"/>
                <w:szCs w:val="28"/>
              </w:rPr>
              <w:t xml:space="preserve"> </w:t>
            </w:r>
            <w:r w:rsidR="00A05453">
              <w:rPr>
                <w:rFonts w:ascii="Times New Roman" w:hAnsi="Times New Roman"/>
                <w:sz w:val="28"/>
                <w:szCs w:val="28"/>
              </w:rPr>
              <w:t xml:space="preserve">2.0 </w:t>
            </w:r>
            <w:r w:rsidRPr="005C3E8C">
              <w:rPr>
                <w:rFonts w:ascii="Times New Roman" w:hAnsi="Times New Roman"/>
                <w:sz w:val="28"/>
                <w:szCs w:val="28"/>
              </w:rPr>
              <w:t xml:space="preserve">mm </w:t>
            </w:r>
          </w:p>
          <w:p w14:paraId="0B1241C1"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Kích thước (L*H): </w:t>
            </w:r>
            <w:r w:rsidR="00B13050" w:rsidRPr="005C3E8C">
              <w:rPr>
                <w:rFonts w:ascii="Times New Roman" w:hAnsi="Times New Roman"/>
                <w:sz w:val="28"/>
                <w:szCs w:val="28"/>
              </w:rPr>
              <w:t xml:space="preserve">≥ </w:t>
            </w:r>
            <w:r w:rsidRPr="005C3E8C">
              <w:rPr>
                <w:rFonts w:ascii="Times New Roman" w:hAnsi="Times New Roman"/>
                <w:sz w:val="28"/>
                <w:szCs w:val="28"/>
              </w:rPr>
              <w:t>320</w:t>
            </w:r>
            <w:r w:rsidR="00B13050" w:rsidRPr="005C3E8C">
              <w:rPr>
                <w:rFonts w:ascii="Times New Roman" w:hAnsi="Times New Roman"/>
                <w:sz w:val="28"/>
                <w:szCs w:val="28"/>
              </w:rPr>
              <w:t xml:space="preserve"> </w:t>
            </w:r>
            <w:r w:rsidRPr="005C3E8C">
              <w:rPr>
                <w:rFonts w:ascii="Times New Roman" w:hAnsi="Times New Roman"/>
                <w:sz w:val="28"/>
                <w:szCs w:val="28"/>
              </w:rPr>
              <w:t>x</w:t>
            </w:r>
            <w:r w:rsidR="00B13050" w:rsidRPr="005C3E8C">
              <w:rPr>
                <w:rFonts w:ascii="Times New Roman" w:hAnsi="Times New Roman"/>
                <w:sz w:val="28"/>
                <w:szCs w:val="28"/>
              </w:rPr>
              <w:t xml:space="preserve"> </w:t>
            </w:r>
            <w:r w:rsidRPr="005C3E8C">
              <w:rPr>
                <w:rFonts w:ascii="Times New Roman" w:hAnsi="Times New Roman"/>
                <w:sz w:val="28"/>
                <w:szCs w:val="28"/>
              </w:rPr>
              <w:t xml:space="preserve">160mm </w:t>
            </w:r>
          </w:p>
          <w:p w14:paraId="56714415"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lastRenderedPageBreak/>
              <w:t>- Điểm ảnh Pixel (LxH):</w:t>
            </w:r>
            <w:r w:rsidR="00507024">
              <w:rPr>
                <w:rFonts w:ascii="Times New Roman" w:hAnsi="Times New Roman"/>
                <w:sz w:val="28"/>
                <w:szCs w:val="28"/>
              </w:rPr>
              <w:t xml:space="preserve"> ≤</w:t>
            </w:r>
            <w:r w:rsidR="001A0119">
              <w:rPr>
                <w:rFonts w:ascii="Times New Roman" w:hAnsi="Times New Roman"/>
                <w:sz w:val="28"/>
                <w:szCs w:val="28"/>
              </w:rPr>
              <w:t xml:space="preserve"> </w:t>
            </w:r>
            <w:r w:rsidRPr="005C3E8C">
              <w:rPr>
                <w:rFonts w:ascii="Times New Roman" w:hAnsi="Times New Roman"/>
                <w:sz w:val="28"/>
                <w:szCs w:val="28"/>
              </w:rPr>
              <w:t xml:space="preserve">160X80 Pixel </w:t>
            </w:r>
          </w:p>
          <w:p w14:paraId="524DB198"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Giao tiếp: HUB75 </w:t>
            </w:r>
          </w:p>
          <w:p w14:paraId="09A2F781" w14:textId="71AC7300"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Khoảng cách xem gần nhất: 2m</w:t>
            </w:r>
            <w:r w:rsidR="00A05453">
              <w:rPr>
                <w:rFonts w:ascii="Times New Roman" w:hAnsi="Times New Roman"/>
                <w:sz w:val="28"/>
                <w:szCs w:val="28"/>
              </w:rPr>
              <w:t>-6m (là tối ưu nhất)</w:t>
            </w:r>
            <w:r w:rsidRPr="005C3E8C">
              <w:rPr>
                <w:rFonts w:ascii="Times New Roman" w:hAnsi="Times New Roman"/>
                <w:sz w:val="28"/>
                <w:szCs w:val="28"/>
              </w:rPr>
              <w:t xml:space="preserve"> </w:t>
            </w:r>
          </w:p>
          <w:p w14:paraId="4BFDB6D3"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Nhóm nước, vùng lãnh thổ: Châu Á </w:t>
            </w:r>
          </w:p>
          <w:p w14:paraId="5F5BA7E0" w14:textId="77777777" w:rsidR="00C223D9" w:rsidRPr="005C3E8C" w:rsidRDefault="00C223D9" w:rsidP="00E44C01">
            <w:pPr>
              <w:spacing w:line="288" w:lineRule="auto"/>
              <w:rPr>
                <w:rFonts w:ascii="Times New Roman" w:hAnsi="Times New Roman"/>
                <w:sz w:val="28"/>
                <w:szCs w:val="28"/>
                <w:lang w:val="vi-VN"/>
              </w:rPr>
            </w:pPr>
            <w:r w:rsidRPr="005C3E8C">
              <w:rPr>
                <w:rFonts w:ascii="Times New Roman" w:hAnsi="Times New Roman"/>
                <w:sz w:val="28"/>
                <w:szCs w:val="28"/>
              </w:rPr>
              <w:t xml:space="preserve">- Tuổi thọ Module Led ≥100.000 h. </w:t>
            </w:r>
          </w:p>
          <w:p w14:paraId="5A441371" w14:textId="77777777" w:rsidR="00C223D9" w:rsidRPr="005C3E8C" w:rsidRDefault="00C223D9" w:rsidP="00E44C01">
            <w:pPr>
              <w:spacing w:line="288" w:lineRule="auto"/>
              <w:rPr>
                <w:rFonts w:ascii="Times New Roman" w:hAnsi="Times New Roman"/>
                <w:b/>
                <w:bCs/>
                <w:sz w:val="28"/>
                <w:szCs w:val="28"/>
              </w:rPr>
            </w:pPr>
            <w:r w:rsidRPr="005C3E8C">
              <w:rPr>
                <w:rFonts w:ascii="Times New Roman" w:hAnsi="Times New Roman"/>
                <w:b/>
                <w:bCs/>
                <w:sz w:val="28"/>
                <w:szCs w:val="28"/>
              </w:rPr>
              <w:t xml:space="preserve">Nguồn: </w:t>
            </w:r>
          </w:p>
          <w:p w14:paraId="00AAB271"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Kích thước: </w:t>
            </w:r>
            <w:r w:rsidR="00E7427C">
              <w:rPr>
                <w:rFonts w:ascii="Times New Roman" w:hAnsi="Times New Roman"/>
                <w:sz w:val="28"/>
                <w:szCs w:val="28"/>
              </w:rPr>
              <w:t xml:space="preserve">khoảng </w:t>
            </w:r>
            <w:r w:rsidRPr="005C3E8C">
              <w:rPr>
                <w:rFonts w:ascii="Times New Roman" w:hAnsi="Times New Roman"/>
                <w:sz w:val="28"/>
                <w:szCs w:val="28"/>
              </w:rPr>
              <w:t xml:space="preserve">190x82x30mm </w:t>
            </w:r>
          </w:p>
          <w:p w14:paraId="2F8C4B1B"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Nguồn mỏng 5V60A EXC </w:t>
            </w:r>
          </w:p>
          <w:p w14:paraId="342A0B2D"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Điện áp vào: 220V/50Hz </w:t>
            </w:r>
          </w:p>
          <w:p w14:paraId="4BFB7D73"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Điện áp ra: 5V </w:t>
            </w:r>
          </w:p>
          <w:p w14:paraId="0A087A89" w14:textId="77777777" w:rsidR="00C223D9" w:rsidRPr="005C3E8C" w:rsidRDefault="00C223D9" w:rsidP="00E44C01">
            <w:pPr>
              <w:spacing w:line="288" w:lineRule="auto"/>
              <w:rPr>
                <w:rFonts w:ascii="Times New Roman" w:hAnsi="Times New Roman"/>
                <w:b/>
                <w:bCs/>
                <w:sz w:val="28"/>
                <w:szCs w:val="28"/>
              </w:rPr>
            </w:pPr>
            <w:r w:rsidRPr="005C3E8C">
              <w:rPr>
                <w:rFonts w:ascii="Times New Roman" w:hAnsi="Times New Roman"/>
                <w:sz w:val="28"/>
                <w:szCs w:val="28"/>
              </w:rPr>
              <w:t>- Công suất: 60A-300W</w:t>
            </w:r>
            <w:r w:rsidRPr="005C3E8C">
              <w:rPr>
                <w:rFonts w:ascii="Times New Roman" w:hAnsi="Times New Roman"/>
                <w:b/>
                <w:bCs/>
                <w:sz w:val="28"/>
                <w:szCs w:val="28"/>
              </w:rPr>
              <w:t xml:space="preserve"> </w:t>
            </w:r>
          </w:p>
          <w:p w14:paraId="02519C29" w14:textId="77777777" w:rsidR="00C223D9" w:rsidRPr="005C3E8C" w:rsidRDefault="00C223D9" w:rsidP="00E44C01">
            <w:pPr>
              <w:spacing w:line="288" w:lineRule="auto"/>
              <w:rPr>
                <w:rFonts w:ascii="Times New Roman" w:hAnsi="Times New Roman"/>
                <w:b/>
                <w:bCs/>
                <w:sz w:val="28"/>
                <w:szCs w:val="28"/>
              </w:rPr>
            </w:pPr>
            <w:r w:rsidRPr="005C3E8C">
              <w:rPr>
                <w:rFonts w:ascii="Times New Roman" w:hAnsi="Times New Roman"/>
                <w:b/>
                <w:bCs/>
                <w:sz w:val="28"/>
                <w:szCs w:val="28"/>
              </w:rPr>
              <w:t xml:space="preserve">Card thu:  </w:t>
            </w:r>
          </w:p>
          <w:p w14:paraId="0FE081D3"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- 12 cổng HUB75E, không cần bảng chuyển đổi. </w:t>
            </w:r>
          </w:p>
          <w:p w14:paraId="32E14696"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Hỗ trợ chức năng tái hiện màu Kystar Retina </w:t>
            </w:r>
          </w:p>
          <w:p w14:paraId="075DA530"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để hiển thị màu thực</w:t>
            </w:r>
            <w:r w:rsidR="00BB483B" w:rsidRPr="005C3E8C">
              <w:rPr>
                <w:rFonts w:ascii="Times New Roman" w:hAnsi="Times New Roman"/>
                <w:sz w:val="28"/>
                <w:szCs w:val="28"/>
              </w:rPr>
              <w:t xml:space="preserve"> (hoặc tương đương)</w:t>
            </w:r>
          </w:p>
          <w:p w14:paraId="2E96DADC"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 Hỗ trợ kết nối nhiều card thu với nhau thông </w:t>
            </w:r>
          </w:p>
          <w:p w14:paraId="6C56FB24"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qua cổng LAN. </w:t>
            </w:r>
          </w:p>
          <w:p w14:paraId="5FED9062" w14:textId="77777777" w:rsidR="00C223D9" w:rsidRDefault="00C223D9" w:rsidP="00E44C01">
            <w:pPr>
              <w:spacing w:line="288" w:lineRule="auto"/>
              <w:rPr>
                <w:rFonts w:ascii="Times New Roman" w:hAnsi="Times New Roman"/>
                <w:b/>
                <w:bCs/>
                <w:sz w:val="28"/>
                <w:szCs w:val="28"/>
              </w:rPr>
            </w:pPr>
            <w:r w:rsidRPr="005C3E8C">
              <w:rPr>
                <w:rFonts w:ascii="Times New Roman" w:hAnsi="Times New Roman"/>
                <w:b/>
                <w:bCs/>
                <w:sz w:val="28"/>
                <w:szCs w:val="28"/>
              </w:rPr>
              <w:t xml:space="preserve">Bộ xử lý hình:  </w:t>
            </w:r>
          </w:p>
          <w:p w14:paraId="7159DFA5" w14:textId="77777777" w:rsidR="00A05453" w:rsidRDefault="00A05453" w:rsidP="00E44C01">
            <w:pPr>
              <w:spacing w:line="288" w:lineRule="auto"/>
              <w:rPr>
                <w:rFonts w:ascii="Times New Roman" w:hAnsi="Times New Roman"/>
                <w:sz w:val="28"/>
                <w:szCs w:val="28"/>
              </w:rPr>
            </w:pPr>
            <w:r w:rsidRPr="00A05453">
              <w:rPr>
                <w:rFonts w:ascii="Times New Roman" w:hAnsi="Times New Roman"/>
                <w:sz w:val="28"/>
                <w:szCs w:val="28"/>
              </w:rPr>
              <w:t>- Inputs (cổng vào): Audio*1, USB*2</w:t>
            </w:r>
          </w:p>
          <w:p w14:paraId="4DC0C6E5" w14:textId="1A17B8DF" w:rsidR="00A05453" w:rsidRDefault="00B16034" w:rsidP="00E44C01">
            <w:pPr>
              <w:spacing w:line="288" w:lineRule="auto"/>
              <w:rPr>
                <w:rFonts w:ascii="Times New Roman" w:hAnsi="Times New Roman"/>
                <w:sz w:val="28"/>
                <w:szCs w:val="28"/>
              </w:rPr>
            </w:pPr>
            <w:r>
              <w:rPr>
                <w:rFonts w:ascii="Times New Roman" w:hAnsi="Times New Roman"/>
                <w:sz w:val="28"/>
                <w:szCs w:val="28"/>
              </w:rPr>
              <w:t>- Outputs (</w:t>
            </w:r>
            <w:r w:rsidR="00A05453" w:rsidRPr="00A05453">
              <w:rPr>
                <w:rFonts w:ascii="Times New Roman" w:hAnsi="Times New Roman"/>
                <w:sz w:val="28"/>
                <w:szCs w:val="28"/>
              </w:rPr>
              <w:t>cổng ra): Cổng</w:t>
            </w:r>
            <w:r w:rsidR="00A05453">
              <w:rPr>
                <w:rFonts w:ascii="Times New Roman" w:hAnsi="Times New Roman"/>
                <w:sz w:val="28"/>
                <w:szCs w:val="28"/>
              </w:rPr>
              <w:t xml:space="preserve"> mạng Gigabit*6,</w:t>
            </w:r>
          </w:p>
          <w:p w14:paraId="2642B74C" w14:textId="170A57D4" w:rsidR="00A05453" w:rsidRPr="00A05453" w:rsidRDefault="00A05453" w:rsidP="00E44C01">
            <w:pPr>
              <w:spacing w:line="288" w:lineRule="auto"/>
              <w:rPr>
                <w:rFonts w:ascii="Times New Roman" w:hAnsi="Times New Roman"/>
                <w:b/>
                <w:sz w:val="28"/>
                <w:szCs w:val="28"/>
              </w:rPr>
            </w:pPr>
            <w:r w:rsidRPr="00A05453">
              <w:rPr>
                <w:rFonts w:ascii="Times New Roman" w:hAnsi="Times New Roman"/>
                <w:b/>
                <w:sz w:val="28"/>
                <w:szCs w:val="28"/>
              </w:rPr>
              <w:t>HDMI*2, Audio*</w:t>
            </w:r>
            <w:r>
              <w:rPr>
                <w:rFonts w:ascii="Times New Roman" w:hAnsi="Times New Roman"/>
                <w:b/>
                <w:sz w:val="28"/>
                <w:szCs w:val="28"/>
              </w:rPr>
              <w:t>1</w:t>
            </w:r>
          </w:p>
          <w:p w14:paraId="7FC4C9BF" w14:textId="687EA424" w:rsidR="00A05453" w:rsidRPr="00A05453" w:rsidRDefault="00A05453" w:rsidP="00E44C01">
            <w:pPr>
              <w:spacing w:line="288" w:lineRule="auto"/>
              <w:rPr>
                <w:rFonts w:ascii="Times New Roman" w:hAnsi="Times New Roman"/>
                <w:sz w:val="28"/>
                <w:szCs w:val="28"/>
              </w:rPr>
            </w:pPr>
            <w:r w:rsidRPr="00A05453">
              <w:rPr>
                <w:rFonts w:ascii="Times New Roman" w:hAnsi="Times New Roman"/>
                <w:sz w:val="28"/>
                <w:szCs w:val="28"/>
              </w:rPr>
              <w:t xml:space="preserve"> - Cổng điều kh</w:t>
            </w:r>
            <w:bookmarkStart w:id="0" w:name="_GoBack"/>
            <w:bookmarkEnd w:id="0"/>
            <w:r w:rsidRPr="00A05453">
              <w:rPr>
                <w:rFonts w:ascii="Times New Roman" w:hAnsi="Times New Roman"/>
                <w:sz w:val="28"/>
                <w:szCs w:val="28"/>
              </w:rPr>
              <w:t>iển: COM*1, USB-CFG*2</w:t>
            </w:r>
          </w:p>
          <w:p w14:paraId="07FE5BE6"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Bút trình chiếu </w:t>
            </w:r>
          </w:p>
          <w:p w14:paraId="44183E27"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Khung giá đỡ </w:t>
            </w:r>
          </w:p>
          <w:p w14:paraId="71152F76"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Phụ kiện kèm theo: Dây mạng ≥ 5m, Lỗi đồng </w:t>
            </w:r>
          </w:p>
          <w:p w14:paraId="54CAC524" w14:textId="77777777" w:rsidR="00C223D9" w:rsidRPr="005C3E8C" w:rsidRDefault="00C223D9" w:rsidP="00E44C01">
            <w:pPr>
              <w:spacing w:line="288" w:lineRule="auto"/>
              <w:rPr>
                <w:rFonts w:ascii="Times New Roman" w:hAnsi="Times New Roman"/>
                <w:sz w:val="28"/>
                <w:szCs w:val="28"/>
              </w:rPr>
            </w:pPr>
            <w:r w:rsidRPr="005C3E8C">
              <w:rPr>
                <w:rFonts w:ascii="Times New Roman" w:hAnsi="Times New Roman"/>
                <w:sz w:val="28"/>
                <w:szCs w:val="28"/>
              </w:rPr>
              <w:t xml:space="preserve">nguyên chất. </w:t>
            </w:r>
          </w:p>
          <w:p w14:paraId="01F9D8EA" w14:textId="77777777" w:rsidR="00C223D9" w:rsidRPr="005C3E8C" w:rsidRDefault="00AC1511" w:rsidP="00E44C01">
            <w:pPr>
              <w:spacing w:line="288" w:lineRule="auto"/>
              <w:rPr>
                <w:rFonts w:ascii="Times New Roman" w:hAnsi="Times New Roman"/>
                <w:sz w:val="28"/>
                <w:szCs w:val="28"/>
              </w:rPr>
            </w:pPr>
            <w:r>
              <w:rPr>
                <w:rFonts w:ascii="Times New Roman" w:hAnsi="Times New Roman"/>
                <w:sz w:val="28"/>
                <w:szCs w:val="28"/>
              </w:rPr>
              <w:t>(</w:t>
            </w:r>
            <w:r w:rsidR="00C223D9" w:rsidRPr="005C3E8C">
              <w:rPr>
                <w:rFonts w:ascii="Times New Roman" w:hAnsi="Times New Roman"/>
                <w:sz w:val="28"/>
                <w:szCs w:val="28"/>
              </w:rPr>
              <w:t>Hoặc tương đương</w:t>
            </w:r>
            <w:r>
              <w:rPr>
                <w:rFonts w:ascii="Times New Roman" w:hAnsi="Times New Roman"/>
                <w:sz w:val="28"/>
                <w:szCs w:val="28"/>
              </w:rPr>
              <w:t>)</w:t>
            </w:r>
          </w:p>
        </w:tc>
      </w:tr>
    </w:tbl>
    <w:p w14:paraId="39CFEE45" w14:textId="77777777" w:rsidR="0087321D" w:rsidRDefault="0087321D" w:rsidP="00C223D9">
      <w:pPr>
        <w:spacing w:before="120" w:after="120" w:line="264" w:lineRule="auto"/>
        <w:ind w:firstLine="709"/>
        <w:rPr>
          <w:bCs/>
          <w:iCs/>
          <w:sz w:val="28"/>
          <w:szCs w:val="28"/>
          <w:lang w:val="nl-NL"/>
        </w:rPr>
      </w:pPr>
      <w:r>
        <w:rPr>
          <w:bCs/>
          <w:iCs/>
          <w:sz w:val="28"/>
          <w:szCs w:val="28"/>
          <w:lang w:val="nl-NL"/>
        </w:rPr>
        <w:lastRenderedPageBreak/>
        <w:t>Ghi chú:</w:t>
      </w:r>
    </w:p>
    <w:p w14:paraId="78F49286" w14:textId="77777777" w:rsidR="0087321D" w:rsidRDefault="0087321D" w:rsidP="00C223D9">
      <w:pPr>
        <w:spacing w:before="120" w:after="120" w:line="264" w:lineRule="auto"/>
        <w:ind w:firstLine="709"/>
        <w:rPr>
          <w:bCs/>
          <w:iCs/>
          <w:sz w:val="28"/>
          <w:szCs w:val="28"/>
          <w:lang w:val="nl-NL"/>
        </w:rPr>
      </w:pPr>
      <w:r>
        <w:rPr>
          <w:bCs/>
          <w:iCs/>
          <w:sz w:val="28"/>
          <w:szCs w:val="28"/>
          <w:lang w:val="nl-NL"/>
        </w:rPr>
        <w:t>Đối với các yêu cầu ở mức khoảng, sai số cho phép ± ≤ 5%.</w:t>
      </w:r>
    </w:p>
    <w:p w14:paraId="59A60721" w14:textId="77777777" w:rsidR="00C223D9" w:rsidRPr="005C3E8C" w:rsidRDefault="00C223D9" w:rsidP="00C223D9">
      <w:pPr>
        <w:spacing w:before="120" w:after="120" w:line="264" w:lineRule="auto"/>
        <w:ind w:firstLine="709"/>
        <w:rPr>
          <w:bCs/>
          <w:iCs/>
          <w:sz w:val="28"/>
          <w:szCs w:val="28"/>
          <w:lang w:val="nl-NL"/>
        </w:rPr>
      </w:pPr>
      <w:r w:rsidRPr="005C3E8C">
        <w:rPr>
          <w:bCs/>
          <w:iCs/>
          <w:sz w:val="28"/>
          <w:szCs w:val="28"/>
          <w:lang w:val="nl-NL"/>
        </w:rPr>
        <w:t>Nhà thầu có thể chào thầu hàng hóa, thiết bị có thông số tương đương hoặc công nghệ mới hơn yêu cầu (tương đương được hiểu là đáp ứng toàn bộ các thông số được nêu ra trong một thiết bị của E-HSMT, công nghệ mới hơn được hiểu là công nghệ ra sau và có những thông số cao hơn so với các thông số được yêu cầu của một hạng mục thiết bị trong HSMT).</w:t>
      </w:r>
    </w:p>
    <w:p w14:paraId="516C5EEB" w14:textId="77777777" w:rsidR="00C223D9" w:rsidRPr="005C3E8C" w:rsidRDefault="00C223D9" w:rsidP="00C223D9">
      <w:pPr>
        <w:spacing w:before="120" w:after="120" w:line="264" w:lineRule="auto"/>
        <w:ind w:firstLine="709"/>
        <w:rPr>
          <w:bCs/>
          <w:iCs/>
          <w:sz w:val="28"/>
          <w:szCs w:val="28"/>
          <w:lang w:val="vi-VN"/>
        </w:rPr>
      </w:pPr>
      <w:r w:rsidRPr="005C3E8C">
        <w:rPr>
          <w:bCs/>
          <w:iCs/>
          <w:sz w:val="28"/>
          <w:szCs w:val="28"/>
          <w:lang w:val="nl-NL"/>
        </w:rPr>
        <w:lastRenderedPageBreak/>
        <w:t>- Tên hãng sản xuất, model, ký mã hiệu của hàng hóa (nếu có) nêu trong E-HSMT chỉ mang tính chất tham khảo.</w:t>
      </w:r>
    </w:p>
    <w:p w14:paraId="458246B8" w14:textId="77777777" w:rsidR="00C223D9" w:rsidRPr="005C3E8C" w:rsidRDefault="00C223D9" w:rsidP="00C223D9">
      <w:pPr>
        <w:spacing w:line="288" w:lineRule="auto"/>
        <w:ind w:left="57" w:right="57" w:firstLine="652"/>
        <w:rPr>
          <w:sz w:val="28"/>
          <w:szCs w:val="28"/>
          <w:lang w:val="vi-VN"/>
        </w:rPr>
      </w:pPr>
      <w:r w:rsidRPr="005C3E8C">
        <w:rPr>
          <w:bCs/>
          <w:iCs/>
          <w:sz w:val="28"/>
          <w:szCs w:val="28"/>
          <w:lang w:val="vi-VN"/>
        </w:rPr>
        <w:t>-</w:t>
      </w:r>
      <w:r w:rsidRPr="005C3E8C">
        <w:rPr>
          <w:sz w:val="28"/>
          <w:szCs w:val="28"/>
        </w:rPr>
        <w:t xml:space="preserve"> </w:t>
      </w:r>
      <w:r w:rsidRPr="005C3E8C">
        <w:rPr>
          <w:sz w:val="28"/>
          <w:szCs w:val="28"/>
          <w:lang w:val="vi-VN"/>
        </w:rPr>
        <w:t xml:space="preserve"> </w:t>
      </w:r>
      <w:r w:rsidRPr="005C3E8C">
        <w:rPr>
          <w:sz w:val="28"/>
          <w:szCs w:val="28"/>
        </w:rPr>
        <w:t>Nhà thầu có bảng chào kỹ thuật đầy đủ các nội dung: Tên hàng hóa, model (hoặc ký mã hiệu), của nhà sản xuất, hãng sản xuất, xuất xứ, đặc tính kỹ thuật, năm sản xuất, thời hạn bảo hành đáp ứng các yêu cầu của E-HSMT.</w:t>
      </w:r>
    </w:p>
    <w:p w14:paraId="31DFE985" w14:textId="77777777" w:rsidR="00C223D9" w:rsidRPr="005C3E8C" w:rsidRDefault="00C223D9" w:rsidP="00C223D9">
      <w:pPr>
        <w:spacing w:line="288" w:lineRule="auto"/>
        <w:ind w:left="57" w:right="57" w:firstLine="652"/>
        <w:rPr>
          <w:sz w:val="28"/>
          <w:szCs w:val="28"/>
          <w:lang w:val="vi-VN"/>
        </w:rPr>
      </w:pPr>
      <w:r w:rsidRPr="005C3E8C">
        <w:rPr>
          <w:sz w:val="28"/>
          <w:szCs w:val="28"/>
          <w:lang w:val="vi-VN"/>
        </w:rPr>
        <w:t xml:space="preserve">- </w:t>
      </w:r>
      <w:r w:rsidRPr="005C3E8C">
        <w:rPr>
          <w:sz w:val="28"/>
          <w:szCs w:val="28"/>
        </w:rPr>
        <w:t>Nhà thầu có bảng so sánh thông số kỹ thuật của hàng hóa do nhà thầu chào với thông số kỹ thuật yêu cầu tại Chương V</w:t>
      </w:r>
      <w:r w:rsidR="00B94F0F" w:rsidRPr="005C3E8C">
        <w:rPr>
          <w:sz w:val="28"/>
          <w:szCs w:val="28"/>
        </w:rPr>
        <w:t xml:space="preserve"> của </w:t>
      </w:r>
      <w:r w:rsidRPr="005C3E8C">
        <w:rPr>
          <w:sz w:val="28"/>
          <w:szCs w:val="28"/>
        </w:rPr>
        <w:t>E-HSMT.</w:t>
      </w:r>
    </w:p>
    <w:p w14:paraId="760E63A3" w14:textId="77777777" w:rsidR="00C223D9" w:rsidRPr="005C3E8C" w:rsidRDefault="00C223D9" w:rsidP="00C223D9">
      <w:pPr>
        <w:spacing w:line="288" w:lineRule="auto"/>
        <w:ind w:left="57" w:right="57" w:firstLine="652"/>
        <w:rPr>
          <w:sz w:val="28"/>
          <w:szCs w:val="28"/>
          <w:lang w:val="vi-VN"/>
        </w:rPr>
      </w:pPr>
      <w:r w:rsidRPr="005C3E8C">
        <w:rPr>
          <w:sz w:val="28"/>
          <w:szCs w:val="28"/>
          <w:lang w:val="vi-VN"/>
        </w:rPr>
        <w:t xml:space="preserve">- </w:t>
      </w:r>
      <w:r w:rsidRPr="005C3E8C">
        <w:rPr>
          <w:sz w:val="28"/>
          <w:szCs w:val="28"/>
        </w:rPr>
        <w:t>Nhà thầu cung cấp Catalogue của nhà sản xuất/hãng sản xuất, tài liệu kỹ thuật (áp dụng đối với các thiết bị chính như sau: Module led, Card thu tín hiệu, Nguồn, Bộ xử lý hình ảnh, thiết bị điều khiển) nhằm chứng minh hàng hóa dự thầu đáp ứng yêu cầu kỹ thuật nêu tại E-HSMT. Các tài liệu trên nếu viết bằng tiếng nước ngoài phải kèm theo bản dịch sang tiếng Việt, nhà thầu phải chịu trách nhiệm về tính chính xác của bản dịch này. Nhà thầu hoàn toàn chịu trách nhiệm về tính chính xác của Catalogue của nhà sản xuất/hãng sản suất, tài liệu kỹ thuật đã đính kèm trong E</w:t>
      </w:r>
      <w:r w:rsidRPr="005C3E8C">
        <w:rPr>
          <w:sz w:val="28"/>
          <w:szCs w:val="28"/>
          <w:lang w:val="vi-VN"/>
        </w:rPr>
        <w:t>-</w:t>
      </w:r>
      <w:r w:rsidRPr="005C3E8C">
        <w:rPr>
          <w:sz w:val="28"/>
          <w:szCs w:val="28"/>
        </w:rPr>
        <w:t>HSDT đối với hàng hoá dự kiến cung cấp |cho gói thầu để Chủ đầu tư làm căn cứ đánh giá E-HSDT</w:t>
      </w:r>
      <w:r w:rsidRPr="005C3E8C">
        <w:rPr>
          <w:sz w:val="28"/>
          <w:szCs w:val="28"/>
          <w:lang w:val="vi-VN"/>
        </w:rPr>
        <w:t>.</w:t>
      </w:r>
    </w:p>
    <w:p w14:paraId="211159A1" w14:textId="77777777" w:rsidR="00C223D9" w:rsidRPr="005C3E8C" w:rsidRDefault="00C223D9" w:rsidP="00C223D9">
      <w:pPr>
        <w:spacing w:line="288" w:lineRule="auto"/>
        <w:ind w:left="57" w:right="57" w:firstLine="652"/>
        <w:rPr>
          <w:bCs/>
          <w:iCs/>
          <w:sz w:val="28"/>
          <w:szCs w:val="28"/>
          <w:lang w:val="vi-VN"/>
        </w:rPr>
      </w:pPr>
      <w:r w:rsidRPr="005C3E8C">
        <w:rPr>
          <w:sz w:val="28"/>
          <w:szCs w:val="28"/>
        </w:rPr>
        <w:t>- Nhà thầu cung cấp các loại tài liệu chứng |minh hàng hóa chào thầu đáp ứng tiêu chuẩn kỹ thuật nêu tại Chương V của E-HSMT</w:t>
      </w:r>
    </w:p>
    <w:p w14:paraId="31A8413E" w14:textId="77777777" w:rsidR="00C223D9" w:rsidRPr="005C3E8C" w:rsidRDefault="00C223D9" w:rsidP="00C223D9">
      <w:pPr>
        <w:spacing w:before="120" w:after="120" w:line="264" w:lineRule="auto"/>
        <w:ind w:firstLine="709"/>
        <w:rPr>
          <w:b/>
          <w:i/>
          <w:sz w:val="28"/>
          <w:szCs w:val="28"/>
          <w:lang w:val="vi-VN"/>
        </w:rPr>
      </w:pPr>
      <w:r w:rsidRPr="005C3E8C">
        <w:rPr>
          <w:b/>
          <w:i/>
          <w:sz w:val="28"/>
          <w:szCs w:val="28"/>
          <w:lang w:val="vi-VN"/>
        </w:rPr>
        <w:t xml:space="preserve">1.3 Thời gian cung cấp và lắp đặt hàng hóa </w:t>
      </w:r>
    </w:p>
    <w:p w14:paraId="1EDBB381" w14:textId="77777777" w:rsidR="00C223D9" w:rsidRPr="005C3E8C" w:rsidRDefault="00C223D9" w:rsidP="00C223D9">
      <w:pPr>
        <w:spacing w:before="120" w:after="120" w:line="264" w:lineRule="auto"/>
        <w:ind w:firstLine="709"/>
        <w:rPr>
          <w:sz w:val="28"/>
          <w:szCs w:val="28"/>
          <w:lang w:val="vi-VN"/>
        </w:rPr>
      </w:pPr>
      <w:r w:rsidRPr="005C3E8C">
        <w:rPr>
          <w:sz w:val="28"/>
          <w:szCs w:val="28"/>
          <w:lang w:val="vi-VN"/>
        </w:rPr>
        <w:t>Nhà thầu đề xuất thời gian cung cấp và lắp đặt hàng hóa ≤</w:t>
      </w:r>
      <w:r w:rsidR="00BB483B" w:rsidRPr="005C3E8C">
        <w:rPr>
          <w:sz w:val="28"/>
          <w:szCs w:val="28"/>
        </w:rPr>
        <w:t xml:space="preserve"> </w:t>
      </w:r>
      <w:r w:rsidRPr="005C3E8C">
        <w:rPr>
          <w:sz w:val="28"/>
          <w:szCs w:val="28"/>
          <w:lang w:val="vi-VN"/>
        </w:rPr>
        <w:t>30 ngày.</w:t>
      </w:r>
    </w:p>
    <w:p w14:paraId="6D821661" w14:textId="77777777" w:rsidR="00C223D9" w:rsidRPr="005C3E8C" w:rsidRDefault="00C223D9" w:rsidP="00C223D9">
      <w:pPr>
        <w:pStyle w:val="ListParagraph"/>
        <w:numPr>
          <w:ilvl w:val="1"/>
          <w:numId w:val="1"/>
        </w:numPr>
        <w:spacing w:before="120" w:after="120" w:line="264" w:lineRule="auto"/>
        <w:rPr>
          <w:b/>
          <w:bCs/>
          <w:sz w:val="28"/>
          <w:szCs w:val="28"/>
          <w:lang w:val="vi-VN"/>
        </w:rPr>
      </w:pPr>
      <w:r w:rsidRPr="005C3E8C">
        <w:rPr>
          <w:b/>
          <w:bCs/>
          <w:sz w:val="28"/>
          <w:szCs w:val="28"/>
          <w:lang w:val="vi-VN"/>
        </w:rPr>
        <w:t>Bảo hành và khắc phục sự cố</w:t>
      </w:r>
    </w:p>
    <w:p w14:paraId="32A1821F" w14:textId="77777777" w:rsidR="00C223D9" w:rsidRPr="005C3E8C" w:rsidRDefault="00C223D9" w:rsidP="00C223D9">
      <w:pPr>
        <w:spacing w:before="120" w:after="120" w:line="264" w:lineRule="auto"/>
        <w:ind w:firstLine="709"/>
        <w:rPr>
          <w:sz w:val="28"/>
          <w:szCs w:val="28"/>
          <w:lang w:val="vi-VN"/>
        </w:rPr>
      </w:pPr>
      <w:r w:rsidRPr="005C3E8C">
        <w:rPr>
          <w:sz w:val="28"/>
          <w:szCs w:val="28"/>
          <w:lang w:val="vi-VN"/>
        </w:rPr>
        <w:t>Nhà thầu đề xuất đáp ứng các nội dung sau về bảo hành:</w:t>
      </w:r>
    </w:p>
    <w:p w14:paraId="7909B4E7" w14:textId="77777777" w:rsidR="00C223D9" w:rsidRPr="005C3E8C" w:rsidRDefault="00C223D9" w:rsidP="00C223D9">
      <w:pPr>
        <w:spacing w:before="120" w:after="120" w:line="264" w:lineRule="auto"/>
        <w:ind w:firstLine="709"/>
        <w:rPr>
          <w:sz w:val="28"/>
          <w:szCs w:val="28"/>
          <w:lang w:val="vi-VN"/>
        </w:rPr>
      </w:pPr>
      <w:r w:rsidRPr="005C3E8C">
        <w:rPr>
          <w:sz w:val="28"/>
          <w:szCs w:val="28"/>
          <w:lang w:val="vi-VN"/>
        </w:rPr>
        <w:t xml:space="preserve">- Nhà thầu đề xuất thời gian bảo hành toàn bộ thiết bị đã cung cấp, lắp đặt ≥ 24 tháng. </w:t>
      </w:r>
      <w:r w:rsidRPr="005C3E8C">
        <w:rPr>
          <w:sz w:val="28"/>
          <w:szCs w:val="28"/>
        </w:rPr>
        <w:t>Bảo hành theo tiêu chuẩn của Nhà sản xuất</w:t>
      </w:r>
      <w:r w:rsidRPr="005C3E8C">
        <w:rPr>
          <w:sz w:val="28"/>
          <w:szCs w:val="28"/>
          <w:lang w:val="vi-VN"/>
        </w:rPr>
        <w:t>.</w:t>
      </w:r>
    </w:p>
    <w:p w14:paraId="046DF35D" w14:textId="77777777" w:rsidR="00C223D9" w:rsidRPr="005C3E8C" w:rsidRDefault="00C223D9" w:rsidP="00C223D9">
      <w:pPr>
        <w:spacing w:line="288" w:lineRule="auto"/>
        <w:ind w:right="43" w:firstLine="709"/>
        <w:rPr>
          <w:sz w:val="28"/>
          <w:szCs w:val="28"/>
        </w:rPr>
      </w:pPr>
      <w:r w:rsidRPr="005C3E8C">
        <w:rPr>
          <w:sz w:val="28"/>
          <w:szCs w:val="28"/>
          <w:lang w:val="vi-VN"/>
        </w:rPr>
        <w:t>-</w:t>
      </w:r>
      <w:r w:rsidRPr="005C3E8C">
        <w:rPr>
          <w:sz w:val="28"/>
          <w:szCs w:val="28"/>
        </w:rPr>
        <w:t xml:space="preserve">. Nhà thầu cam kết trong thời gian bảo hành, các thiết bị </w:t>
      </w:r>
      <w:r w:rsidRPr="005C3E8C">
        <w:rPr>
          <w:sz w:val="28"/>
          <w:szCs w:val="28"/>
          <w:lang w:val="vi-VN"/>
        </w:rPr>
        <w:t xml:space="preserve">hư hỏng/hoạt động không bình thường/bị lỗi </w:t>
      </w:r>
      <w:r w:rsidRPr="005C3E8C">
        <w:rPr>
          <w:sz w:val="28"/>
          <w:szCs w:val="28"/>
        </w:rPr>
        <w:t>sẽ được khắc phục trong vòng 48 giờ kể từ khi nhận thông báo của khách hàng.</w:t>
      </w:r>
      <w:r w:rsidRPr="005C3E8C">
        <w:rPr>
          <w:sz w:val="28"/>
          <w:szCs w:val="28"/>
          <w:lang w:val="vi-VN"/>
        </w:rPr>
        <w:t xml:space="preserve"> </w:t>
      </w:r>
      <w:r w:rsidRPr="005C3E8C">
        <w:rPr>
          <w:sz w:val="28"/>
          <w:szCs w:val="28"/>
        </w:rPr>
        <w:t>Cam kết trong thời gian bảo hành nếu thiết bị hư hỏng do lỗi của nhà sản xuất nhưng không khắc phục sự cố được thì Nhà |thầu phải thay mới 100%.</w:t>
      </w:r>
    </w:p>
    <w:p w14:paraId="091DEA90" w14:textId="77777777" w:rsidR="00C223D9" w:rsidRPr="005C3E8C" w:rsidRDefault="00C223D9" w:rsidP="00C223D9">
      <w:pPr>
        <w:pStyle w:val="ListParagraph"/>
        <w:numPr>
          <w:ilvl w:val="1"/>
          <w:numId w:val="1"/>
        </w:numPr>
        <w:spacing w:before="120" w:after="120" w:line="264" w:lineRule="auto"/>
        <w:rPr>
          <w:b/>
          <w:bCs/>
          <w:sz w:val="28"/>
          <w:szCs w:val="28"/>
          <w:lang w:val="vi-VN"/>
        </w:rPr>
      </w:pPr>
      <w:r w:rsidRPr="005C3E8C">
        <w:rPr>
          <w:b/>
          <w:bCs/>
          <w:sz w:val="28"/>
          <w:szCs w:val="28"/>
          <w:lang w:val="vi-VN"/>
        </w:rPr>
        <w:t xml:space="preserve">Bảo trì </w:t>
      </w:r>
    </w:p>
    <w:p w14:paraId="5BBC5D7E" w14:textId="77777777" w:rsidR="00C223D9" w:rsidRPr="005C3E8C" w:rsidRDefault="00C223D9" w:rsidP="00C223D9">
      <w:pPr>
        <w:pStyle w:val="ListParagraph"/>
        <w:spacing w:before="120" w:after="120" w:line="264" w:lineRule="auto"/>
        <w:ind w:left="0" w:firstLine="709"/>
        <w:rPr>
          <w:sz w:val="28"/>
          <w:szCs w:val="28"/>
          <w:lang w:val="vi-VN"/>
        </w:rPr>
      </w:pPr>
      <w:r w:rsidRPr="005C3E8C">
        <w:rPr>
          <w:sz w:val="28"/>
          <w:szCs w:val="28"/>
          <w:lang w:val="vi-VN"/>
        </w:rPr>
        <w:t xml:space="preserve">Trong thời gian bảo hành, Nhà thầu có nghĩa vụ thực hiện bảo trì </w:t>
      </w:r>
      <w:r w:rsidRPr="005C3E8C">
        <w:rPr>
          <w:sz w:val="28"/>
          <w:szCs w:val="28"/>
          <w:u w:val="single"/>
          <w:lang w:val="vi-VN"/>
        </w:rPr>
        <w:t>(kiểm tra , bảo dưỡng, vệ sinh )</w:t>
      </w:r>
      <w:r w:rsidRPr="005C3E8C">
        <w:rPr>
          <w:sz w:val="28"/>
          <w:szCs w:val="28"/>
          <w:lang w:val="vi-VN"/>
        </w:rPr>
        <w:t xml:space="preserve"> </w:t>
      </w:r>
      <w:r w:rsidRPr="005C3E8C">
        <w:rPr>
          <w:sz w:val="28"/>
          <w:szCs w:val="28"/>
        </w:rPr>
        <w:t xml:space="preserve">03 tháng/lần với tất cả các thiết bị </w:t>
      </w:r>
      <w:r w:rsidRPr="005C3E8C">
        <w:rPr>
          <w:sz w:val="28"/>
          <w:szCs w:val="28"/>
          <w:lang w:val="vi-VN"/>
        </w:rPr>
        <w:t>đã cung cấp.</w:t>
      </w:r>
    </w:p>
    <w:p w14:paraId="645B9A0A" w14:textId="77777777" w:rsidR="00C223D9" w:rsidRPr="005C3E8C" w:rsidRDefault="00C223D9" w:rsidP="00C223D9">
      <w:pPr>
        <w:spacing w:before="120" w:after="120" w:line="264" w:lineRule="auto"/>
        <w:ind w:firstLine="709"/>
        <w:rPr>
          <w:bCs/>
          <w:iCs/>
          <w:sz w:val="28"/>
          <w:szCs w:val="28"/>
          <w:lang w:val="nl-NL"/>
        </w:rPr>
      </w:pPr>
      <w:r w:rsidRPr="005C3E8C">
        <w:rPr>
          <w:b/>
          <w:i/>
          <w:sz w:val="28"/>
          <w:szCs w:val="28"/>
          <w:lang w:val="nl-NL"/>
        </w:rPr>
        <w:t>1.</w:t>
      </w:r>
      <w:r w:rsidRPr="005C3E8C">
        <w:rPr>
          <w:b/>
          <w:i/>
          <w:sz w:val="28"/>
          <w:szCs w:val="28"/>
          <w:lang w:val="vi-VN"/>
        </w:rPr>
        <w:t>6</w:t>
      </w:r>
      <w:r w:rsidRPr="005C3E8C">
        <w:rPr>
          <w:b/>
          <w:i/>
          <w:sz w:val="28"/>
          <w:szCs w:val="28"/>
          <w:lang w:val="nl-NL"/>
        </w:rPr>
        <w:t xml:space="preserve">. Các yêu cầu khác: </w:t>
      </w:r>
    </w:p>
    <w:p w14:paraId="293167B9" w14:textId="77777777" w:rsidR="00C223D9" w:rsidRPr="005C3E8C" w:rsidRDefault="00C223D9" w:rsidP="00C223D9">
      <w:pPr>
        <w:spacing w:before="120" w:after="120" w:line="264" w:lineRule="auto"/>
        <w:ind w:firstLine="709"/>
        <w:rPr>
          <w:bCs/>
          <w:iCs/>
          <w:sz w:val="28"/>
          <w:szCs w:val="28"/>
          <w:lang w:val="nl-NL"/>
        </w:rPr>
      </w:pPr>
      <w:r w:rsidRPr="005C3E8C">
        <w:rPr>
          <w:bCs/>
          <w:iCs/>
          <w:sz w:val="28"/>
          <w:szCs w:val="28"/>
          <w:lang w:val="nl-NL"/>
        </w:rPr>
        <w:t xml:space="preserve">- Giá dự thầu của hàng hóa cung cấp cho gói thầu đã bao gồm toàn bộ dịch vụ đi kèm như: Triển khai, cài đặt, </w:t>
      </w:r>
      <w:r w:rsidRPr="005C3E8C">
        <w:rPr>
          <w:bCs/>
          <w:iCs/>
          <w:sz w:val="28"/>
          <w:szCs w:val="28"/>
          <w:lang w:val="vi-VN"/>
        </w:rPr>
        <w:t xml:space="preserve">hướng dẫn sử dụng </w:t>
      </w:r>
      <w:r w:rsidRPr="005C3E8C">
        <w:rPr>
          <w:bCs/>
          <w:iCs/>
          <w:sz w:val="28"/>
          <w:szCs w:val="28"/>
          <w:lang w:val="nl-NL"/>
        </w:rPr>
        <w:t xml:space="preserve"> ,... và các dịch vụ, công </w:t>
      </w:r>
      <w:r w:rsidRPr="005C3E8C">
        <w:rPr>
          <w:bCs/>
          <w:iCs/>
          <w:sz w:val="28"/>
          <w:szCs w:val="28"/>
          <w:lang w:val="nl-NL"/>
        </w:rPr>
        <w:lastRenderedPageBreak/>
        <w:t>việc khác phục vụ cho việc triển khai gói thầu. Nhà thầu phải thực hiện đầy đủ các dịch vụ, công việc nêu trên trước khi 02 bên tiến hành nghiệm thu hợp đồng.</w:t>
      </w:r>
    </w:p>
    <w:p w14:paraId="6764E1DF" w14:textId="77777777" w:rsidR="00C223D9" w:rsidRPr="005C3E8C" w:rsidRDefault="00C223D9" w:rsidP="00C223D9">
      <w:pPr>
        <w:spacing w:before="120" w:after="120" w:line="264" w:lineRule="auto"/>
        <w:ind w:firstLine="709"/>
        <w:rPr>
          <w:bCs/>
          <w:iCs/>
          <w:sz w:val="28"/>
          <w:szCs w:val="28"/>
          <w:lang w:val="vi-VN"/>
        </w:rPr>
      </w:pPr>
      <w:r w:rsidRPr="005C3E8C">
        <w:rPr>
          <w:bCs/>
          <w:iCs/>
          <w:sz w:val="28"/>
          <w:szCs w:val="28"/>
          <w:lang w:val="nl-NL"/>
        </w:rPr>
        <w:t>- Vị trí lắp đặt màn hình LED: Hội trường B (300 chỗ) tầng 9 Bệnh viện Đa khoa Vĩnh Long.</w:t>
      </w:r>
    </w:p>
    <w:p w14:paraId="243A14A9" w14:textId="77777777" w:rsidR="00C223D9" w:rsidRPr="005C3E8C" w:rsidRDefault="00C223D9" w:rsidP="00C223D9">
      <w:pPr>
        <w:spacing w:line="288" w:lineRule="auto"/>
        <w:ind w:left="125" w:right="43" w:firstLine="584"/>
        <w:rPr>
          <w:sz w:val="28"/>
          <w:szCs w:val="28"/>
          <w:lang w:val="vi-VN"/>
        </w:rPr>
      </w:pPr>
      <w:r w:rsidRPr="005C3E8C">
        <w:rPr>
          <w:bCs/>
          <w:iCs/>
          <w:sz w:val="28"/>
          <w:szCs w:val="28"/>
          <w:lang w:val="vi-VN"/>
        </w:rPr>
        <w:t xml:space="preserve">- </w:t>
      </w:r>
      <w:r w:rsidRPr="005C3E8C">
        <w:rPr>
          <w:sz w:val="28"/>
          <w:szCs w:val="28"/>
        </w:rPr>
        <w:t>Có cam kết của nhà thầu về cung cấp giấy chứng nhận chất lượng (C/Q) đối với hàng hóa sản xuất tại nước ngoài và cam kết của |nhà thầu về việc cung cấp chứng chỉ xuất xưởng của nhà sản xuất đối với hàng hóa sản xuất, lắp ráp tại Việt Nam.;</w:t>
      </w:r>
    </w:p>
    <w:p w14:paraId="63375968" w14:textId="77777777" w:rsidR="00C223D9" w:rsidRPr="005C3E8C" w:rsidRDefault="00C223D9" w:rsidP="00C223D9">
      <w:pPr>
        <w:spacing w:line="288" w:lineRule="auto"/>
        <w:ind w:left="125" w:right="43" w:firstLine="584"/>
        <w:rPr>
          <w:sz w:val="28"/>
          <w:szCs w:val="28"/>
        </w:rPr>
      </w:pPr>
      <w:r w:rsidRPr="005C3E8C">
        <w:rPr>
          <w:sz w:val="28"/>
          <w:szCs w:val="28"/>
          <w:lang w:val="vi-VN"/>
        </w:rPr>
        <w:t xml:space="preserve">- </w:t>
      </w:r>
      <w:r w:rsidRPr="005C3E8C">
        <w:rPr>
          <w:sz w:val="28"/>
          <w:szCs w:val="28"/>
        </w:rPr>
        <w:t xml:space="preserve">Có cam kết cung cấp chứng chỉ xuất xứ hàng hóa (C/O) đối với hàng hóa nhập khẩu được cấp bởi tổ chức có thẩm quyền của nước sản xuất/nước xuất khẩu hoặc bởi nhà sản xuất </w:t>
      </w:r>
    </w:p>
    <w:p w14:paraId="5D6DC598" w14:textId="77777777" w:rsidR="00C223D9" w:rsidRPr="005C3E8C" w:rsidRDefault="00C223D9" w:rsidP="00C223D9">
      <w:pPr>
        <w:pStyle w:val="SectionVIHeader"/>
        <w:spacing w:after="120" w:line="264" w:lineRule="auto"/>
        <w:ind w:firstLine="709"/>
        <w:jc w:val="left"/>
        <w:rPr>
          <w:sz w:val="28"/>
          <w:szCs w:val="28"/>
          <w:lang w:val="nl-NL"/>
        </w:rPr>
      </w:pPr>
      <w:r w:rsidRPr="005C3E8C">
        <w:rPr>
          <w:sz w:val="28"/>
          <w:szCs w:val="28"/>
          <w:lang w:val="nl-NL"/>
        </w:rPr>
        <w:t>Mục 2. Bản vẽ</w:t>
      </w:r>
    </w:p>
    <w:p w14:paraId="574237C0" w14:textId="77777777" w:rsidR="00C223D9" w:rsidRPr="005C3E8C" w:rsidRDefault="00C223D9" w:rsidP="00C223D9">
      <w:pPr>
        <w:spacing w:before="120" w:after="120" w:line="264" w:lineRule="auto"/>
        <w:ind w:firstLine="709"/>
        <w:rPr>
          <w:i/>
          <w:iCs/>
          <w:spacing w:val="-4"/>
          <w:sz w:val="28"/>
          <w:szCs w:val="28"/>
          <w:lang w:val="nl-NL"/>
        </w:rPr>
      </w:pPr>
      <w:r w:rsidRPr="005C3E8C">
        <w:rPr>
          <w:sz w:val="28"/>
          <w:szCs w:val="28"/>
          <w:lang w:val="nl-NL"/>
        </w:rPr>
        <w:t>- Không có bản vẽ</w:t>
      </w:r>
    </w:p>
    <w:p w14:paraId="2261B14B" w14:textId="77777777" w:rsidR="00C223D9" w:rsidRPr="005C3E8C" w:rsidRDefault="00C223D9" w:rsidP="00C223D9">
      <w:pPr>
        <w:pStyle w:val="SectionVIHeader"/>
        <w:widowControl w:val="0"/>
        <w:spacing w:after="120" w:line="264" w:lineRule="auto"/>
        <w:ind w:firstLine="709"/>
        <w:jc w:val="left"/>
        <w:rPr>
          <w:sz w:val="28"/>
          <w:szCs w:val="28"/>
        </w:rPr>
      </w:pPr>
      <w:r w:rsidRPr="005C3E8C">
        <w:rPr>
          <w:sz w:val="28"/>
          <w:szCs w:val="28"/>
        </w:rPr>
        <w:t>Mục 3. Kiểm tra và thử nghiệm</w:t>
      </w:r>
    </w:p>
    <w:p w14:paraId="18DB5D58" w14:textId="77777777" w:rsidR="00C223D9" w:rsidRPr="005C3E8C" w:rsidRDefault="00C223D9" w:rsidP="00C223D9">
      <w:pPr>
        <w:spacing w:line="288" w:lineRule="auto"/>
        <w:ind w:firstLine="709"/>
        <w:rPr>
          <w:sz w:val="28"/>
          <w:szCs w:val="28"/>
        </w:rPr>
      </w:pPr>
      <w:r w:rsidRPr="005C3E8C">
        <w:rPr>
          <w:sz w:val="28"/>
          <w:szCs w:val="28"/>
        </w:rPr>
        <w:t>1. Chủ đầu tư hoặc đại diện của chủ đầu tư có quyền kiểm tra, thử nghiệm hàng hóa được cung cấp để khẳng định hàng hóa có đặc tính kỹ thuật phù hợp với yêu cầu của hợp đồng.</w:t>
      </w:r>
    </w:p>
    <w:p w14:paraId="3298BD4E" w14:textId="77777777" w:rsidR="00C223D9" w:rsidRPr="005C3E8C" w:rsidRDefault="00C223D9" w:rsidP="00C223D9">
      <w:pPr>
        <w:spacing w:line="288" w:lineRule="auto"/>
        <w:ind w:firstLine="709"/>
        <w:rPr>
          <w:sz w:val="28"/>
          <w:szCs w:val="28"/>
        </w:rPr>
      </w:pPr>
      <w:r w:rsidRPr="005C3E8C">
        <w:rPr>
          <w:sz w:val="28"/>
          <w:szCs w:val="28"/>
        </w:rPr>
        <w:t>2. Bất kỳ hàng hóa nào qua kiểm tra, thử nghiệm mà không phù hợp với đặc tính kỹ thuạt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 đồng thời đánh giá uy tín của Nhà thầu.</w:t>
      </w:r>
    </w:p>
    <w:p w14:paraId="28A325FD" w14:textId="77777777" w:rsidR="00C223D9" w:rsidRPr="005C3E8C" w:rsidRDefault="00C223D9" w:rsidP="00C223D9">
      <w:pPr>
        <w:spacing w:line="288" w:lineRule="auto"/>
        <w:ind w:firstLine="709"/>
        <w:rPr>
          <w:sz w:val="28"/>
          <w:szCs w:val="28"/>
        </w:rPr>
      </w:pPr>
      <w:r w:rsidRPr="005C3E8C">
        <w:rPr>
          <w:sz w:val="28"/>
          <w:szCs w:val="28"/>
        </w:rPr>
        <w:t>3. Khi thực hiện các nội dung nêu tại khoản 1 và khoản 2 Mục này, Nhà thầu không được miễn trừ nghĩa vụ bảo hành hay các nghĩa vụ khác theo Hợp đồng.</w:t>
      </w:r>
    </w:p>
    <w:p w14:paraId="15F52DC9" w14:textId="77777777" w:rsidR="00C223D9" w:rsidRPr="005C3E8C" w:rsidRDefault="00C223D9" w:rsidP="00C223D9">
      <w:pPr>
        <w:spacing w:after="200" w:line="276" w:lineRule="auto"/>
        <w:ind w:firstLine="709"/>
        <w:jc w:val="left"/>
        <w:rPr>
          <w:i/>
          <w:iCs/>
          <w:sz w:val="28"/>
          <w:szCs w:val="28"/>
        </w:rPr>
      </w:pPr>
    </w:p>
    <w:p w14:paraId="79EA2772" w14:textId="77777777" w:rsidR="00C223D9" w:rsidRPr="005C3E8C" w:rsidRDefault="00C223D9" w:rsidP="00C223D9">
      <w:pPr>
        <w:spacing w:after="200" w:line="276" w:lineRule="auto"/>
        <w:ind w:firstLine="709"/>
        <w:jc w:val="left"/>
        <w:rPr>
          <w:i/>
          <w:iCs/>
          <w:sz w:val="28"/>
          <w:szCs w:val="28"/>
        </w:rPr>
      </w:pPr>
    </w:p>
    <w:p w14:paraId="26F83FCB" w14:textId="77777777" w:rsidR="00C223D9" w:rsidRPr="005C3E8C" w:rsidRDefault="00C223D9" w:rsidP="00C223D9">
      <w:pPr>
        <w:spacing w:after="160" w:line="259" w:lineRule="auto"/>
        <w:jc w:val="left"/>
        <w:rPr>
          <w:b/>
          <w:sz w:val="28"/>
          <w:szCs w:val="28"/>
        </w:rPr>
      </w:pPr>
      <w:r w:rsidRPr="005C3E8C">
        <w:rPr>
          <w:sz w:val="28"/>
          <w:szCs w:val="28"/>
        </w:rPr>
        <w:br w:type="page"/>
      </w:r>
    </w:p>
    <w:p w14:paraId="1CB4207F" w14:textId="77777777" w:rsidR="00C33232" w:rsidRPr="005C3E8C" w:rsidRDefault="00C33232">
      <w:pPr>
        <w:rPr>
          <w:sz w:val="28"/>
          <w:szCs w:val="28"/>
        </w:rPr>
      </w:pPr>
    </w:p>
    <w:sectPr w:rsidR="00C33232" w:rsidRPr="005C3E8C"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172FC"/>
    <w:multiLevelType w:val="multilevel"/>
    <w:tmpl w:val="EB721D96"/>
    <w:lvl w:ilvl="0">
      <w:start w:val="1"/>
      <w:numFmt w:val="decimal"/>
      <w:lvlText w:val="%1"/>
      <w:lvlJc w:val="left"/>
      <w:pPr>
        <w:ind w:left="720" w:hanging="360"/>
      </w:pPr>
      <w:rPr>
        <w:rFonts w:hint="default"/>
      </w:rPr>
    </w:lvl>
    <w:lvl w:ilvl="1">
      <w:start w:val="4"/>
      <w:numFmt w:val="decimal"/>
      <w:isLgl/>
      <w:lvlText w:val="%1.%2"/>
      <w:lvlJc w:val="left"/>
      <w:pPr>
        <w:ind w:left="1129" w:hanging="4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D9"/>
    <w:rsid w:val="0018157A"/>
    <w:rsid w:val="001A0119"/>
    <w:rsid w:val="002917AD"/>
    <w:rsid w:val="0041428E"/>
    <w:rsid w:val="004B429F"/>
    <w:rsid w:val="00507024"/>
    <w:rsid w:val="005C3E8C"/>
    <w:rsid w:val="00734842"/>
    <w:rsid w:val="0087321D"/>
    <w:rsid w:val="00A05453"/>
    <w:rsid w:val="00AC1511"/>
    <w:rsid w:val="00B13050"/>
    <w:rsid w:val="00B16034"/>
    <w:rsid w:val="00B51230"/>
    <w:rsid w:val="00B94F0F"/>
    <w:rsid w:val="00BB483B"/>
    <w:rsid w:val="00C223D9"/>
    <w:rsid w:val="00C33232"/>
    <w:rsid w:val="00C34FE0"/>
    <w:rsid w:val="00D035B1"/>
    <w:rsid w:val="00D766B5"/>
    <w:rsid w:val="00E7427C"/>
    <w:rsid w:val="00EC58DB"/>
    <w:rsid w:val="00FB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D9"/>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C22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2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23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223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23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23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23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23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3D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223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223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223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23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23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23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23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23D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223D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223D9"/>
    <w:pPr>
      <w:spacing w:before="160"/>
      <w:jc w:val="center"/>
    </w:pPr>
    <w:rPr>
      <w:i/>
      <w:iCs/>
      <w:color w:val="404040" w:themeColor="text1" w:themeTint="BF"/>
    </w:rPr>
  </w:style>
  <w:style w:type="character" w:customStyle="1" w:styleId="QuoteChar">
    <w:name w:val="Quote Char"/>
    <w:basedOn w:val="DefaultParagraphFont"/>
    <w:link w:val="Quote"/>
    <w:uiPriority w:val="29"/>
    <w:rsid w:val="00C223D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223D9"/>
    <w:pPr>
      <w:ind w:left="720"/>
      <w:contextualSpacing/>
    </w:pPr>
  </w:style>
  <w:style w:type="character" w:styleId="IntenseEmphasis">
    <w:name w:val="Intense Emphasis"/>
    <w:basedOn w:val="DefaultParagraphFont"/>
    <w:uiPriority w:val="21"/>
    <w:qFormat/>
    <w:rsid w:val="00C223D9"/>
    <w:rPr>
      <w:i/>
      <w:iCs/>
      <w:color w:val="2F5496" w:themeColor="accent1" w:themeShade="BF"/>
    </w:rPr>
  </w:style>
  <w:style w:type="paragraph" w:styleId="IntenseQuote">
    <w:name w:val="Intense Quote"/>
    <w:basedOn w:val="Normal"/>
    <w:next w:val="Normal"/>
    <w:link w:val="IntenseQuoteChar"/>
    <w:uiPriority w:val="30"/>
    <w:qFormat/>
    <w:rsid w:val="00C22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3D9"/>
    <w:rPr>
      <w:i/>
      <w:iCs/>
      <w:color w:val="2F5496" w:themeColor="accent1" w:themeShade="BF"/>
    </w:rPr>
  </w:style>
  <w:style w:type="character" w:styleId="IntenseReference">
    <w:name w:val="Intense Reference"/>
    <w:basedOn w:val="DefaultParagraphFont"/>
    <w:uiPriority w:val="32"/>
    <w:qFormat/>
    <w:rsid w:val="00C223D9"/>
    <w:rPr>
      <w:b/>
      <w:bCs/>
      <w:smallCaps/>
      <w:color w:val="2F5496" w:themeColor="accent1" w:themeShade="BF"/>
      <w:spacing w:val="5"/>
    </w:rPr>
  </w:style>
  <w:style w:type="paragraph" w:customStyle="1" w:styleId="SectionVIHeader">
    <w:name w:val="Section VI. Header"/>
    <w:basedOn w:val="Normal"/>
    <w:rsid w:val="00C223D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223D9"/>
  </w:style>
  <w:style w:type="table" w:styleId="TableGrid">
    <w:name w:val="Table Grid"/>
    <w:basedOn w:val="TableNormal"/>
    <w:uiPriority w:val="39"/>
    <w:rsid w:val="00C223D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D9"/>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C22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2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23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223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23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23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23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23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3D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223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223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223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23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23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23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23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23D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223D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223D9"/>
    <w:pPr>
      <w:spacing w:before="160"/>
      <w:jc w:val="center"/>
    </w:pPr>
    <w:rPr>
      <w:i/>
      <w:iCs/>
      <w:color w:val="404040" w:themeColor="text1" w:themeTint="BF"/>
    </w:rPr>
  </w:style>
  <w:style w:type="character" w:customStyle="1" w:styleId="QuoteChar">
    <w:name w:val="Quote Char"/>
    <w:basedOn w:val="DefaultParagraphFont"/>
    <w:link w:val="Quote"/>
    <w:uiPriority w:val="29"/>
    <w:rsid w:val="00C223D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223D9"/>
    <w:pPr>
      <w:ind w:left="720"/>
      <w:contextualSpacing/>
    </w:pPr>
  </w:style>
  <w:style w:type="character" w:styleId="IntenseEmphasis">
    <w:name w:val="Intense Emphasis"/>
    <w:basedOn w:val="DefaultParagraphFont"/>
    <w:uiPriority w:val="21"/>
    <w:qFormat/>
    <w:rsid w:val="00C223D9"/>
    <w:rPr>
      <w:i/>
      <w:iCs/>
      <w:color w:val="2F5496" w:themeColor="accent1" w:themeShade="BF"/>
    </w:rPr>
  </w:style>
  <w:style w:type="paragraph" w:styleId="IntenseQuote">
    <w:name w:val="Intense Quote"/>
    <w:basedOn w:val="Normal"/>
    <w:next w:val="Normal"/>
    <w:link w:val="IntenseQuoteChar"/>
    <w:uiPriority w:val="30"/>
    <w:qFormat/>
    <w:rsid w:val="00C22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3D9"/>
    <w:rPr>
      <w:i/>
      <w:iCs/>
      <w:color w:val="2F5496" w:themeColor="accent1" w:themeShade="BF"/>
    </w:rPr>
  </w:style>
  <w:style w:type="character" w:styleId="IntenseReference">
    <w:name w:val="Intense Reference"/>
    <w:basedOn w:val="DefaultParagraphFont"/>
    <w:uiPriority w:val="32"/>
    <w:qFormat/>
    <w:rsid w:val="00C223D9"/>
    <w:rPr>
      <w:b/>
      <w:bCs/>
      <w:smallCaps/>
      <w:color w:val="2F5496" w:themeColor="accent1" w:themeShade="BF"/>
      <w:spacing w:val="5"/>
    </w:rPr>
  </w:style>
  <w:style w:type="paragraph" w:customStyle="1" w:styleId="SectionVIHeader">
    <w:name w:val="Section VI. Header"/>
    <w:basedOn w:val="Normal"/>
    <w:rsid w:val="00C223D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223D9"/>
  </w:style>
  <w:style w:type="table" w:styleId="TableGrid">
    <w:name w:val="Table Grid"/>
    <w:basedOn w:val="TableNormal"/>
    <w:uiPriority w:val="39"/>
    <w:rsid w:val="00C223D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16</cp:revision>
  <dcterms:created xsi:type="dcterms:W3CDTF">2025-12-29T08:10:00Z</dcterms:created>
  <dcterms:modified xsi:type="dcterms:W3CDTF">2026-01-12T07:01:00Z</dcterms:modified>
</cp:coreProperties>
</file>