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C7FC" w14:textId="77777777" w:rsidR="001E1567" w:rsidRPr="00FD5340" w:rsidRDefault="001E1567" w:rsidP="001E1567">
      <w:pPr>
        <w:pStyle w:val="Heading1"/>
        <w:spacing w:before="120" w:after="120"/>
        <w:rPr>
          <w:rFonts w:ascii="Times New Roman" w:hAnsi="Times New Roman"/>
          <w:bCs/>
          <w:szCs w:val="28"/>
          <w:lang w:val="it-IT"/>
        </w:rPr>
      </w:pPr>
      <w:r w:rsidRPr="00FD5340">
        <w:rPr>
          <w:rFonts w:ascii="Times New Roman" w:hAnsi="Times New Roman"/>
          <w:szCs w:val="28"/>
          <w:lang w:val="it-IT"/>
        </w:rPr>
        <w:t>PHẦN 2. ĐIỀU KHOẢN THAM CHIẾU</w:t>
      </w:r>
    </w:p>
    <w:p w14:paraId="15BFCF83" w14:textId="77777777" w:rsidR="001E1567" w:rsidRPr="00FD5340" w:rsidRDefault="001E1567" w:rsidP="001E1567">
      <w:pPr>
        <w:pStyle w:val="Heading1"/>
        <w:spacing w:before="120" w:after="120"/>
        <w:rPr>
          <w:rFonts w:ascii="Times New Roman" w:hAnsi="Times New Roman"/>
          <w:szCs w:val="28"/>
          <w:lang w:val="it-IT"/>
        </w:rPr>
      </w:pPr>
      <w:r w:rsidRPr="00FD5340">
        <w:rPr>
          <w:rFonts w:ascii="Times New Roman" w:hAnsi="Times New Roman"/>
          <w:szCs w:val="28"/>
          <w:lang w:val="it-IT"/>
        </w:rPr>
        <w:t>CHƯƠNG V. ĐIỀU KHOẢN THAM CHIẾU</w:t>
      </w:r>
    </w:p>
    <w:p w14:paraId="7A889A92" w14:textId="77777777" w:rsidR="001E1567" w:rsidRPr="00FD5340" w:rsidRDefault="001E1567" w:rsidP="001E1567">
      <w:pPr>
        <w:pStyle w:val="BodyText"/>
        <w:widowControl w:val="0"/>
        <w:numPr>
          <w:ilvl w:val="0"/>
          <w:numId w:val="1"/>
        </w:numPr>
        <w:tabs>
          <w:tab w:val="left" w:pos="851"/>
          <w:tab w:val="left" w:pos="1314"/>
        </w:tabs>
        <w:suppressAutoHyphens w:val="0"/>
        <w:spacing w:line="300" w:lineRule="auto"/>
        <w:ind w:right="0" w:firstLine="567"/>
        <w:rPr>
          <w:b/>
          <w:bCs/>
          <w:spacing w:val="0"/>
          <w:sz w:val="28"/>
          <w:szCs w:val="28"/>
        </w:rPr>
      </w:pPr>
      <w:r w:rsidRPr="00FD5340">
        <w:rPr>
          <w:b/>
          <w:bCs/>
          <w:spacing w:val="0"/>
          <w:sz w:val="28"/>
          <w:szCs w:val="28"/>
        </w:rPr>
        <w:t>Giới thiệu:</w:t>
      </w:r>
    </w:p>
    <w:p w14:paraId="659EC5E7" w14:textId="77777777" w:rsidR="001E1567" w:rsidRPr="00223D2D" w:rsidRDefault="001E1567" w:rsidP="001E1567">
      <w:pPr>
        <w:pStyle w:val="BodyText"/>
        <w:spacing w:before="120" w:after="120"/>
        <w:ind w:firstLine="567"/>
        <w:rPr>
          <w:b/>
          <w:bCs/>
          <w:spacing w:val="0"/>
          <w:sz w:val="28"/>
          <w:szCs w:val="28"/>
          <w:lang w:val="it-IT"/>
        </w:rPr>
      </w:pPr>
      <w:r w:rsidRPr="00223D2D">
        <w:rPr>
          <w:b/>
          <w:bCs/>
          <w:spacing w:val="0"/>
          <w:sz w:val="28"/>
          <w:szCs w:val="28"/>
          <w:lang w:val="it-IT"/>
        </w:rPr>
        <w:t>1. Giới thiệu dự án:</w:t>
      </w:r>
    </w:p>
    <w:p w14:paraId="171B1A4B" w14:textId="77777777" w:rsidR="001E1567" w:rsidRPr="00FD5340" w:rsidRDefault="001E1567" w:rsidP="001E1567">
      <w:pPr>
        <w:spacing w:line="300" w:lineRule="auto"/>
        <w:ind w:firstLine="567"/>
        <w:rPr>
          <w:sz w:val="28"/>
          <w:szCs w:val="28"/>
          <w:lang w:val="nl-NL"/>
        </w:rPr>
      </w:pPr>
      <w:r w:rsidRPr="00FD5340">
        <w:rPr>
          <w:sz w:val="28"/>
          <w:szCs w:val="28"/>
          <w:lang w:val="nl-NL"/>
        </w:rPr>
        <w:t>1. Chủ đầu tư: Sở Giao thông vận tải Hà Nội</w:t>
      </w:r>
    </w:p>
    <w:p w14:paraId="05CC6DE4" w14:textId="77777777" w:rsidR="001E1567" w:rsidRPr="00FD5340" w:rsidRDefault="001E1567" w:rsidP="001E1567">
      <w:pPr>
        <w:spacing w:line="300" w:lineRule="auto"/>
        <w:ind w:firstLine="567"/>
        <w:rPr>
          <w:sz w:val="28"/>
          <w:szCs w:val="28"/>
          <w:lang w:val="nl-NL"/>
        </w:rPr>
      </w:pPr>
      <w:r w:rsidRPr="00FD5340">
        <w:rPr>
          <w:sz w:val="28"/>
          <w:szCs w:val="28"/>
          <w:lang w:val="nl-NL"/>
        </w:rPr>
        <w:t>2. Đại diện chủ đầu tư: Ban Duy tu các công trình hạ tầng giao thông</w:t>
      </w:r>
    </w:p>
    <w:p w14:paraId="0EA0719D" w14:textId="77777777" w:rsidR="001E1567" w:rsidRPr="0075773A" w:rsidRDefault="001E1567" w:rsidP="001E1567">
      <w:pPr>
        <w:ind w:firstLine="567"/>
        <w:rPr>
          <w:sz w:val="28"/>
          <w:szCs w:val="28"/>
          <w:lang w:val="nl-NL"/>
        </w:rPr>
      </w:pPr>
      <w:r w:rsidRPr="00FD5340">
        <w:rPr>
          <w:sz w:val="28"/>
          <w:szCs w:val="28"/>
          <w:lang w:val="nl-NL"/>
        </w:rPr>
        <w:t xml:space="preserve">3. Tên dự án: </w:t>
      </w:r>
      <w:r>
        <w:rPr>
          <w:sz w:val="28"/>
          <w:szCs w:val="28"/>
          <w:lang w:val="nl-NL"/>
        </w:rPr>
        <w:t>Đầu tư xây dựng, lắp đặt hệ thống thiết bị cân kiểm soát tải trọng xe trên đường bộ thuộc địa bàn Thành phố</w:t>
      </w:r>
    </w:p>
    <w:p w14:paraId="3C3346D6" w14:textId="77777777" w:rsidR="001E1567" w:rsidRDefault="001E1567" w:rsidP="001E1567">
      <w:pPr>
        <w:spacing w:line="300" w:lineRule="auto"/>
        <w:ind w:firstLine="567"/>
        <w:rPr>
          <w:sz w:val="28"/>
          <w:szCs w:val="28"/>
          <w:lang w:val="nl-NL"/>
        </w:rPr>
      </w:pPr>
      <w:r w:rsidRPr="00FD5340">
        <w:rPr>
          <w:sz w:val="28"/>
          <w:szCs w:val="28"/>
          <w:lang w:val="nl-NL"/>
        </w:rPr>
        <w:t xml:space="preserve">4. Nội dung </w:t>
      </w:r>
      <w:r>
        <w:rPr>
          <w:sz w:val="28"/>
          <w:szCs w:val="28"/>
          <w:lang w:val="nl-NL"/>
        </w:rPr>
        <w:t>quy mô:</w:t>
      </w:r>
    </w:p>
    <w:p w14:paraId="16315F6E" w14:textId="77777777" w:rsidR="001E1567" w:rsidRPr="00900433" w:rsidRDefault="001E1567" w:rsidP="001E1567">
      <w:pPr>
        <w:ind w:firstLine="567"/>
        <w:rPr>
          <w:bCs/>
          <w:sz w:val="28"/>
          <w:szCs w:val="28"/>
        </w:rPr>
      </w:pPr>
      <w:r w:rsidRPr="00900433">
        <w:rPr>
          <w:bCs/>
          <w:sz w:val="28"/>
          <w:szCs w:val="28"/>
        </w:rPr>
        <w:t>4.1. Quy mô xây dựng</w:t>
      </w:r>
    </w:p>
    <w:p w14:paraId="7F26B0B6" w14:textId="77777777" w:rsidR="001E1567" w:rsidRPr="00900433" w:rsidRDefault="001E1567" w:rsidP="001E1567">
      <w:pPr>
        <w:rPr>
          <w:sz w:val="28"/>
          <w:szCs w:val="28"/>
        </w:rPr>
      </w:pPr>
      <w:r w:rsidRPr="00900433">
        <w:rPr>
          <w:sz w:val="28"/>
          <w:szCs w:val="28"/>
        </w:rPr>
        <w:t xml:space="preserve">Thiết kế, lắp đặt hệ thống thiết bị cân kiểm soát tải trọng xe (KSTTX) trên đường bộ tại tại 04 vị trí: </w:t>
      </w:r>
    </w:p>
    <w:p w14:paraId="0A562756" w14:textId="77777777" w:rsidR="001E1567" w:rsidRPr="00900433" w:rsidRDefault="001E1567" w:rsidP="001E1567">
      <w:pPr>
        <w:rPr>
          <w:sz w:val="28"/>
          <w:szCs w:val="28"/>
        </w:rPr>
      </w:pPr>
      <w:r w:rsidRPr="00900433">
        <w:rPr>
          <w:sz w:val="28"/>
          <w:szCs w:val="28"/>
        </w:rPr>
        <w:t>- Khu vực nút giao Nguyễn Khoái - Lĩnh Nam (Km75+800, Km74+021 &amp; Km5+745,50 lý trình đường VĐ3 - đường Đỗ Mười), quận Hoàng Mai (nay thuộc địa phận phường Lĩnh Nam và phường Vĩnh Hưng).</w:t>
      </w:r>
    </w:p>
    <w:p w14:paraId="262FD367" w14:textId="77777777" w:rsidR="001E1567" w:rsidRPr="00900433" w:rsidRDefault="001E1567" w:rsidP="001E1567">
      <w:pPr>
        <w:rPr>
          <w:sz w:val="28"/>
          <w:szCs w:val="28"/>
        </w:rPr>
      </w:pPr>
      <w:r w:rsidRPr="00900433">
        <w:rPr>
          <w:sz w:val="28"/>
          <w:szCs w:val="28"/>
        </w:rPr>
        <w:t>- Khu vực Km4+021 đường Quốc Lộ 21, thị xã Sơn Tây (nay thuộc địa phận phường Tùng Thiện).</w:t>
      </w:r>
    </w:p>
    <w:p w14:paraId="13CDE2FF" w14:textId="77777777" w:rsidR="001E1567" w:rsidRPr="00900433" w:rsidRDefault="001E1567" w:rsidP="001E1567">
      <w:pPr>
        <w:rPr>
          <w:sz w:val="28"/>
          <w:szCs w:val="28"/>
        </w:rPr>
      </w:pPr>
      <w:r w:rsidRPr="00900433">
        <w:rPr>
          <w:sz w:val="28"/>
          <w:szCs w:val="28"/>
        </w:rPr>
        <w:t>- Khu vực Km41+100 đường Quốc Lộ 32, thị xã Sơn Tây (nay thuộc địa phận phường Sơn Tây).</w:t>
      </w:r>
    </w:p>
    <w:p w14:paraId="5C8A1C8A" w14:textId="77777777" w:rsidR="001E1567" w:rsidRPr="00900433" w:rsidRDefault="001E1567" w:rsidP="001E1567">
      <w:pPr>
        <w:rPr>
          <w:sz w:val="28"/>
          <w:szCs w:val="28"/>
        </w:rPr>
      </w:pPr>
      <w:r w:rsidRPr="00900433">
        <w:rPr>
          <w:sz w:val="28"/>
          <w:szCs w:val="28"/>
        </w:rPr>
        <w:t>- Khu vực đầu cầu phía Bắc cầu Thăng Long (Km0+101,26 trái tuyến - hướng đi cầu Thăng Long; Km0+111,3 phải tuyến - hướng đi QL2A), huyện Đông Anh (nay thuộc địa phận xã Thiên Lộc và xã Vĩnh Thanh).</w:t>
      </w:r>
    </w:p>
    <w:p w14:paraId="3975B40C" w14:textId="77777777" w:rsidR="001E1567" w:rsidRPr="00900433" w:rsidRDefault="001E1567" w:rsidP="001E1567">
      <w:pPr>
        <w:ind w:firstLine="720"/>
        <w:rPr>
          <w:b/>
          <w:sz w:val="28"/>
          <w:szCs w:val="28"/>
        </w:rPr>
      </w:pPr>
      <w:r>
        <w:rPr>
          <w:b/>
          <w:sz w:val="28"/>
          <w:szCs w:val="28"/>
        </w:rPr>
        <w:t>4</w:t>
      </w:r>
      <w:r w:rsidRPr="00900433">
        <w:rPr>
          <w:b/>
          <w:sz w:val="28"/>
          <w:szCs w:val="28"/>
        </w:rPr>
        <w:t>.2. Giải pháp thiết bị, công nghệ</w:t>
      </w:r>
    </w:p>
    <w:p w14:paraId="738908FF" w14:textId="77777777" w:rsidR="001E1567" w:rsidRPr="00900433" w:rsidRDefault="001E1567" w:rsidP="001E1567">
      <w:pPr>
        <w:spacing w:line="245" w:lineRule="auto"/>
        <w:rPr>
          <w:sz w:val="28"/>
          <w:szCs w:val="28"/>
        </w:rPr>
      </w:pPr>
      <w:r w:rsidRPr="00900433">
        <w:rPr>
          <w:sz w:val="28"/>
          <w:szCs w:val="28"/>
        </w:rPr>
        <w:t>Hệ thống kiểm soát tải trọng xe (KSTTX) được thiết kế lắp đặt trên các tuyến đường nhằm tự động thu thập, xử lý dữ liệu tải trọng, nhận dạng phương tiện và cảnh báo vi phạm qua bảng điện tử (VMS). Dữ liệu tại các trạm được truyền về Trung tâm Giám sát Điều hành (TTĐH) qua đường truyền Internet IP tĩnh để tổng hợp, phân tích và kết luận phương tiện vi phạm tải trọng. Tại TTĐH, nhân viên giám sát thực hiện hậu kiểm, xác nhận thông tin và in phiếu cân khi cần thiết.</w:t>
      </w:r>
    </w:p>
    <w:p w14:paraId="6B2B1A44" w14:textId="77777777" w:rsidR="001E1567" w:rsidRPr="00900433" w:rsidRDefault="001E1567" w:rsidP="001E1567">
      <w:pPr>
        <w:spacing w:line="245" w:lineRule="auto"/>
        <w:rPr>
          <w:sz w:val="28"/>
          <w:szCs w:val="28"/>
        </w:rPr>
      </w:pPr>
      <w:r w:rsidRPr="00900433">
        <w:rPr>
          <w:sz w:val="28"/>
          <w:szCs w:val="28"/>
        </w:rPr>
        <w:t xml:space="preserve"> Các thành phần công nghệ chính:</w:t>
      </w:r>
    </w:p>
    <w:p w14:paraId="6F9B97D0" w14:textId="77777777" w:rsidR="001E1567" w:rsidRPr="00900433" w:rsidRDefault="001E1567" w:rsidP="001E1567">
      <w:pPr>
        <w:spacing w:line="245" w:lineRule="auto"/>
        <w:ind w:firstLine="720"/>
        <w:rPr>
          <w:b/>
          <w:i/>
          <w:sz w:val="28"/>
          <w:szCs w:val="28"/>
        </w:rPr>
      </w:pPr>
      <w:r>
        <w:rPr>
          <w:b/>
          <w:i/>
          <w:sz w:val="28"/>
          <w:szCs w:val="28"/>
        </w:rPr>
        <w:t>4</w:t>
      </w:r>
      <w:r w:rsidRPr="00900433">
        <w:rPr>
          <w:b/>
          <w:i/>
          <w:sz w:val="28"/>
          <w:szCs w:val="28"/>
        </w:rPr>
        <w:t>.2.1. Hệ thống cân động (Weigh in Motion - WIM):</w:t>
      </w:r>
    </w:p>
    <w:p w14:paraId="3F1C032B" w14:textId="77777777" w:rsidR="001E1567" w:rsidRPr="00900433" w:rsidRDefault="001E1567" w:rsidP="001E1567">
      <w:pPr>
        <w:spacing w:line="245" w:lineRule="auto"/>
        <w:ind w:firstLine="720"/>
        <w:rPr>
          <w:sz w:val="28"/>
          <w:szCs w:val="28"/>
        </w:rPr>
      </w:pPr>
      <w:r w:rsidRPr="00900433">
        <w:rPr>
          <w:sz w:val="28"/>
          <w:szCs w:val="28"/>
        </w:rPr>
        <w:t>- Hệ thống đáp ứng QCVN 116:2024/BGTVT: Tự động phát hiện và đo khối lượng xe qua vùng cân với tốc độ 3÷120 km/h; cấp chính xác F10; kiểm soát trục ≥30 tấn; chống nước IP68, hoạt động 24/24h trong mọi thời tiết và độc lập khi mất kết nối.</w:t>
      </w:r>
    </w:p>
    <w:p w14:paraId="30B26529" w14:textId="77777777" w:rsidR="001E1567" w:rsidRPr="00900433" w:rsidRDefault="001E1567" w:rsidP="001E1567">
      <w:pPr>
        <w:spacing w:line="245" w:lineRule="auto"/>
        <w:ind w:firstLine="720"/>
        <w:rPr>
          <w:spacing w:val="-4"/>
          <w:sz w:val="28"/>
          <w:szCs w:val="28"/>
        </w:rPr>
      </w:pPr>
      <w:r w:rsidRPr="00900433">
        <w:rPr>
          <w:spacing w:val="-4"/>
          <w:sz w:val="28"/>
          <w:szCs w:val="28"/>
        </w:rPr>
        <w:lastRenderedPageBreak/>
        <w:t>- Cấu tạo: Hệ thống cảm biến cân tại làn (08 cảm biến thạch anh dạng thanh / 1 làn); Vòng từ; Thiết bị dò vòng từ; Bộ thu thập, xử lý dữ liệu cân (đồng bộ với cảm biến cân).</w:t>
      </w:r>
    </w:p>
    <w:p w14:paraId="46DF95E2" w14:textId="77777777" w:rsidR="001E1567" w:rsidRPr="00900433" w:rsidRDefault="001E1567" w:rsidP="001E1567">
      <w:pPr>
        <w:spacing w:line="245" w:lineRule="auto"/>
        <w:ind w:firstLine="720"/>
        <w:rPr>
          <w:b/>
          <w:i/>
          <w:sz w:val="28"/>
          <w:szCs w:val="28"/>
        </w:rPr>
      </w:pPr>
      <w:r>
        <w:rPr>
          <w:b/>
          <w:i/>
          <w:sz w:val="28"/>
          <w:szCs w:val="28"/>
        </w:rPr>
        <w:t>4</w:t>
      </w:r>
      <w:r w:rsidRPr="00900433">
        <w:rPr>
          <w:b/>
          <w:i/>
          <w:sz w:val="28"/>
          <w:szCs w:val="28"/>
        </w:rPr>
        <w:t xml:space="preserve">.2.2. Hệ thống Camera: </w:t>
      </w:r>
    </w:p>
    <w:p w14:paraId="0A85DD97" w14:textId="77777777" w:rsidR="001E1567" w:rsidRPr="00900433" w:rsidRDefault="001E1567" w:rsidP="001E1567">
      <w:pPr>
        <w:spacing w:line="245" w:lineRule="auto"/>
        <w:ind w:firstLine="720"/>
        <w:rPr>
          <w:sz w:val="28"/>
          <w:szCs w:val="28"/>
        </w:rPr>
      </w:pPr>
      <w:r w:rsidRPr="00900433">
        <w:rPr>
          <w:sz w:val="28"/>
          <w:szCs w:val="28"/>
        </w:rPr>
        <w:t>- Camera nhận diện biển số xe (trước và sau): Nhận diện tự động, tích hợp phần mềm, độ chính xác ≥93% (trừ trường hợp không nhận diện); đáp ứng yêu cầu kỹ thuật tại Bảng 5 (Camera nhận dạng biển số phương tiện) QCVN 05:2024/BCA.</w:t>
      </w:r>
    </w:p>
    <w:p w14:paraId="4C929F34" w14:textId="77777777" w:rsidR="001E1567" w:rsidRPr="00900433" w:rsidRDefault="001E1567" w:rsidP="001E1567">
      <w:pPr>
        <w:spacing w:line="245" w:lineRule="auto"/>
        <w:ind w:firstLine="720"/>
        <w:rPr>
          <w:sz w:val="28"/>
          <w:szCs w:val="28"/>
        </w:rPr>
      </w:pPr>
      <w:r w:rsidRPr="00900433">
        <w:rPr>
          <w:sz w:val="28"/>
          <w:szCs w:val="28"/>
        </w:rPr>
        <w:t>- Camera giám sát làn: Giám sát phương tiện di chuyển vào - ra làn cân; đáp ứng yêu cầu kỹ thuật (</w:t>
      </w:r>
      <w:r w:rsidRPr="00900433">
        <w:rPr>
          <w:i/>
          <w:iCs/>
          <w:sz w:val="28"/>
          <w:szCs w:val="28"/>
        </w:rPr>
        <w:t>chi tiết theo hồ sơ thiết kế</w:t>
      </w:r>
      <w:r w:rsidRPr="00900433">
        <w:rPr>
          <w:sz w:val="28"/>
          <w:szCs w:val="28"/>
        </w:rPr>
        <w:t>).</w:t>
      </w:r>
    </w:p>
    <w:p w14:paraId="2FF27452" w14:textId="77777777" w:rsidR="001E1567" w:rsidRPr="00900433" w:rsidRDefault="001E1567" w:rsidP="001E1567">
      <w:pPr>
        <w:spacing w:line="245" w:lineRule="auto"/>
        <w:ind w:firstLine="720"/>
        <w:rPr>
          <w:sz w:val="28"/>
          <w:szCs w:val="28"/>
        </w:rPr>
      </w:pPr>
      <w:r w:rsidRPr="00900433">
        <w:rPr>
          <w:sz w:val="28"/>
          <w:szCs w:val="28"/>
        </w:rPr>
        <w:t xml:space="preserve">- Camera giám sát toàn cảnh: Giám sát an ninh, </w:t>
      </w:r>
      <w:proofErr w:type="gramStart"/>
      <w:r w:rsidRPr="00900433">
        <w:rPr>
          <w:sz w:val="28"/>
          <w:szCs w:val="28"/>
        </w:rPr>
        <w:t>an</w:t>
      </w:r>
      <w:proofErr w:type="gramEnd"/>
      <w:r w:rsidRPr="00900433">
        <w:rPr>
          <w:sz w:val="28"/>
          <w:szCs w:val="28"/>
        </w:rPr>
        <w:t xml:space="preserve"> toàn giao thông; đáp ứng yêu cầu kỹ thuật tại Bảng 3 (Camera quan sát giao thông) QCVN 05:2024/BCA.</w:t>
      </w:r>
    </w:p>
    <w:p w14:paraId="03652CE2" w14:textId="77777777" w:rsidR="001E1567" w:rsidRPr="00900433" w:rsidRDefault="001E1567" w:rsidP="001E1567">
      <w:pPr>
        <w:spacing w:line="245" w:lineRule="auto"/>
        <w:ind w:firstLine="720"/>
        <w:rPr>
          <w:sz w:val="28"/>
          <w:szCs w:val="28"/>
        </w:rPr>
      </w:pPr>
      <w:r w:rsidRPr="00900433">
        <w:rPr>
          <w:sz w:val="28"/>
          <w:szCs w:val="28"/>
        </w:rPr>
        <w:t>- Thiết bị giám sát tốc độ: Tự động ghi hình và đo tốc độ bằng radar; đáp ứng yêu cầu kỹ thuật tại Bảng 2 (Thiết bị đo tốc độ tự động có ghi hình sử dụng công nghệ cảm biến radar) QCVN 05:2024/BCA.</w:t>
      </w:r>
    </w:p>
    <w:p w14:paraId="5B778B54" w14:textId="77777777" w:rsidR="001E1567" w:rsidRPr="00900433" w:rsidRDefault="001E1567" w:rsidP="001E1567">
      <w:pPr>
        <w:spacing w:line="245" w:lineRule="auto"/>
        <w:ind w:firstLine="720"/>
        <w:rPr>
          <w:b/>
          <w:i/>
          <w:sz w:val="28"/>
          <w:szCs w:val="28"/>
        </w:rPr>
      </w:pPr>
      <w:r>
        <w:rPr>
          <w:b/>
          <w:i/>
          <w:sz w:val="28"/>
          <w:szCs w:val="28"/>
        </w:rPr>
        <w:t>4</w:t>
      </w:r>
      <w:r w:rsidRPr="00900433">
        <w:rPr>
          <w:b/>
          <w:i/>
          <w:sz w:val="28"/>
          <w:szCs w:val="28"/>
        </w:rPr>
        <w:t>.2.3. Hệ thống phần mềm:</w:t>
      </w:r>
    </w:p>
    <w:p w14:paraId="1428FC52" w14:textId="77777777" w:rsidR="001E1567" w:rsidRPr="00900433" w:rsidRDefault="001E1567" w:rsidP="001E1567">
      <w:pPr>
        <w:spacing w:line="245" w:lineRule="auto"/>
        <w:ind w:firstLine="720"/>
        <w:rPr>
          <w:sz w:val="28"/>
          <w:szCs w:val="28"/>
        </w:rPr>
      </w:pPr>
      <w:r w:rsidRPr="00900433">
        <w:rPr>
          <w:sz w:val="28"/>
          <w:szCs w:val="28"/>
        </w:rPr>
        <w:t>- Phần mềm quản lý điều khiển trạm KSTTX: được cài đặt trên máy tính điều khiển làn cân (máy tính công nghiệp) đặt trong tủ điều khiển cân tại hiện trường; thực hiện thu thập, xử lý dữ liệu và điều khiển thiết bị; đảm bảo dữ liệu toàn vẹn và liên tục.</w:t>
      </w:r>
    </w:p>
    <w:p w14:paraId="0364915C" w14:textId="77777777" w:rsidR="001E1567" w:rsidRPr="00900433" w:rsidRDefault="001E1567" w:rsidP="001E1567">
      <w:pPr>
        <w:spacing w:line="245" w:lineRule="auto"/>
        <w:ind w:firstLine="720"/>
        <w:rPr>
          <w:spacing w:val="-2"/>
          <w:sz w:val="28"/>
          <w:szCs w:val="28"/>
        </w:rPr>
      </w:pPr>
      <w:r w:rsidRPr="00900433">
        <w:rPr>
          <w:spacing w:val="-2"/>
          <w:sz w:val="28"/>
          <w:szCs w:val="28"/>
        </w:rPr>
        <w:t>- Phần mềm quản lý cơ sở dữ liệu và ứng dụng nghiệp vụ KSTTX: được cài đặt trên Máy chủ dữ liệu cân tại TTĐH; gồm các chức năng thu thập dữ liệu, truy vấn thông tin đăng kiểm, phân tích tải trọng, kết luận quá tải, hậu kiểm, báo cáo và chia sẻ dữ liệu.</w:t>
      </w:r>
    </w:p>
    <w:p w14:paraId="44293968" w14:textId="77777777" w:rsidR="001E1567" w:rsidRPr="00900433" w:rsidRDefault="001E1567" w:rsidP="001E1567">
      <w:pPr>
        <w:spacing w:line="245" w:lineRule="auto"/>
        <w:ind w:firstLine="720"/>
        <w:rPr>
          <w:sz w:val="28"/>
          <w:szCs w:val="28"/>
        </w:rPr>
      </w:pPr>
      <w:r w:rsidRPr="00900433">
        <w:rPr>
          <w:sz w:val="28"/>
          <w:szCs w:val="28"/>
        </w:rPr>
        <w:t>- Phần mềm xử lý giám sát vi phạm tốc độ: được cài đặt trên Máy chủ xử lý dữ liệu vi phạm tốc độ tại TTĐH; giám sát xe không tuân thủ tốc độ quy định; gồm các chức năng giám sát tổng quan/bản đồ, phát hiện/kiểm duyệt/trích xuất vi phạm, giám sát phương tiện, báo cáo/nhật ký, cảnh báo/thông báo.</w:t>
      </w:r>
    </w:p>
    <w:p w14:paraId="7C8C3374" w14:textId="77777777" w:rsidR="001E1567" w:rsidRPr="00900433" w:rsidRDefault="001E1567" w:rsidP="001E1567">
      <w:pPr>
        <w:spacing w:line="245" w:lineRule="auto"/>
        <w:ind w:firstLine="720"/>
        <w:rPr>
          <w:spacing w:val="-2"/>
          <w:sz w:val="28"/>
          <w:szCs w:val="28"/>
        </w:rPr>
      </w:pPr>
      <w:r w:rsidRPr="00900433">
        <w:rPr>
          <w:spacing w:val="-2"/>
          <w:sz w:val="28"/>
          <w:szCs w:val="28"/>
        </w:rPr>
        <w:t>- Các công cụ đảm bảo cấp độ an toàn thông tin: Sao lưu dự phòng tập trung; quản lý và phân tích sự kiện an toàn thông tin; giám sát hệ thống thông tin tập trung; phòng chống thất thoát dữ liệu; phòng chống mã độc tập trung và quản lý truy cập lớp mạng. đảm bảo an toàn và chống thất thoát cho dữ liệu; phòng chống tấn công mạng; quản lý và giám sát hệ thống trang thiết bị.</w:t>
      </w:r>
    </w:p>
    <w:p w14:paraId="299EDFD4" w14:textId="77777777" w:rsidR="001E1567" w:rsidRPr="00900433" w:rsidRDefault="001E1567" w:rsidP="001E1567">
      <w:pPr>
        <w:ind w:firstLine="720"/>
        <w:rPr>
          <w:b/>
          <w:i/>
          <w:sz w:val="28"/>
          <w:szCs w:val="28"/>
        </w:rPr>
      </w:pPr>
      <w:r>
        <w:rPr>
          <w:b/>
          <w:i/>
          <w:sz w:val="28"/>
          <w:szCs w:val="28"/>
        </w:rPr>
        <w:t>4</w:t>
      </w:r>
      <w:r w:rsidRPr="00900433">
        <w:rPr>
          <w:b/>
          <w:i/>
          <w:sz w:val="28"/>
          <w:szCs w:val="28"/>
        </w:rPr>
        <w:t>.2.4. Máy chủ và hệ thống lưu trữ:</w:t>
      </w:r>
    </w:p>
    <w:p w14:paraId="4EFD9710" w14:textId="77777777" w:rsidR="001E1567" w:rsidRPr="00900433" w:rsidRDefault="001E1567" w:rsidP="001E1567">
      <w:pPr>
        <w:rPr>
          <w:sz w:val="28"/>
          <w:szCs w:val="28"/>
        </w:rPr>
      </w:pPr>
      <w:r w:rsidRPr="00900433">
        <w:rPr>
          <w:sz w:val="28"/>
          <w:szCs w:val="28"/>
        </w:rPr>
        <w:t>- Hệ thống máy chủ gồm Máy chủ dữ liệu cân (cài đặt phần mềm quản lý cơ sở dữ liệu và ứng dụng nghiệp vụ KSTTX) và máy chủ xử lý dữ liệu vi phạm tốc độ (cài đặt phần mềm xử lý giám sát vi phạm tốc độ), lắp đặt trên tủ rack tại TTĐH.</w:t>
      </w:r>
    </w:p>
    <w:p w14:paraId="719932DA" w14:textId="77777777" w:rsidR="001E1567" w:rsidRPr="00900433" w:rsidRDefault="001E1567" w:rsidP="001E1567">
      <w:pPr>
        <w:rPr>
          <w:sz w:val="28"/>
          <w:szCs w:val="28"/>
        </w:rPr>
      </w:pPr>
      <w:r w:rsidRPr="00900433">
        <w:rPr>
          <w:sz w:val="28"/>
          <w:szCs w:val="28"/>
        </w:rPr>
        <w:t xml:space="preserve">- Hệ thống lưu trữ gồm thiết bị lưu trữ dữ liệu SAN (quản lý và lưu trữ toàn bộ dữ liệu KSTTX), thiết bị sao lưu dữ liệu (quản lý và sao lưu toàn bộ dữ liệu hệ thống), </w:t>
      </w:r>
      <w:r w:rsidRPr="00900433">
        <w:rPr>
          <w:sz w:val="28"/>
          <w:szCs w:val="28"/>
        </w:rPr>
        <w:lastRenderedPageBreak/>
        <w:t>thiết bị ghi hình và lưu trữ video (quản lý và lưu trữ dữ liệu hình ảnh, video từ camera hiện trường), lắp đặt trên tủ rack tại TTĐH.</w:t>
      </w:r>
    </w:p>
    <w:p w14:paraId="1D40C092" w14:textId="77777777" w:rsidR="001E1567" w:rsidRPr="00900433" w:rsidRDefault="001E1567" w:rsidP="001E1567">
      <w:pPr>
        <w:ind w:firstLine="720"/>
        <w:rPr>
          <w:b/>
          <w:i/>
          <w:sz w:val="28"/>
          <w:szCs w:val="28"/>
        </w:rPr>
      </w:pPr>
      <w:r>
        <w:rPr>
          <w:b/>
          <w:i/>
          <w:sz w:val="28"/>
          <w:szCs w:val="28"/>
        </w:rPr>
        <w:t>4</w:t>
      </w:r>
      <w:r w:rsidRPr="00900433">
        <w:rPr>
          <w:b/>
          <w:i/>
          <w:sz w:val="28"/>
          <w:szCs w:val="28"/>
        </w:rPr>
        <w:t>.2.5. Hệ thống thiết bị đảm bảo an toàn thông tin:</w:t>
      </w:r>
    </w:p>
    <w:p w14:paraId="58285FC1" w14:textId="77777777" w:rsidR="001E1567" w:rsidRPr="00900433" w:rsidRDefault="001E1567" w:rsidP="001E1567">
      <w:pPr>
        <w:rPr>
          <w:spacing w:val="2"/>
          <w:sz w:val="28"/>
          <w:szCs w:val="28"/>
        </w:rPr>
      </w:pPr>
      <w:r w:rsidRPr="00900433">
        <w:rPr>
          <w:spacing w:val="2"/>
          <w:sz w:val="28"/>
          <w:szCs w:val="28"/>
        </w:rPr>
        <w:t xml:space="preserve">Hệ thống trang thiết bị đảm bảo an toàn thông tin cấp độ 3 bao gồm: Thiết bị tường lửa (VPN, IPSec, …); thiết bị phòng chống tất công từ chối dịch vụ (Ddos); thiết bị cân bằng tải, tường lửa ứng dụng Web; máy chủ ứng dụng webserver (cài phần mềm ứng dụng web); thiết bị tường lửa cơ sở dữ liệu và thiết bị quản lý tường lửa cơ sở dữ liệu; máy chủ cài đặt hệ thống quản lý sao lưu dự phòng tập trung và máy chủ cài đặt công cụ an ninh, </w:t>
      </w:r>
      <w:proofErr w:type="gramStart"/>
      <w:r w:rsidRPr="00900433">
        <w:rPr>
          <w:spacing w:val="2"/>
          <w:sz w:val="28"/>
          <w:szCs w:val="28"/>
        </w:rPr>
        <w:t>an</w:t>
      </w:r>
      <w:proofErr w:type="gramEnd"/>
      <w:r w:rsidRPr="00900433">
        <w:rPr>
          <w:spacing w:val="2"/>
          <w:sz w:val="28"/>
          <w:szCs w:val="28"/>
        </w:rPr>
        <w:t xml:space="preserve"> toàn thông tin. Các thiết bị này được lắp đặt trên tủ rack tại TTĐH.</w:t>
      </w:r>
    </w:p>
    <w:p w14:paraId="1FEE4A3A" w14:textId="77777777" w:rsidR="001E1567" w:rsidRPr="00900433" w:rsidRDefault="001E1567" w:rsidP="001E1567">
      <w:pPr>
        <w:ind w:firstLine="720"/>
        <w:rPr>
          <w:b/>
          <w:i/>
          <w:sz w:val="28"/>
          <w:szCs w:val="28"/>
        </w:rPr>
      </w:pPr>
      <w:r>
        <w:rPr>
          <w:b/>
          <w:i/>
          <w:sz w:val="28"/>
          <w:szCs w:val="28"/>
        </w:rPr>
        <w:t>4</w:t>
      </w:r>
      <w:r w:rsidRPr="00900433">
        <w:rPr>
          <w:b/>
          <w:i/>
          <w:sz w:val="28"/>
          <w:szCs w:val="28"/>
        </w:rPr>
        <w:t>.2.6. Hệ thống báo hiệu đường bộ:</w:t>
      </w:r>
    </w:p>
    <w:p w14:paraId="13A2681E" w14:textId="77777777" w:rsidR="001E1567" w:rsidRPr="00900433" w:rsidRDefault="001E1567" w:rsidP="001E1567">
      <w:pPr>
        <w:ind w:firstLine="720"/>
        <w:rPr>
          <w:sz w:val="28"/>
          <w:szCs w:val="28"/>
        </w:rPr>
      </w:pPr>
      <w:r w:rsidRPr="00900433">
        <w:rPr>
          <w:sz w:val="28"/>
          <w:szCs w:val="28"/>
        </w:rPr>
        <w:t xml:space="preserve">- Trước và trong vùng cân, hệ thống báo hiệu đường bộ (tuân thủ QCVN 41:2024/BGTVT và QCVN 116:2024/BGTVT) được thiết kế để đảm bảo xe chạy đúng tốc độ cho phép, giữ khoảng cách tối thiểu giữa các xe, chuyển làn theo biển báo và vạch sơn, và không dừng xe, đỗ xe trái phép. </w:t>
      </w:r>
      <w:r w:rsidRPr="00900433">
        <w:rPr>
          <w:i/>
          <w:sz w:val="28"/>
          <w:szCs w:val="28"/>
        </w:rPr>
        <w:t>(</w:t>
      </w:r>
      <w:proofErr w:type="gramStart"/>
      <w:r w:rsidRPr="00900433">
        <w:rPr>
          <w:i/>
          <w:sz w:val="28"/>
          <w:szCs w:val="28"/>
        </w:rPr>
        <w:t>chi</w:t>
      </w:r>
      <w:proofErr w:type="gramEnd"/>
      <w:r w:rsidRPr="00900433">
        <w:rPr>
          <w:i/>
          <w:sz w:val="28"/>
          <w:szCs w:val="28"/>
        </w:rPr>
        <w:t xml:space="preserve"> tiết xem phần hạ tầng)</w:t>
      </w:r>
    </w:p>
    <w:p w14:paraId="58810098" w14:textId="77777777" w:rsidR="001E1567" w:rsidRPr="00900433" w:rsidRDefault="001E1567" w:rsidP="001E1567">
      <w:pPr>
        <w:rPr>
          <w:sz w:val="28"/>
          <w:szCs w:val="28"/>
        </w:rPr>
      </w:pPr>
      <w:r w:rsidRPr="00900433">
        <w:rPr>
          <w:sz w:val="28"/>
          <w:szCs w:val="28"/>
        </w:rPr>
        <w:t>- Biển báo điện tử (VMS): Lắp sau vùng cân, điều khiển bởi phần mềm tại trạm; hiển thị thông báo tải trọng/biển số vi phạm.</w:t>
      </w:r>
    </w:p>
    <w:p w14:paraId="68009BD0" w14:textId="77777777" w:rsidR="001E1567" w:rsidRPr="00900433" w:rsidRDefault="001E1567" w:rsidP="001E1567">
      <w:pPr>
        <w:ind w:firstLine="720"/>
        <w:rPr>
          <w:sz w:val="28"/>
          <w:szCs w:val="28"/>
        </w:rPr>
      </w:pPr>
      <w:r>
        <w:rPr>
          <w:b/>
          <w:i/>
          <w:sz w:val="28"/>
          <w:szCs w:val="28"/>
        </w:rPr>
        <w:t>4</w:t>
      </w:r>
      <w:r w:rsidRPr="00900433">
        <w:rPr>
          <w:b/>
          <w:i/>
          <w:sz w:val="28"/>
          <w:szCs w:val="28"/>
        </w:rPr>
        <w:t xml:space="preserve">.2.7. Hệ thống cấp điện: </w:t>
      </w:r>
      <w:r w:rsidRPr="00900433">
        <w:rPr>
          <w:sz w:val="28"/>
          <w:szCs w:val="28"/>
        </w:rPr>
        <w:t>Nguồn cấp chính lấy từ lưới điện hạ thế khu vực; tại trạm lắp đặt bộ lưu điện (UPS) và thiết bị chuyển nguồn tự động; tại TTĐH bố trí máy phát điện dự phòng và UPS cho máy chủ.</w:t>
      </w:r>
    </w:p>
    <w:p w14:paraId="7A66572C" w14:textId="77777777" w:rsidR="001E1567" w:rsidRPr="00900433" w:rsidRDefault="001E1567" w:rsidP="001E1567">
      <w:pPr>
        <w:ind w:firstLine="720"/>
        <w:rPr>
          <w:sz w:val="28"/>
          <w:szCs w:val="28"/>
        </w:rPr>
      </w:pPr>
      <w:r>
        <w:rPr>
          <w:b/>
          <w:i/>
          <w:sz w:val="28"/>
          <w:szCs w:val="28"/>
        </w:rPr>
        <w:t>4</w:t>
      </w:r>
      <w:r w:rsidRPr="00900433">
        <w:rPr>
          <w:b/>
          <w:i/>
          <w:sz w:val="28"/>
          <w:szCs w:val="28"/>
        </w:rPr>
        <w:t xml:space="preserve">.2.8. Hệ thống truyền dẫn dữ liệu: </w:t>
      </w:r>
      <w:r w:rsidRPr="00900433">
        <w:rPr>
          <w:sz w:val="28"/>
          <w:szCs w:val="28"/>
        </w:rPr>
        <w:t>Dữ liệu từ trạm được truyền về TTĐH qua đường truyền Internet IP tĩnh; phần mềm tại TTĐH có các phân hệ truyền thông để đồng bộ và chia sẻ dữ liệu với cơ quan quản lý; hệ thống đáp ứng yêu cầu về an toàn thông tin mạng theo quy định.</w:t>
      </w:r>
    </w:p>
    <w:p w14:paraId="432B204E" w14:textId="77777777" w:rsidR="001E1567" w:rsidRPr="00900433" w:rsidRDefault="001E1567" w:rsidP="001E1567">
      <w:pPr>
        <w:ind w:firstLine="720"/>
        <w:rPr>
          <w:sz w:val="28"/>
          <w:szCs w:val="28"/>
        </w:rPr>
      </w:pPr>
      <w:r>
        <w:rPr>
          <w:b/>
          <w:i/>
          <w:sz w:val="28"/>
          <w:szCs w:val="28"/>
        </w:rPr>
        <w:t>4</w:t>
      </w:r>
      <w:r w:rsidRPr="00900433">
        <w:rPr>
          <w:b/>
          <w:i/>
          <w:sz w:val="28"/>
          <w:szCs w:val="28"/>
        </w:rPr>
        <w:t xml:space="preserve">.2.9. Hệ thống chống sét và tiếp đất: </w:t>
      </w:r>
      <w:r w:rsidRPr="00900433">
        <w:rPr>
          <w:sz w:val="28"/>
          <w:szCs w:val="28"/>
        </w:rPr>
        <w:t>Tại trạm bố trí chống sét trực tiếp và lan truyền (điện trở tiếp đất ≤10Ω); tại TTĐH bố trí chống sét lan truyền (điện trở ≤4Ω).</w:t>
      </w:r>
    </w:p>
    <w:p w14:paraId="68832AC6" w14:textId="77777777" w:rsidR="001E1567" w:rsidRPr="00900433" w:rsidRDefault="001E1567" w:rsidP="001E1567">
      <w:pPr>
        <w:ind w:firstLine="720"/>
        <w:rPr>
          <w:b/>
          <w:i/>
          <w:sz w:val="28"/>
          <w:szCs w:val="28"/>
        </w:rPr>
      </w:pPr>
      <w:r>
        <w:rPr>
          <w:b/>
          <w:i/>
          <w:sz w:val="28"/>
          <w:szCs w:val="28"/>
        </w:rPr>
        <w:t>4</w:t>
      </w:r>
      <w:r w:rsidRPr="00900433">
        <w:rPr>
          <w:b/>
          <w:i/>
          <w:sz w:val="28"/>
          <w:szCs w:val="28"/>
        </w:rPr>
        <w:t>.2.10. Phòng kỹ thuật và tủ kỹ thuật:</w:t>
      </w:r>
    </w:p>
    <w:p w14:paraId="0B0CD0FD" w14:textId="77777777" w:rsidR="001E1567" w:rsidRPr="00900433" w:rsidRDefault="001E1567" w:rsidP="001E1567">
      <w:pPr>
        <w:ind w:firstLine="720"/>
        <w:rPr>
          <w:sz w:val="28"/>
          <w:szCs w:val="28"/>
        </w:rPr>
      </w:pPr>
      <w:r w:rsidRPr="00900433">
        <w:rPr>
          <w:sz w:val="28"/>
          <w:szCs w:val="28"/>
        </w:rPr>
        <w:t xml:space="preserve">- Tủ kỹ thuật tại trạm bao gồm Tủ điều khiển làn cân (chứa thiết bị và cấp nguồn trực tiếp cho các thiết bị cân tại làn xe, bao gồm máy tính điều khiển làn cân, bộ điều khiển PLC, bộ thu thập dữ liệu cân, thiết bị chuyển </w:t>
      </w:r>
      <w:proofErr w:type="gramStart"/>
      <w:r w:rsidRPr="00900433">
        <w:rPr>
          <w:sz w:val="28"/>
          <w:szCs w:val="28"/>
        </w:rPr>
        <w:t>mạch,...</w:t>
      </w:r>
      <w:proofErr w:type="gramEnd"/>
      <w:r w:rsidRPr="00900433">
        <w:rPr>
          <w:sz w:val="28"/>
          <w:szCs w:val="28"/>
        </w:rPr>
        <w:t>) và Tủ kỹ thuật Camera (cung cấp nguồn và kết nối mạng cho các camera), được lắp đặt trên giá long môn.</w:t>
      </w:r>
    </w:p>
    <w:p w14:paraId="05BA3256" w14:textId="77777777" w:rsidR="001E1567" w:rsidRPr="00900433" w:rsidRDefault="001E1567" w:rsidP="001E1567">
      <w:pPr>
        <w:ind w:firstLine="720"/>
        <w:rPr>
          <w:sz w:val="28"/>
          <w:szCs w:val="28"/>
        </w:rPr>
      </w:pPr>
      <w:r w:rsidRPr="00900433">
        <w:rPr>
          <w:sz w:val="28"/>
          <w:szCs w:val="28"/>
        </w:rPr>
        <w:t>- TTĐH được trang bị hệ thống máy trạm, màn hình giám sát và màn hình ghép.</w:t>
      </w:r>
    </w:p>
    <w:p w14:paraId="5329B81A" w14:textId="77777777" w:rsidR="001E1567" w:rsidRPr="00900433" w:rsidRDefault="001E1567" w:rsidP="001E1567">
      <w:pPr>
        <w:ind w:firstLine="720"/>
        <w:rPr>
          <w:b/>
          <w:sz w:val="28"/>
          <w:szCs w:val="28"/>
        </w:rPr>
      </w:pPr>
      <w:r>
        <w:rPr>
          <w:b/>
          <w:sz w:val="28"/>
          <w:szCs w:val="28"/>
        </w:rPr>
        <w:t>4</w:t>
      </w:r>
      <w:r w:rsidRPr="00900433">
        <w:rPr>
          <w:b/>
          <w:sz w:val="28"/>
          <w:szCs w:val="28"/>
        </w:rPr>
        <w:t>.3 Giải pháp thiết kế phần hạ tầng</w:t>
      </w:r>
    </w:p>
    <w:p w14:paraId="02889364" w14:textId="77777777" w:rsidR="001E1567" w:rsidRPr="00900433" w:rsidRDefault="001E1567" w:rsidP="001E1567">
      <w:pPr>
        <w:spacing w:before="80" w:after="80"/>
        <w:ind w:firstLine="720"/>
        <w:rPr>
          <w:b/>
          <w:i/>
          <w:sz w:val="28"/>
          <w:szCs w:val="28"/>
        </w:rPr>
      </w:pPr>
      <w:r>
        <w:rPr>
          <w:b/>
          <w:i/>
          <w:sz w:val="28"/>
          <w:szCs w:val="28"/>
        </w:rPr>
        <w:t>4</w:t>
      </w:r>
      <w:r w:rsidRPr="00900433">
        <w:rPr>
          <w:b/>
          <w:i/>
          <w:sz w:val="28"/>
          <w:szCs w:val="28"/>
        </w:rPr>
        <w:t>.3.1. Kết cấu hạ tầng vùng cân</w:t>
      </w:r>
    </w:p>
    <w:p w14:paraId="4C8B23EA" w14:textId="77777777" w:rsidR="001E1567" w:rsidRPr="00900433" w:rsidRDefault="001E1567" w:rsidP="001E1567">
      <w:pPr>
        <w:spacing w:before="80" w:after="80"/>
        <w:ind w:firstLine="720"/>
        <w:rPr>
          <w:sz w:val="28"/>
          <w:szCs w:val="28"/>
        </w:rPr>
      </w:pPr>
      <w:r w:rsidRPr="00900433">
        <w:rPr>
          <w:sz w:val="28"/>
          <w:szCs w:val="28"/>
        </w:rPr>
        <w:t>Thiết kế vùng cân gồm bộ phận nhận tải (vùng lắp đặt thiết bị cân) và đường dẫn ở cả hai phía của bộ phận nhận tải tuân thủ QCVN 116: 2024/BGTVT.</w:t>
      </w:r>
    </w:p>
    <w:p w14:paraId="10EDB7E2" w14:textId="77777777" w:rsidR="001E1567" w:rsidRPr="00900433" w:rsidRDefault="001E1567" w:rsidP="001E1567">
      <w:pPr>
        <w:spacing w:before="80" w:after="80"/>
        <w:ind w:firstLine="720"/>
        <w:rPr>
          <w:sz w:val="28"/>
          <w:szCs w:val="28"/>
        </w:rPr>
      </w:pPr>
      <w:r w:rsidRPr="00900433">
        <w:rPr>
          <w:i/>
          <w:sz w:val="28"/>
          <w:szCs w:val="28"/>
        </w:rPr>
        <w:lastRenderedPageBreak/>
        <w:t xml:space="preserve">a) Bình đồ: </w:t>
      </w:r>
      <w:r w:rsidRPr="00900433">
        <w:rPr>
          <w:sz w:val="28"/>
          <w:szCs w:val="28"/>
        </w:rPr>
        <w:t>Tim tuyến, hướng tuyến xác định trên cơ sở tim tuyến, hướng tuyến đường hiện trạng, phạm vi xây dựng và lắp đặt thiết bị hệ thống cân động (WIM) nằm trong phạm vi mặt đường cũ.</w:t>
      </w:r>
    </w:p>
    <w:p w14:paraId="0AB4047D" w14:textId="77777777" w:rsidR="001E1567" w:rsidRPr="00900433" w:rsidRDefault="001E1567" w:rsidP="001E1567">
      <w:pPr>
        <w:spacing w:before="80" w:after="80"/>
        <w:ind w:firstLine="720"/>
        <w:rPr>
          <w:sz w:val="28"/>
          <w:szCs w:val="28"/>
        </w:rPr>
      </w:pPr>
      <w:r w:rsidRPr="00900433">
        <w:rPr>
          <w:sz w:val="28"/>
          <w:szCs w:val="28"/>
        </w:rPr>
        <w:t xml:space="preserve">- Thiết kế đoạn đường trong vùng cân mỗi chiều có chiều dài 86,5 m bao gồm </w:t>
      </w:r>
      <w:r w:rsidRPr="00900433">
        <w:rPr>
          <w:sz w:val="28"/>
          <w:szCs w:val="28"/>
        </w:rPr>
        <w:br/>
        <w:t>66,5 m mặt đường BTXM (6,5m vùng lắp đặt thiết bị cân, 35 m trước vùng lắp đặt thiết bị cân (phía xe vào), 25 m sau vùng lắp đặt thiết bị cân (phía xe ra)) và 2 × 10 m mặt đường BTN chuyển tiếp.</w:t>
      </w:r>
    </w:p>
    <w:p w14:paraId="371CE968" w14:textId="77777777" w:rsidR="001E1567" w:rsidRPr="00900433" w:rsidRDefault="001E1567" w:rsidP="001E1567">
      <w:pPr>
        <w:spacing w:before="80" w:after="80"/>
        <w:ind w:firstLine="720"/>
        <w:rPr>
          <w:sz w:val="28"/>
          <w:szCs w:val="28"/>
        </w:rPr>
      </w:pPr>
      <w:r w:rsidRPr="00900433">
        <w:rPr>
          <w:sz w:val="28"/>
          <w:szCs w:val="28"/>
        </w:rPr>
        <w:t>- Khu vực nút giao Nguyễn Khoái - Lĩnh Nam: Vị trí Km75+800,05 (trạm NK1), Km74+201 (trạm NK2) mỗi vị trí bố trí 02 hệ thống cân động (WIM) trên 02 làn ngược chiều, mỗi chiều 01 làn rộng 3,5 m; vị trí Km5+745.50 lý trình đường VĐ3 - đường Đỗ Mười (trạm NK3) bố trí 01 hệ thống cân động (WIM) trên 01 làn rộng</w:t>
      </w:r>
      <w:r>
        <w:rPr>
          <w:sz w:val="28"/>
          <w:szCs w:val="28"/>
        </w:rPr>
        <w:t xml:space="preserve"> </w:t>
      </w:r>
      <w:r w:rsidRPr="00900433">
        <w:rPr>
          <w:sz w:val="28"/>
          <w:szCs w:val="28"/>
        </w:rPr>
        <w:t>4,0 m, phạm vi mặt đường còn lại tổ chức làn đường dành cho xe thô sơ, xe mô tô và xe gắn máy.</w:t>
      </w:r>
    </w:p>
    <w:p w14:paraId="6B3304E2" w14:textId="77777777" w:rsidR="001E1567" w:rsidRPr="00900433" w:rsidRDefault="001E1567" w:rsidP="001E1567">
      <w:pPr>
        <w:spacing w:before="80" w:after="80"/>
        <w:ind w:firstLine="720"/>
        <w:rPr>
          <w:sz w:val="28"/>
          <w:szCs w:val="28"/>
        </w:rPr>
      </w:pPr>
      <w:r w:rsidRPr="00900433">
        <w:rPr>
          <w:sz w:val="28"/>
          <w:szCs w:val="28"/>
        </w:rPr>
        <w:t>- Khu vực Km4+021,14 Quốc Lộ 21: Bố trí 04 hệ thống cân động (WIM); mỗi chiều 02 hệ thống cân động (WIM) trên 02 làn cân, mỗi làn cân rộng 4,0 m, phạm vi mặt đường còn lại (khoảng 2,9 m) tổ chức làn đường dành cho xe thô sơ, xe mô tô và xe gắn máy.</w:t>
      </w:r>
    </w:p>
    <w:p w14:paraId="1F4F4498" w14:textId="77777777" w:rsidR="001E1567" w:rsidRPr="00900433" w:rsidRDefault="001E1567" w:rsidP="001E1567">
      <w:pPr>
        <w:spacing w:before="80" w:after="80"/>
        <w:ind w:firstLine="720"/>
        <w:rPr>
          <w:sz w:val="28"/>
          <w:szCs w:val="28"/>
        </w:rPr>
      </w:pPr>
      <w:r w:rsidRPr="00900433">
        <w:rPr>
          <w:sz w:val="28"/>
          <w:szCs w:val="28"/>
        </w:rPr>
        <w:t>- Khu vực Quốc Lộ 32 (Km41+98,21 trái tuyến - hướng về hà Nội; Km41+108,21 phải tuyến - hướng đi Sơn Tây): Bố trí 04 hệ thống cân động (WIM); mỗi chiều 02 hệ thống cân động (WIM) trên 02 làn cân, mỗi làn cân rộng 4,0 m, phạm vi mặt đường còn lại (khoảng 2,5 m) tổ chức làn đường dành cho xe thô sơ, xe mô tô và xe gắn máy.</w:t>
      </w:r>
    </w:p>
    <w:p w14:paraId="3F0743AD" w14:textId="77777777" w:rsidR="001E1567" w:rsidRPr="00900433" w:rsidRDefault="001E1567" w:rsidP="001E1567">
      <w:pPr>
        <w:spacing w:before="80" w:after="80"/>
        <w:ind w:firstLine="720"/>
        <w:rPr>
          <w:sz w:val="28"/>
          <w:szCs w:val="28"/>
        </w:rPr>
      </w:pPr>
      <w:r w:rsidRPr="00900433">
        <w:rPr>
          <w:sz w:val="28"/>
          <w:szCs w:val="28"/>
        </w:rPr>
        <w:t>- Khu vực đầu cầu phía Bắc cầu Thăng Long (Km0+101,26 trái tuyến - hướng đi cầu Thăng Long; Km0+111,3 phải tuyến - hướng đi QL2A): Bố trí 05 hệ thống cân động (WIM); phải tuyến 02 hệ thống cân động (WIM) trên 02 làn cân, trái tuyến 03 hệ thống cân động (WIM) trên 02 làn cân; mỗi làn cân rộng 4,0 m.</w:t>
      </w:r>
    </w:p>
    <w:p w14:paraId="14BC1021" w14:textId="77777777" w:rsidR="001E1567" w:rsidRPr="00900433" w:rsidRDefault="001E1567" w:rsidP="001E1567">
      <w:pPr>
        <w:spacing w:before="80" w:after="80"/>
        <w:ind w:firstLine="720"/>
        <w:rPr>
          <w:sz w:val="28"/>
          <w:szCs w:val="28"/>
        </w:rPr>
      </w:pPr>
      <w:r w:rsidRPr="00900433">
        <w:rPr>
          <w:i/>
          <w:sz w:val="28"/>
          <w:szCs w:val="28"/>
        </w:rPr>
        <w:t xml:space="preserve">b) Trắc dọc, trắc ngang: </w:t>
      </w:r>
      <w:r w:rsidRPr="00900433">
        <w:rPr>
          <w:sz w:val="28"/>
          <w:szCs w:val="28"/>
        </w:rPr>
        <w:t xml:space="preserve">Trắc dọc đoạn đường trong vùng cân thiết kế trên cơ sở bám sát trắc dọc của tuyến đường hiện tại, độ dốc dọc lớn nhất </w:t>
      </w:r>
      <w:r w:rsidRPr="00900433">
        <w:rPr>
          <w:i/>
          <w:sz w:val="28"/>
          <w:szCs w:val="28"/>
        </w:rPr>
        <w:t>i</w:t>
      </w:r>
      <w:r w:rsidRPr="00900433">
        <w:rPr>
          <w:i/>
          <w:sz w:val="28"/>
          <w:szCs w:val="28"/>
          <w:vertAlign w:val="subscript"/>
        </w:rPr>
        <w:t>max</w:t>
      </w:r>
      <w:r w:rsidRPr="00900433">
        <w:rPr>
          <w:sz w:val="28"/>
          <w:szCs w:val="28"/>
        </w:rPr>
        <w:t xml:space="preserve">=1 % tại khu vực đầu cầu Thăng Long (do cải tạo tuyến), các vị trí khác </w:t>
      </w:r>
      <w:r w:rsidRPr="00900433">
        <w:rPr>
          <w:i/>
          <w:sz w:val="28"/>
          <w:szCs w:val="28"/>
        </w:rPr>
        <w:t>i</w:t>
      </w:r>
      <w:r w:rsidRPr="00900433">
        <w:rPr>
          <w:i/>
          <w:sz w:val="28"/>
          <w:szCs w:val="28"/>
          <w:vertAlign w:val="subscript"/>
        </w:rPr>
        <w:t>d</w:t>
      </w:r>
      <w:proofErr w:type="gramStart"/>
      <w:r w:rsidRPr="00900433">
        <w:rPr>
          <w:sz w:val="28"/>
          <w:szCs w:val="28"/>
        </w:rPr>
        <w:t>=(</w:t>
      </w:r>
      <w:proofErr w:type="gramEnd"/>
      <w:r w:rsidRPr="00900433">
        <w:rPr>
          <w:sz w:val="28"/>
          <w:szCs w:val="28"/>
        </w:rPr>
        <w:t xml:space="preserve">0,01 % ÷ 0,29 %); độ dốc ngang mặt đường </w:t>
      </w:r>
      <w:r w:rsidRPr="00900433">
        <w:rPr>
          <w:i/>
          <w:sz w:val="28"/>
          <w:szCs w:val="28"/>
        </w:rPr>
        <w:t>i</w:t>
      </w:r>
      <w:r w:rsidRPr="00900433">
        <w:rPr>
          <w:i/>
          <w:sz w:val="28"/>
          <w:szCs w:val="28"/>
          <w:vertAlign w:val="subscript"/>
        </w:rPr>
        <w:t>n</w:t>
      </w:r>
      <w:r w:rsidRPr="00900433">
        <w:rPr>
          <w:sz w:val="28"/>
          <w:szCs w:val="28"/>
        </w:rPr>
        <w:t xml:space="preserve"> ≤ 3 %, vùng lắp đặt thiết bị cân </w:t>
      </w:r>
      <w:r w:rsidRPr="00900433">
        <w:rPr>
          <w:i/>
          <w:sz w:val="28"/>
          <w:szCs w:val="28"/>
        </w:rPr>
        <w:t>i</w:t>
      </w:r>
      <w:r w:rsidRPr="00900433">
        <w:rPr>
          <w:i/>
          <w:sz w:val="28"/>
          <w:szCs w:val="28"/>
          <w:vertAlign w:val="subscript"/>
        </w:rPr>
        <w:t>n</w:t>
      </w:r>
      <w:r w:rsidRPr="00900433">
        <w:rPr>
          <w:rFonts w:eastAsia="Gungsuh"/>
          <w:sz w:val="28"/>
          <w:szCs w:val="28"/>
        </w:rPr>
        <w:t xml:space="preserve"> ≤ 1 %.</w:t>
      </w:r>
    </w:p>
    <w:p w14:paraId="0DC37205" w14:textId="77777777" w:rsidR="001E1567" w:rsidRPr="00900433" w:rsidRDefault="001E1567" w:rsidP="001E1567">
      <w:pPr>
        <w:spacing w:before="80" w:after="80"/>
        <w:ind w:firstLine="720"/>
        <w:rPr>
          <w:i/>
          <w:sz w:val="28"/>
          <w:szCs w:val="28"/>
        </w:rPr>
      </w:pPr>
      <w:r w:rsidRPr="00900433">
        <w:rPr>
          <w:i/>
          <w:sz w:val="28"/>
          <w:szCs w:val="28"/>
        </w:rPr>
        <w:t>c) Kết cấu mặt đường:</w:t>
      </w:r>
    </w:p>
    <w:p w14:paraId="1DF9EDDB" w14:textId="77777777" w:rsidR="001E1567" w:rsidRPr="00900433" w:rsidRDefault="001E1567" w:rsidP="001E1567">
      <w:pPr>
        <w:spacing w:before="80" w:after="80"/>
        <w:ind w:firstLine="720"/>
        <w:rPr>
          <w:sz w:val="28"/>
          <w:szCs w:val="28"/>
        </w:rPr>
      </w:pPr>
      <w:r w:rsidRPr="00900433">
        <w:rPr>
          <w:sz w:val="28"/>
          <w:szCs w:val="28"/>
        </w:rPr>
        <w:t>- Kết cấu vùng cân thiết kế đường BTXM cấp quy mô giao thông cấp rất nặng (theo TCCS 39:2022/TCĐBVN; cao độ sai lệch ≤ 10 mm): BTXM 42MPa dày 34 cm (bố trí lưới thép chống nứt); lớp phân cách bê tông nhựa chặt BTNC12.5 dày 4 cm, tưới dính bám 0,5 kg/m</w:t>
      </w:r>
      <w:r w:rsidRPr="00900433">
        <w:rPr>
          <w:sz w:val="28"/>
          <w:szCs w:val="28"/>
          <w:vertAlign w:val="superscript"/>
        </w:rPr>
        <w:t>2</w:t>
      </w:r>
      <w:r w:rsidRPr="00900433">
        <w:rPr>
          <w:sz w:val="28"/>
          <w:szCs w:val="28"/>
        </w:rPr>
        <w:t>; móng trên BTXM 10 MPa dày 15 cm; móng dưới cấp phối đá dăm loại 1 (0/25 mm) dày 18 cm.</w:t>
      </w:r>
    </w:p>
    <w:p w14:paraId="18269B57" w14:textId="77777777" w:rsidR="001E1567" w:rsidRPr="00900433" w:rsidRDefault="001E1567" w:rsidP="001E1567">
      <w:pPr>
        <w:spacing w:before="80" w:after="80"/>
        <w:rPr>
          <w:sz w:val="28"/>
          <w:szCs w:val="28"/>
        </w:rPr>
      </w:pPr>
      <w:r w:rsidRPr="00900433">
        <w:rPr>
          <w:sz w:val="28"/>
          <w:szCs w:val="28"/>
        </w:rPr>
        <w:lastRenderedPageBreak/>
        <w:t>- Kết cấu đoạn 10 m chuyển tiếp: Bê tông nhựa chặt BTNC16 dày 5 cm, tưới dính bám 0,5 kg/m</w:t>
      </w:r>
      <w:r w:rsidRPr="00900433">
        <w:rPr>
          <w:sz w:val="28"/>
          <w:szCs w:val="28"/>
          <w:vertAlign w:val="superscript"/>
        </w:rPr>
        <w:t>2</w:t>
      </w:r>
      <w:r w:rsidRPr="00900433">
        <w:rPr>
          <w:sz w:val="28"/>
          <w:szCs w:val="28"/>
        </w:rPr>
        <w:t>; bê tông nhựa chặt BTNC19 dày 7 cm, tưới dính bám 0,5 kg/m</w:t>
      </w:r>
      <w:r w:rsidRPr="00900433">
        <w:rPr>
          <w:sz w:val="28"/>
          <w:szCs w:val="28"/>
          <w:vertAlign w:val="superscript"/>
        </w:rPr>
        <w:t>2</w:t>
      </w:r>
      <w:r w:rsidRPr="00900433">
        <w:rPr>
          <w:sz w:val="28"/>
          <w:szCs w:val="28"/>
        </w:rPr>
        <w:t>; trên lớp kết cấu BTXM (như trong vùng cân).</w:t>
      </w:r>
    </w:p>
    <w:p w14:paraId="1C22159A" w14:textId="77777777" w:rsidR="001E1567" w:rsidRPr="00900433" w:rsidRDefault="001E1567" w:rsidP="001E1567">
      <w:pPr>
        <w:ind w:firstLine="720"/>
        <w:rPr>
          <w:b/>
          <w:i/>
          <w:sz w:val="28"/>
          <w:szCs w:val="28"/>
        </w:rPr>
      </w:pPr>
      <w:r>
        <w:rPr>
          <w:b/>
          <w:i/>
          <w:sz w:val="28"/>
          <w:szCs w:val="28"/>
        </w:rPr>
        <w:t>4</w:t>
      </w:r>
      <w:r w:rsidRPr="00900433">
        <w:rPr>
          <w:b/>
          <w:i/>
          <w:sz w:val="28"/>
          <w:szCs w:val="28"/>
        </w:rPr>
        <w:t>.3.2. Cải tạo nút giao đầu cầu phía Bắc cầu Thăng Long</w:t>
      </w:r>
    </w:p>
    <w:p w14:paraId="62A362E0" w14:textId="77777777" w:rsidR="001E1567" w:rsidRPr="00900433" w:rsidRDefault="001E1567" w:rsidP="001E1567">
      <w:pPr>
        <w:rPr>
          <w:sz w:val="28"/>
          <w:szCs w:val="28"/>
        </w:rPr>
      </w:pPr>
      <w:r w:rsidRPr="00900433">
        <w:rPr>
          <w:sz w:val="28"/>
          <w:szCs w:val="28"/>
        </w:rPr>
        <w:t>Cải tạo nút giao đầu cầu phía Bắc cầu Thăng Long để đảm bảo yêu cầu thiết kế vùng cân theo QCVN 116: 2024/BGTVT, cụ thể: cải tạo 385 m tuyến chính (trên mặt đường Võ Văn Kiệt; 185,3 m tuyến nhánh 2 (đường gom bên phải tuyến chính); 160,44 m tuyến nhánh 3 (hướng Võ Văn Kiệt đi Đường 6); 170,56 m tuyến nhánh 4 (đường gom bên trái tuyến chính).</w:t>
      </w:r>
    </w:p>
    <w:p w14:paraId="3115127A" w14:textId="77777777" w:rsidR="001E1567" w:rsidRPr="00900433" w:rsidRDefault="001E1567" w:rsidP="001E1567">
      <w:pPr>
        <w:ind w:firstLine="720"/>
        <w:rPr>
          <w:i/>
          <w:sz w:val="28"/>
          <w:szCs w:val="28"/>
        </w:rPr>
      </w:pPr>
      <w:r w:rsidRPr="00900433">
        <w:rPr>
          <w:i/>
          <w:sz w:val="28"/>
          <w:szCs w:val="28"/>
        </w:rPr>
        <w:t>a) Đường giao thông</w:t>
      </w:r>
    </w:p>
    <w:p w14:paraId="1072A9C4" w14:textId="77777777" w:rsidR="001E1567" w:rsidRPr="00900433" w:rsidRDefault="001E1567" w:rsidP="001E1567">
      <w:pPr>
        <w:ind w:firstLine="720"/>
        <w:rPr>
          <w:sz w:val="28"/>
          <w:szCs w:val="28"/>
        </w:rPr>
      </w:pPr>
      <w:r w:rsidRPr="00900433">
        <w:rPr>
          <w:sz w:val="28"/>
          <w:szCs w:val="28"/>
        </w:rPr>
        <w:t xml:space="preserve">- Tim tuyến, hướng tuyến, trắc dọc thiết kế bám sát tim tuyến, hướng tuyến, trắc dọc đường hiện trạng; độ dốc dọc lớn nhất tuyến chính </w:t>
      </w:r>
      <w:r w:rsidRPr="00900433">
        <w:rPr>
          <w:i/>
          <w:sz w:val="28"/>
          <w:szCs w:val="28"/>
        </w:rPr>
        <w:t>i</w:t>
      </w:r>
      <w:r w:rsidRPr="00900433">
        <w:rPr>
          <w:i/>
          <w:sz w:val="28"/>
          <w:szCs w:val="28"/>
          <w:vertAlign w:val="subscript"/>
        </w:rPr>
        <w:t>max</w:t>
      </w:r>
      <w:r w:rsidRPr="00900433">
        <w:rPr>
          <w:sz w:val="28"/>
          <w:szCs w:val="28"/>
        </w:rPr>
        <w:t xml:space="preserve">=4 %, nhánh 2 </w:t>
      </w:r>
      <w:r w:rsidRPr="00900433">
        <w:rPr>
          <w:i/>
          <w:sz w:val="28"/>
          <w:szCs w:val="28"/>
        </w:rPr>
        <w:t>i</w:t>
      </w:r>
      <w:r w:rsidRPr="00900433">
        <w:rPr>
          <w:i/>
          <w:sz w:val="28"/>
          <w:szCs w:val="28"/>
          <w:vertAlign w:val="subscript"/>
        </w:rPr>
        <w:t>max</w:t>
      </w:r>
      <w:r w:rsidRPr="00900433">
        <w:rPr>
          <w:sz w:val="28"/>
          <w:szCs w:val="28"/>
        </w:rPr>
        <w:t xml:space="preserve">=2 %, nhánh </w:t>
      </w:r>
      <w:proofErr w:type="gramStart"/>
      <w:r w:rsidRPr="00900433">
        <w:rPr>
          <w:sz w:val="28"/>
          <w:szCs w:val="28"/>
        </w:rPr>
        <w:t xml:space="preserve">3  </w:t>
      </w:r>
      <w:r w:rsidRPr="00900433">
        <w:rPr>
          <w:i/>
          <w:sz w:val="28"/>
          <w:szCs w:val="28"/>
        </w:rPr>
        <w:t>i</w:t>
      </w:r>
      <w:r w:rsidRPr="00900433">
        <w:rPr>
          <w:i/>
          <w:sz w:val="28"/>
          <w:szCs w:val="28"/>
          <w:vertAlign w:val="subscript"/>
        </w:rPr>
        <w:t>max</w:t>
      </w:r>
      <w:proofErr w:type="gramEnd"/>
      <w:r w:rsidRPr="00900433">
        <w:rPr>
          <w:sz w:val="28"/>
          <w:szCs w:val="28"/>
        </w:rPr>
        <w:t xml:space="preserve">=1,43 %, nhánh 4  </w:t>
      </w:r>
      <w:r w:rsidRPr="00900433">
        <w:rPr>
          <w:i/>
          <w:sz w:val="28"/>
          <w:szCs w:val="28"/>
        </w:rPr>
        <w:t>i</w:t>
      </w:r>
      <w:r w:rsidRPr="00900433">
        <w:rPr>
          <w:i/>
          <w:sz w:val="28"/>
          <w:szCs w:val="28"/>
          <w:vertAlign w:val="subscript"/>
        </w:rPr>
        <w:t>max</w:t>
      </w:r>
      <w:r w:rsidRPr="00900433">
        <w:rPr>
          <w:sz w:val="28"/>
          <w:szCs w:val="28"/>
        </w:rPr>
        <w:t>=3,08 %.</w:t>
      </w:r>
    </w:p>
    <w:p w14:paraId="19E776B5" w14:textId="77777777" w:rsidR="001E1567" w:rsidRPr="00900433" w:rsidRDefault="001E1567" w:rsidP="001E1567">
      <w:pPr>
        <w:ind w:firstLine="720"/>
        <w:rPr>
          <w:sz w:val="28"/>
          <w:szCs w:val="28"/>
        </w:rPr>
      </w:pPr>
      <w:r w:rsidRPr="00900433">
        <w:rPr>
          <w:sz w:val="28"/>
          <w:szCs w:val="28"/>
        </w:rPr>
        <w:t xml:space="preserve">- Bề rộng mặt cắt ngang, bề rộng nền đường phù hợp mặt đường hiện trạng; độ dốc ngang mặt đường </w:t>
      </w:r>
      <w:r w:rsidRPr="00900433">
        <w:rPr>
          <w:i/>
          <w:sz w:val="28"/>
          <w:szCs w:val="28"/>
        </w:rPr>
        <w:t>i</w:t>
      </w:r>
      <w:r w:rsidRPr="00900433">
        <w:rPr>
          <w:i/>
          <w:sz w:val="28"/>
          <w:szCs w:val="28"/>
          <w:vertAlign w:val="subscript"/>
        </w:rPr>
        <w:t>mặt</w:t>
      </w:r>
      <w:r w:rsidRPr="00900433">
        <w:rPr>
          <w:sz w:val="28"/>
          <w:szCs w:val="28"/>
        </w:rPr>
        <w:t xml:space="preserve">=2,0 % (đoạn trong đường cong theo dốc siêu cao mặt đường </w:t>
      </w:r>
      <w:r w:rsidRPr="00900433">
        <w:rPr>
          <w:i/>
          <w:sz w:val="28"/>
          <w:szCs w:val="28"/>
        </w:rPr>
        <w:t>i</w:t>
      </w:r>
      <w:r w:rsidRPr="00900433">
        <w:rPr>
          <w:i/>
          <w:sz w:val="28"/>
          <w:szCs w:val="28"/>
          <w:vertAlign w:val="subscript"/>
        </w:rPr>
        <w:t>sc</w:t>
      </w:r>
      <w:r w:rsidRPr="00900433">
        <w:rPr>
          <w:sz w:val="28"/>
          <w:szCs w:val="28"/>
        </w:rPr>
        <w:t xml:space="preserve">), hè đường </w:t>
      </w:r>
      <w:r w:rsidRPr="00900433">
        <w:rPr>
          <w:i/>
          <w:sz w:val="28"/>
          <w:szCs w:val="28"/>
        </w:rPr>
        <w:t>i</w:t>
      </w:r>
      <w:r w:rsidRPr="00900433">
        <w:rPr>
          <w:i/>
          <w:sz w:val="28"/>
          <w:szCs w:val="28"/>
          <w:vertAlign w:val="subscript"/>
        </w:rPr>
        <w:t>hè</w:t>
      </w:r>
      <w:r w:rsidRPr="00900433">
        <w:rPr>
          <w:sz w:val="28"/>
          <w:szCs w:val="28"/>
        </w:rPr>
        <w:t xml:space="preserve"> =1,5 %; lề đất </w:t>
      </w:r>
      <w:r w:rsidRPr="00900433">
        <w:rPr>
          <w:i/>
          <w:sz w:val="28"/>
          <w:szCs w:val="28"/>
        </w:rPr>
        <w:t>i</w:t>
      </w:r>
      <w:r w:rsidRPr="00900433">
        <w:rPr>
          <w:i/>
          <w:sz w:val="28"/>
          <w:szCs w:val="28"/>
          <w:vertAlign w:val="subscript"/>
        </w:rPr>
        <w:t>lềđất</w:t>
      </w:r>
      <w:r w:rsidRPr="00900433">
        <w:rPr>
          <w:sz w:val="28"/>
          <w:szCs w:val="28"/>
        </w:rPr>
        <w:t xml:space="preserve">=4 %. </w:t>
      </w:r>
    </w:p>
    <w:p w14:paraId="5FC1C190" w14:textId="77777777" w:rsidR="001E1567" w:rsidRPr="00900433" w:rsidRDefault="001E1567" w:rsidP="001E1567">
      <w:pPr>
        <w:ind w:firstLine="720"/>
        <w:rPr>
          <w:spacing w:val="-6"/>
          <w:sz w:val="28"/>
          <w:szCs w:val="28"/>
        </w:rPr>
      </w:pPr>
      <w:r w:rsidRPr="00900433">
        <w:rPr>
          <w:spacing w:val="-6"/>
          <w:sz w:val="28"/>
          <w:szCs w:val="28"/>
        </w:rPr>
        <w:t>- Kết cấu mặt đường tuyến chính: Bê tông nhựa chặt BTNC16 dày 5 cm, tưới dính bám 0,5 kg/m</w:t>
      </w:r>
      <w:r w:rsidRPr="00900433">
        <w:rPr>
          <w:spacing w:val="-6"/>
          <w:sz w:val="28"/>
          <w:szCs w:val="28"/>
          <w:vertAlign w:val="superscript"/>
        </w:rPr>
        <w:t>2</w:t>
      </w:r>
      <w:r w:rsidRPr="00900433">
        <w:rPr>
          <w:spacing w:val="-6"/>
          <w:sz w:val="28"/>
          <w:szCs w:val="28"/>
        </w:rPr>
        <w:t>; bê tông nhựa chặt BTNC19 dày 7 cm, tưới thấm bám 1,0 kg/m</w:t>
      </w:r>
      <w:r w:rsidRPr="00900433">
        <w:rPr>
          <w:spacing w:val="-6"/>
          <w:sz w:val="28"/>
          <w:szCs w:val="28"/>
          <w:vertAlign w:val="superscript"/>
        </w:rPr>
        <w:t>2</w:t>
      </w:r>
      <w:r w:rsidRPr="00900433">
        <w:rPr>
          <w:spacing w:val="-6"/>
          <w:sz w:val="28"/>
          <w:szCs w:val="28"/>
        </w:rPr>
        <w:t>; móng cấp phối đá dăm loại 1 (0/25 mm) dày 18 cm; bù vênh cấp phối đá dăm loại 2 (0/37,5 mm).</w:t>
      </w:r>
    </w:p>
    <w:p w14:paraId="272B99EA" w14:textId="77777777" w:rsidR="001E1567" w:rsidRPr="00900433" w:rsidRDefault="001E1567" w:rsidP="001E1567">
      <w:pPr>
        <w:ind w:firstLine="700"/>
        <w:rPr>
          <w:sz w:val="28"/>
          <w:szCs w:val="28"/>
        </w:rPr>
      </w:pPr>
      <w:r w:rsidRPr="00900433">
        <w:rPr>
          <w:sz w:val="28"/>
          <w:szCs w:val="28"/>
        </w:rPr>
        <w:t>- Kết cấu mặt đường tuyến nhánh (vuốt nối êm thuận): Bê tông nhựa chặt BTNC16 dày 5 cm, tưới dính bám 0,5 kg/m</w:t>
      </w:r>
      <w:r w:rsidRPr="00900433">
        <w:rPr>
          <w:sz w:val="28"/>
          <w:szCs w:val="28"/>
          <w:vertAlign w:val="superscript"/>
        </w:rPr>
        <w:t>2</w:t>
      </w:r>
      <w:r w:rsidRPr="00900433">
        <w:rPr>
          <w:sz w:val="28"/>
          <w:szCs w:val="28"/>
        </w:rPr>
        <w:t>; bê tông nhựa chặt BTNC19 dày 7 cm; bù vênh bê tông nhựa chặt BTNC19, tưới nhựa dính bám 0,5 kg/m</w:t>
      </w:r>
      <w:r w:rsidRPr="00900433">
        <w:rPr>
          <w:sz w:val="28"/>
          <w:szCs w:val="28"/>
          <w:vertAlign w:val="superscript"/>
        </w:rPr>
        <w:t>2</w:t>
      </w:r>
      <w:r w:rsidRPr="00900433">
        <w:rPr>
          <w:sz w:val="28"/>
          <w:szCs w:val="28"/>
        </w:rPr>
        <w:t xml:space="preserve"> (h</w:t>
      </w:r>
      <w:r w:rsidRPr="00900433">
        <w:rPr>
          <w:sz w:val="28"/>
          <w:szCs w:val="28"/>
          <w:vertAlign w:val="subscript"/>
        </w:rPr>
        <w:t>bù vênh</w:t>
      </w:r>
      <w:r w:rsidRPr="00900433">
        <w:rPr>
          <w:sz w:val="28"/>
          <w:szCs w:val="28"/>
        </w:rPr>
        <w:t xml:space="preserve"> </w:t>
      </w:r>
      <w:r w:rsidRPr="00900433">
        <w:rPr>
          <w:sz w:val="28"/>
          <w:szCs w:val="28"/>
          <w:u w:val="single"/>
        </w:rPr>
        <w:t>&lt;</w:t>
      </w:r>
      <w:r w:rsidRPr="00900433">
        <w:rPr>
          <w:sz w:val="28"/>
          <w:szCs w:val="28"/>
        </w:rPr>
        <w:t xml:space="preserve"> 8cm); tưới thấm bám 1,0 kg/m</w:t>
      </w:r>
      <w:r w:rsidRPr="00900433">
        <w:rPr>
          <w:sz w:val="28"/>
          <w:szCs w:val="28"/>
          <w:vertAlign w:val="superscript"/>
        </w:rPr>
        <w:t>2</w:t>
      </w:r>
      <w:r w:rsidRPr="00900433">
        <w:rPr>
          <w:sz w:val="28"/>
          <w:szCs w:val="28"/>
        </w:rPr>
        <w:t>, bù vênh cấp phối đá dăm loại 1 (8 cm &lt; h</w:t>
      </w:r>
      <w:r w:rsidRPr="00900433">
        <w:rPr>
          <w:sz w:val="28"/>
          <w:szCs w:val="28"/>
          <w:vertAlign w:val="subscript"/>
        </w:rPr>
        <w:t>bù vênh</w:t>
      </w:r>
      <w:r w:rsidRPr="00900433">
        <w:rPr>
          <w:sz w:val="28"/>
          <w:szCs w:val="28"/>
        </w:rPr>
        <w:t xml:space="preserve"> </w:t>
      </w:r>
      <w:r w:rsidRPr="00900433">
        <w:rPr>
          <w:sz w:val="28"/>
          <w:szCs w:val="28"/>
          <w:u w:val="single"/>
        </w:rPr>
        <w:t>&lt;</w:t>
      </w:r>
      <w:r w:rsidRPr="00900433">
        <w:rPr>
          <w:sz w:val="28"/>
          <w:szCs w:val="28"/>
        </w:rPr>
        <w:t xml:space="preserve"> 18 cm); tưới thấm bám </w:t>
      </w:r>
      <w:r w:rsidRPr="00900433">
        <w:rPr>
          <w:spacing w:val="-2"/>
          <w:sz w:val="28"/>
          <w:szCs w:val="28"/>
        </w:rPr>
        <w:t>1,0 kg/m</w:t>
      </w:r>
      <w:r w:rsidRPr="00900433">
        <w:rPr>
          <w:spacing w:val="-2"/>
          <w:sz w:val="28"/>
          <w:szCs w:val="28"/>
          <w:vertAlign w:val="superscript"/>
        </w:rPr>
        <w:t>2</w:t>
      </w:r>
      <w:r w:rsidRPr="00900433">
        <w:rPr>
          <w:spacing w:val="-2"/>
          <w:sz w:val="28"/>
          <w:szCs w:val="28"/>
        </w:rPr>
        <w:t>, cấp phối đá dăm loại 1 dày 18 cm, bù vênh cấp phối đá dăm loại 2 (h</w:t>
      </w:r>
      <w:r w:rsidRPr="00900433">
        <w:rPr>
          <w:sz w:val="28"/>
          <w:szCs w:val="28"/>
          <w:vertAlign w:val="subscript"/>
        </w:rPr>
        <w:t>bù vênh</w:t>
      </w:r>
      <w:r w:rsidRPr="00900433">
        <w:rPr>
          <w:spacing w:val="-2"/>
          <w:sz w:val="28"/>
          <w:szCs w:val="28"/>
        </w:rPr>
        <w:t xml:space="preserve"> &gt; 18 cm).</w:t>
      </w:r>
    </w:p>
    <w:p w14:paraId="4EBC6F5D" w14:textId="77777777" w:rsidR="001E1567" w:rsidRPr="00900433" w:rsidRDefault="001E1567" w:rsidP="001E1567">
      <w:pPr>
        <w:ind w:firstLine="700"/>
        <w:rPr>
          <w:sz w:val="28"/>
          <w:szCs w:val="28"/>
        </w:rPr>
      </w:pPr>
      <w:r w:rsidRPr="00900433">
        <w:rPr>
          <w:i/>
          <w:sz w:val="28"/>
          <w:szCs w:val="28"/>
        </w:rPr>
        <w:t xml:space="preserve">b) Hoàn trả hè đường tuyến nhánh 2, nhánh 3: </w:t>
      </w:r>
      <w:r w:rsidRPr="00900433">
        <w:rPr>
          <w:sz w:val="28"/>
          <w:szCs w:val="28"/>
        </w:rPr>
        <w:t>Hè đường lát gạch terrazo dày 3 cm trên lớp VXM M10 dày 2 cm, móng BTXM B12,5 dày 8 cm trên 01 lớp giấy dầu ngăn cách; bó vỉa vát B×H</w:t>
      </w:r>
      <w:proofErr w:type="gramStart"/>
      <w:r w:rsidRPr="00900433">
        <w:rPr>
          <w:sz w:val="28"/>
          <w:szCs w:val="28"/>
        </w:rPr>
        <w:t>=(</w:t>
      </w:r>
      <w:proofErr w:type="gramEnd"/>
      <w:r w:rsidRPr="00900433">
        <w:rPr>
          <w:sz w:val="28"/>
          <w:szCs w:val="28"/>
        </w:rPr>
        <w:t>26×23) cm bằng BTXM B25 đúc sẵn trên lớp VXM M10 dày 2 cm, móng BTXM B12,5 dày 10 cm; khoá hè (bó gáy hè) bằng gạch không nung xây VXM M7,5 dày 22 cm, trên lớp đệm đá dăm dày 10 cm.</w:t>
      </w:r>
    </w:p>
    <w:p w14:paraId="2E0915F5" w14:textId="77777777" w:rsidR="001E1567" w:rsidRPr="00900433" w:rsidRDefault="001E1567" w:rsidP="001E1567">
      <w:pPr>
        <w:ind w:firstLine="700"/>
        <w:rPr>
          <w:sz w:val="28"/>
          <w:szCs w:val="28"/>
        </w:rPr>
      </w:pPr>
      <w:r w:rsidRPr="00900433">
        <w:rPr>
          <w:i/>
          <w:sz w:val="28"/>
          <w:szCs w:val="28"/>
        </w:rPr>
        <w:t>c) Hoàn trả, cải tạo rãnh thoát nước các tuyến nhánh:</w:t>
      </w:r>
      <w:r w:rsidRPr="00900433">
        <w:rPr>
          <w:sz w:val="28"/>
          <w:szCs w:val="28"/>
        </w:rPr>
        <w:t xml:space="preserve"> vị trí đắp thấp tiến hành khoan cấy cốt thép nâng thành rãnh, đảm bảo cao độ mặt đường thiết kế; vị trí đắp cao hoàn trả hệ thống thoát nước bằng rãnh khẩu độ B=600 mm BTCT (20 ÷25) MPa đổ tại chỗ hoặc đúc sẵn, trên lớp đá dăm đệm dày 10 cm.</w:t>
      </w:r>
    </w:p>
    <w:p w14:paraId="2D9C234F" w14:textId="77777777" w:rsidR="001E1567" w:rsidRPr="00900433" w:rsidRDefault="001E1567" w:rsidP="001E1567">
      <w:pPr>
        <w:ind w:firstLine="700"/>
        <w:rPr>
          <w:spacing w:val="-6"/>
          <w:sz w:val="28"/>
          <w:szCs w:val="28"/>
        </w:rPr>
      </w:pPr>
      <w:r w:rsidRPr="00900433">
        <w:rPr>
          <w:i/>
          <w:spacing w:val="-6"/>
          <w:sz w:val="28"/>
          <w:szCs w:val="28"/>
        </w:rPr>
        <w:t xml:space="preserve">d) Hoàn trả, thay thế, di dời: </w:t>
      </w:r>
      <w:r w:rsidRPr="00900433">
        <w:rPr>
          <w:spacing w:val="-6"/>
          <w:sz w:val="28"/>
          <w:szCs w:val="28"/>
        </w:rPr>
        <w:t xml:space="preserve">tôn hộ lan, dải phân cách bê tông, cột đèn, van xả </w:t>
      </w:r>
      <w:proofErr w:type="gramStart"/>
      <w:r w:rsidRPr="00900433">
        <w:rPr>
          <w:spacing w:val="-6"/>
          <w:sz w:val="28"/>
          <w:szCs w:val="28"/>
        </w:rPr>
        <w:t>khí,...</w:t>
      </w:r>
      <w:proofErr w:type="gramEnd"/>
    </w:p>
    <w:p w14:paraId="5A03563B" w14:textId="77777777" w:rsidR="001E1567" w:rsidRPr="00900433" w:rsidRDefault="001E1567" w:rsidP="001E1567">
      <w:pPr>
        <w:ind w:firstLine="700"/>
        <w:rPr>
          <w:b/>
          <w:i/>
          <w:sz w:val="28"/>
          <w:szCs w:val="28"/>
        </w:rPr>
      </w:pPr>
      <w:r>
        <w:rPr>
          <w:b/>
          <w:i/>
          <w:sz w:val="28"/>
          <w:szCs w:val="28"/>
        </w:rPr>
        <w:t>4</w:t>
      </w:r>
      <w:r w:rsidRPr="00900433">
        <w:rPr>
          <w:b/>
          <w:i/>
          <w:sz w:val="28"/>
          <w:szCs w:val="28"/>
        </w:rPr>
        <w:t>.3.3. Tổ chức giao thông</w:t>
      </w:r>
    </w:p>
    <w:p w14:paraId="4D0FE8AE" w14:textId="77777777" w:rsidR="001E1567" w:rsidRPr="00900433" w:rsidRDefault="001E1567" w:rsidP="001E1567">
      <w:pPr>
        <w:ind w:firstLine="700"/>
        <w:rPr>
          <w:sz w:val="28"/>
          <w:szCs w:val="28"/>
        </w:rPr>
      </w:pPr>
      <w:r w:rsidRPr="00900433">
        <w:rPr>
          <w:sz w:val="28"/>
          <w:szCs w:val="28"/>
        </w:rPr>
        <w:t xml:space="preserve">- Sử dụng kết hợp hệ thống báo hiệu đường bộ, sơn kẻ đường và các cấu trúc Giá Long Môn (GLM) để hướng dẫn phương tiện, xe chạy đúng tốc độ cho phép, </w:t>
      </w:r>
      <w:r w:rsidRPr="00900433">
        <w:rPr>
          <w:sz w:val="28"/>
          <w:szCs w:val="28"/>
        </w:rPr>
        <w:lastRenderedPageBreak/>
        <w:t>giữ khoảng cách tối thiểu giữa các xe, chuyển làn theo biển báo và vạch sơn, và không dừng xe, đỗ xe trái phép. Cụ thể:</w:t>
      </w:r>
    </w:p>
    <w:p w14:paraId="765E2D7B" w14:textId="77777777" w:rsidR="001E1567" w:rsidRPr="00900433" w:rsidRDefault="001E1567" w:rsidP="001E1567">
      <w:pPr>
        <w:ind w:firstLine="700"/>
        <w:rPr>
          <w:sz w:val="28"/>
          <w:szCs w:val="28"/>
        </w:rPr>
      </w:pPr>
      <w:r w:rsidRPr="00900433">
        <w:rPr>
          <w:sz w:val="28"/>
          <w:szCs w:val="28"/>
        </w:rPr>
        <w:t>+ Bố trí báo hiệu đường bộ: Báo hiệu phía trước công trình KSTTX để thông báo khoảng cách đến vị trí vùng cân; báo hiệu tại lý trình đầu của công trình KSTTX.</w:t>
      </w:r>
    </w:p>
    <w:p w14:paraId="1603B276" w14:textId="77777777" w:rsidR="001E1567" w:rsidRPr="00900433" w:rsidRDefault="001E1567" w:rsidP="001E1567">
      <w:pPr>
        <w:ind w:firstLine="700"/>
        <w:rPr>
          <w:sz w:val="28"/>
          <w:szCs w:val="28"/>
        </w:rPr>
      </w:pPr>
      <w:r w:rsidRPr="00900433">
        <w:rPr>
          <w:sz w:val="28"/>
          <w:szCs w:val="28"/>
        </w:rPr>
        <w:t>+ Phân làn: Dùng kết hợp vạch sơn, đinh phản quang, trụ dẻo, dải phân cách cứng (bê tông, thép), dải phân cách thép để phân cách giữa các làn đường để dẫn hướng và bắt buộc các xe phải đi đúng làn đường; lắp đặt khung hạn chế chiều cao tại đoạn đầu vùng cân, trên làn xe thô sơ để ngăn xe ô tô các loại đi vào.</w:t>
      </w:r>
    </w:p>
    <w:p w14:paraId="26E20633" w14:textId="77777777" w:rsidR="001E1567" w:rsidRPr="00900433" w:rsidRDefault="001E1567" w:rsidP="001E1567">
      <w:pPr>
        <w:ind w:firstLine="700"/>
        <w:rPr>
          <w:sz w:val="28"/>
          <w:szCs w:val="28"/>
        </w:rPr>
      </w:pPr>
      <w:r w:rsidRPr="00900433">
        <w:rPr>
          <w:sz w:val="28"/>
          <w:szCs w:val="28"/>
        </w:rPr>
        <w:t>+ GLM số 1 (cách GLM 2 tối thiểu 50 m) và GLM số 2 (cách điểm đầu vùng cân tối thiểu 15 m) được lắp đặt các biển báo phân làn, tốc độ tối đa/tối thiểu và cự ly tối thiểu giữa các xe để tránh xe che khuất biển số hoặc làm sai lệch kết quả cân; GLM số 2 lắp đèn chớp vàng cảnh báo, camera nhận diện biển số xe và camera giám sát làn; GLM số 3 (cách điểm cuối vùng cân tối thiểu 15 m) lắp camera giám sát toàn cảnh, camera nhận diện biển số xe, camera giám sát làn và thiết bị giám sát tốc độ.</w:t>
      </w:r>
    </w:p>
    <w:p w14:paraId="4814A83F" w14:textId="77777777" w:rsidR="001E1567" w:rsidRPr="00900433" w:rsidRDefault="001E1567" w:rsidP="001E1567">
      <w:pPr>
        <w:ind w:firstLine="567"/>
        <w:rPr>
          <w:sz w:val="28"/>
          <w:szCs w:val="28"/>
        </w:rPr>
      </w:pPr>
      <w:r w:rsidRPr="00900433">
        <w:rPr>
          <w:sz w:val="28"/>
          <w:szCs w:val="28"/>
        </w:rPr>
        <w:t>- Thiết kế hệ thống đảm bảo an toàn giao thông theo Quy chuẩn kỹ thuật Quốc gia về báo hiệu đường bộ QCVN 41:2024/BGTVT và Tiêu chuẩn quốc gia về trang thiết bị an toàn giao thông đường bộ TCVN 12681:2019.</w:t>
      </w:r>
    </w:p>
    <w:p w14:paraId="5B874AEF" w14:textId="77777777" w:rsidR="001E1567" w:rsidRPr="00900433" w:rsidRDefault="001E1567" w:rsidP="001E1567">
      <w:pPr>
        <w:pStyle w:val="BodyText"/>
        <w:widowControl w:val="0"/>
        <w:numPr>
          <w:ilvl w:val="0"/>
          <w:numId w:val="2"/>
        </w:numPr>
        <w:tabs>
          <w:tab w:val="left" w:pos="967"/>
        </w:tabs>
        <w:suppressAutoHyphens w:val="0"/>
        <w:spacing w:before="120" w:after="120"/>
        <w:ind w:right="0" w:firstLine="567"/>
        <w:rPr>
          <w:sz w:val="28"/>
          <w:szCs w:val="28"/>
          <w:lang w:val="nl-NL"/>
        </w:rPr>
      </w:pPr>
      <w:r w:rsidRPr="00900433">
        <w:rPr>
          <w:b/>
          <w:bCs/>
          <w:spacing w:val="0"/>
          <w:sz w:val="28"/>
          <w:szCs w:val="28"/>
          <w:lang w:val="nl-NL"/>
        </w:rPr>
        <w:t>Giới thiệu về gói thầu</w:t>
      </w:r>
    </w:p>
    <w:p w14:paraId="705288B0" w14:textId="77777777" w:rsidR="001E1567" w:rsidRPr="00744124" w:rsidRDefault="001E1567" w:rsidP="001E1567">
      <w:pPr>
        <w:pStyle w:val="BodyText"/>
        <w:spacing w:before="120" w:after="120"/>
        <w:ind w:firstLine="567"/>
        <w:rPr>
          <w:spacing w:val="0"/>
          <w:sz w:val="28"/>
          <w:szCs w:val="28"/>
          <w:lang w:val="nl-NL"/>
        </w:rPr>
      </w:pPr>
      <w:r w:rsidRPr="00FD5340">
        <w:rPr>
          <w:spacing w:val="0"/>
          <w:sz w:val="28"/>
          <w:szCs w:val="28"/>
          <w:lang w:val="nl-NL"/>
        </w:rPr>
        <w:t xml:space="preserve">Tên gói thầu: </w:t>
      </w:r>
      <w:r w:rsidRPr="00744124">
        <w:rPr>
          <w:spacing w:val="0"/>
          <w:sz w:val="28"/>
          <w:szCs w:val="28"/>
          <w:lang w:val="nl-NL"/>
        </w:rPr>
        <w:t>Gói thầu số 09: Tư vấn giám sát gói thầu số 08</w:t>
      </w:r>
    </w:p>
    <w:p w14:paraId="2952CE49" w14:textId="77777777" w:rsidR="001E1567" w:rsidRPr="00744124" w:rsidRDefault="001E1567" w:rsidP="001E1567">
      <w:pPr>
        <w:pStyle w:val="BodyText"/>
        <w:spacing w:before="120" w:after="120"/>
        <w:ind w:firstLine="567"/>
        <w:rPr>
          <w:spacing w:val="0"/>
          <w:sz w:val="28"/>
          <w:szCs w:val="28"/>
          <w:lang w:val="nl-NL"/>
        </w:rPr>
      </w:pPr>
      <w:r w:rsidRPr="00FD5340">
        <w:rPr>
          <w:spacing w:val="0"/>
          <w:sz w:val="28"/>
          <w:szCs w:val="28"/>
          <w:lang w:val="nl-NL"/>
        </w:rPr>
        <w:t>Hình thức lựa chọn nhà thầu: Đấu thầu rộng rãi, trong nước, qua mạng.</w:t>
      </w:r>
    </w:p>
    <w:p w14:paraId="68C09438" w14:textId="77777777" w:rsidR="001E1567" w:rsidRPr="00744124" w:rsidRDefault="001E1567" w:rsidP="001E1567">
      <w:pPr>
        <w:pStyle w:val="BodyText"/>
        <w:spacing w:before="120" w:after="120"/>
        <w:ind w:firstLine="567"/>
        <w:rPr>
          <w:spacing w:val="0"/>
          <w:sz w:val="28"/>
          <w:szCs w:val="28"/>
          <w:lang w:val="nl-NL"/>
        </w:rPr>
      </w:pPr>
      <w:r w:rsidRPr="00FD5340">
        <w:rPr>
          <w:spacing w:val="0"/>
          <w:sz w:val="28"/>
          <w:szCs w:val="28"/>
          <w:lang w:val="nl-NL"/>
        </w:rPr>
        <w:t>Phương thức đấu thầu: Một giai đoạn, Hai túi hồ sơ</w:t>
      </w:r>
    </w:p>
    <w:p w14:paraId="3F03100B" w14:textId="77777777" w:rsidR="001E1567" w:rsidRPr="00744124" w:rsidRDefault="001E1567" w:rsidP="001E1567">
      <w:pPr>
        <w:pStyle w:val="BodyText"/>
        <w:spacing w:before="120" w:after="120"/>
        <w:ind w:firstLine="567"/>
        <w:rPr>
          <w:spacing w:val="0"/>
          <w:sz w:val="28"/>
          <w:szCs w:val="28"/>
          <w:lang w:val="nl-NL"/>
        </w:rPr>
      </w:pPr>
      <w:r w:rsidRPr="00FD5340">
        <w:rPr>
          <w:spacing w:val="0"/>
          <w:sz w:val="28"/>
          <w:szCs w:val="28"/>
          <w:lang w:val="nl-NL"/>
        </w:rPr>
        <w:t>Loại hợp đồng: Trọn gói</w:t>
      </w:r>
    </w:p>
    <w:p w14:paraId="738B5ED1" w14:textId="77777777" w:rsidR="001E1567" w:rsidRPr="00744124" w:rsidRDefault="001E1567" w:rsidP="001E1567">
      <w:pPr>
        <w:pStyle w:val="BodyText"/>
        <w:spacing w:before="120" w:after="120"/>
        <w:ind w:firstLine="567"/>
        <w:rPr>
          <w:spacing w:val="0"/>
          <w:sz w:val="28"/>
          <w:szCs w:val="28"/>
          <w:lang w:val="nl-NL"/>
        </w:rPr>
      </w:pPr>
      <w:r w:rsidRPr="00FD5340">
        <w:rPr>
          <w:spacing w:val="0"/>
          <w:sz w:val="28"/>
          <w:szCs w:val="28"/>
          <w:lang w:val="nl-NL"/>
        </w:rPr>
        <w:t xml:space="preserve">Thời gian thực hiện hợp đồng: </w:t>
      </w:r>
      <w:r>
        <w:rPr>
          <w:spacing w:val="0"/>
          <w:sz w:val="28"/>
          <w:szCs w:val="28"/>
          <w:lang w:val="nl-NL"/>
        </w:rPr>
        <w:t>180</w:t>
      </w:r>
      <w:r w:rsidRPr="00FD5340">
        <w:rPr>
          <w:spacing w:val="0"/>
          <w:sz w:val="28"/>
          <w:szCs w:val="28"/>
          <w:lang w:val="nl-NL"/>
        </w:rPr>
        <w:t xml:space="preserve"> ngày</w:t>
      </w:r>
    </w:p>
    <w:p w14:paraId="44C17C8D" w14:textId="77777777" w:rsidR="001E1567" w:rsidRPr="00FD5340" w:rsidRDefault="001E1567" w:rsidP="001E1567">
      <w:pPr>
        <w:pStyle w:val="BodyText"/>
        <w:widowControl w:val="0"/>
        <w:numPr>
          <w:ilvl w:val="0"/>
          <w:numId w:val="1"/>
        </w:numPr>
        <w:tabs>
          <w:tab w:val="left" w:pos="851"/>
          <w:tab w:val="left" w:pos="993"/>
          <w:tab w:val="left" w:pos="1314"/>
        </w:tabs>
        <w:suppressAutoHyphens w:val="0"/>
        <w:spacing w:before="120" w:after="120"/>
        <w:ind w:right="0" w:firstLine="567"/>
        <w:rPr>
          <w:b/>
          <w:bCs/>
          <w:spacing w:val="0"/>
          <w:sz w:val="28"/>
          <w:szCs w:val="28"/>
        </w:rPr>
      </w:pPr>
      <w:bookmarkStart w:id="0" w:name="bookmark39"/>
      <w:bookmarkEnd w:id="0"/>
      <w:r w:rsidRPr="00FD5340">
        <w:rPr>
          <w:b/>
          <w:bCs/>
          <w:spacing w:val="0"/>
          <w:sz w:val="28"/>
          <w:szCs w:val="28"/>
        </w:rPr>
        <w:t>Phạm vi công việc:</w:t>
      </w:r>
    </w:p>
    <w:p w14:paraId="4DD3F42E" w14:textId="77777777" w:rsidR="001E1567" w:rsidRPr="00D762CA" w:rsidRDefault="001E1567" w:rsidP="001E1567">
      <w:pPr>
        <w:pStyle w:val="BodyText"/>
        <w:spacing w:before="120" w:after="120"/>
        <w:ind w:firstLine="567"/>
        <w:rPr>
          <w:sz w:val="28"/>
          <w:szCs w:val="28"/>
        </w:rPr>
      </w:pPr>
      <w:bookmarkStart w:id="1" w:name="bookmark40"/>
      <w:bookmarkEnd w:id="1"/>
      <w:r w:rsidRPr="00D762CA">
        <w:rPr>
          <w:spacing w:val="0"/>
          <w:sz w:val="28"/>
          <w:szCs w:val="28"/>
        </w:rPr>
        <w:t>Nhà thầu Giám sát thi công phải thực hiện công việc theo đúng quy định của Luật Xây dựng và các tiêu chuẩn, quy chuẩn xây dựng hiện hành của pháp luật.</w:t>
      </w:r>
    </w:p>
    <w:p w14:paraId="574B6313" w14:textId="77777777" w:rsidR="001E1567" w:rsidRPr="00D762CA" w:rsidRDefault="001E1567" w:rsidP="001E1567">
      <w:pPr>
        <w:pStyle w:val="BodyText"/>
        <w:spacing w:before="120" w:after="120"/>
        <w:ind w:firstLine="567"/>
        <w:rPr>
          <w:sz w:val="28"/>
          <w:szCs w:val="28"/>
        </w:rPr>
      </w:pPr>
      <w:r w:rsidRPr="00D762CA">
        <w:rPr>
          <w:spacing w:val="0"/>
          <w:sz w:val="28"/>
          <w:szCs w:val="28"/>
        </w:rPr>
        <w:t>Thời gian các chuyên gia do nhà thầu tư vấn đề xuất sẽ được huy động và tiến hành công việc ngay khi hợp đồng có hiệu lực.</w:t>
      </w:r>
    </w:p>
    <w:p w14:paraId="0224ABFE" w14:textId="77777777" w:rsidR="001E1567" w:rsidRPr="00FD5340" w:rsidRDefault="001E1567" w:rsidP="001E1567">
      <w:pPr>
        <w:pStyle w:val="BodyText"/>
        <w:widowControl w:val="0"/>
        <w:numPr>
          <w:ilvl w:val="0"/>
          <w:numId w:val="1"/>
        </w:numPr>
        <w:tabs>
          <w:tab w:val="left" w:pos="1134"/>
          <w:tab w:val="left" w:pos="1314"/>
        </w:tabs>
        <w:suppressAutoHyphens w:val="0"/>
        <w:spacing w:before="120" w:after="120"/>
        <w:ind w:right="0" w:firstLine="567"/>
        <w:rPr>
          <w:b/>
          <w:bCs/>
          <w:spacing w:val="0"/>
          <w:sz w:val="28"/>
          <w:szCs w:val="28"/>
        </w:rPr>
      </w:pPr>
      <w:r w:rsidRPr="00FD5340">
        <w:rPr>
          <w:b/>
          <w:bCs/>
          <w:spacing w:val="0"/>
          <w:sz w:val="28"/>
          <w:szCs w:val="28"/>
        </w:rPr>
        <w:t>Báo cáo và thời gian thực hiện:</w:t>
      </w:r>
    </w:p>
    <w:p w14:paraId="53E6EBD1" w14:textId="77777777" w:rsidR="001E1567" w:rsidRPr="00D762CA" w:rsidRDefault="001E1567" w:rsidP="001E1567">
      <w:pPr>
        <w:pStyle w:val="BodyText"/>
        <w:spacing w:before="120" w:after="120"/>
        <w:ind w:firstLine="567"/>
        <w:rPr>
          <w:sz w:val="28"/>
          <w:szCs w:val="28"/>
        </w:rPr>
      </w:pPr>
      <w:bookmarkStart w:id="2" w:name="bookmark48"/>
      <w:bookmarkEnd w:id="2"/>
      <w:r w:rsidRPr="00D762CA">
        <w:rPr>
          <w:b/>
          <w:bCs/>
          <w:spacing w:val="0"/>
          <w:sz w:val="28"/>
          <w:szCs w:val="28"/>
        </w:rPr>
        <w:t xml:space="preserve">+ </w:t>
      </w:r>
      <w:r w:rsidRPr="00D762CA">
        <w:rPr>
          <w:spacing w:val="0"/>
          <w:sz w:val="28"/>
          <w:szCs w:val="28"/>
        </w:rPr>
        <w:t>Kế hoạch thực hiện gói thầu;</w:t>
      </w:r>
    </w:p>
    <w:p w14:paraId="5CF181C6" w14:textId="77777777" w:rsidR="001E1567" w:rsidRPr="00D762CA" w:rsidRDefault="001E1567" w:rsidP="001E1567">
      <w:pPr>
        <w:pStyle w:val="BodyText"/>
        <w:spacing w:before="120" w:after="120"/>
        <w:ind w:firstLine="567"/>
        <w:rPr>
          <w:sz w:val="28"/>
          <w:szCs w:val="28"/>
        </w:rPr>
      </w:pPr>
      <w:r w:rsidRPr="00D762CA">
        <w:rPr>
          <w:b/>
          <w:bCs/>
          <w:spacing w:val="0"/>
          <w:sz w:val="28"/>
          <w:szCs w:val="28"/>
        </w:rPr>
        <w:t xml:space="preserve">+ </w:t>
      </w:r>
      <w:r w:rsidRPr="00D762CA">
        <w:rPr>
          <w:spacing w:val="0"/>
          <w:sz w:val="28"/>
          <w:szCs w:val="28"/>
        </w:rPr>
        <w:t>Các căn cứ pháp lý thực hiện công việc tư vấn giám sát và Quyết định thành lập đoàn tư vấn giám sát (hoặc cơ cấu có chức năng tương đương) trong đó phải nêu rõ:</w:t>
      </w:r>
    </w:p>
    <w:p w14:paraId="380C7966" w14:textId="77777777" w:rsidR="001E1567" w:rsidRPr="00D762CA" w:rsidRDefault="001E1567" w:rsidP="001E1567">
      <w:pPr>
        <w:pStyle w:val="BodyText"/>
        <w:widowControl w:val="0"/>
        <w:numPr>
          <w:ilvl w:val="0"/>
          <w:numId w:val="3"/>
        </w:numPr>
        <w:tabs>
          <w:tab w:val="left" w:pos="572"/>
        </w:tabs>
        <w:suppressAutoHyphens w:val="0"/>
        <w:spacing w:before="120" w:after="120"/>
        <w:ind w:right="0" w:firstLine="567"/>
        <w:rPr>
          <w:sz w:val="28"/>
          <w:szCs w:val="28"/>
        </w:rPr>
      </w:pPr>
      <w:r w:rsidRPr="00D762CA">
        <w:rPr>
          <w:spacing w:val="0"/>
          <w:sz w:val="28"/>
          <w:szCs w:val="28"/>
        </w:rPr>
        <w:t>Số chuyên gia tham gia gói thầu;</w:t>
      </w:r>
    </w:p>
    <w:p w14:paraId="519A0A2E" w14:textId="77777777" w:rsidR="001E1567" w:rsidRPr="00D762CA" w:rsidRDefault="001E1567" w:rsidP="001E1567">
      <w:pPr>
        <w:pStyle w:val="BodyText"/>
        <w:widowControl w:val="0"/>
        <w:numPr>
          <w:ilvl w:val="0"/>
          <w:numId w:val="3"/>
        </w:numPr>
        <w:tabs>
          <w:tab w:val="left" w:pos="565"/>
        </w:tabs>
        <w:suppressAutoHyphens w:val="0"/>
        <w:spacing w:before="120" w:after="120"/>
        <w:ind w:right="0" w:firstLine="567"/>
        <w:rPr>
          <w:sz w:val="28"/>
          <w:szCs w:val="28"/>
        </w:rPr>
      </w:pPr>
      <w:r w:rsidRPr="00D762CA">
        <w:rPr>
          <w:spacing w:val="0"/>
          <w:sz w:val="28"/>
          <w:szCs w:val="28"/>
        </w:rPr>
        <w:t xml:space="preserve">Danh sách các chuyên gia, chức vụ và quyền hạn của mỗi chuyên gia, dự kiến </w:t>
      </w:r>
      <w:r w:rsidRPr="00D762CA">
        <w:rPr>
          <w:spacing w:val="0"/>
          <w:sz w:val="28"/>
          <w:szCs w:val="28"/>
        </w:rPr>
        <w:lastRenderedPageBreak/>
        <w:t>thời gian công tác, địa điểm công tác của từng chuyên gia;</w:t>
      </w:r>
    </w:p>
    <w:p w14:paraId="1D857588" w14:textId="77777777" w:rsidR="001E1567" w:rsidRPr="00D762CA" w:rsidRDefault="001E1567" w:rsidP="001E1567">
      <w:pPr>
        <w:pStyle w:val="BodyText"/>
        <w:spacing w:before="120" w:after="120"/>
        <w:ind w:firstLine="567"/>
        <w:rPr>
          <w:sz w:val="28"/>
          <w:szCs w:val="28"/>
        </w:rPr>
      </w:pPr>
      <w:r w:rsidRPr="00D762CA">
        <w:rPr>
          <w:b/>
          <w:bCs/>
          <w:spacing w:val="0"/>
          <w:sz w:val="28"/>
          <w:szCs w:val="28"/>
        </w:rPr>
        <w:t xml:space="preserve">+ </w:t>
      </w:r>
      <w:r w:rsidRPr="00D762CA">
        <w:rPr>
          <w:spacing w:val="0"/>
          <w:sz w:val="28"/>
          <w:szCs w:val="28"/>
        </w:rPr>
        <w:t>Tiến độ nộp các báo cáo;</w:t>
      </w:r>
    </w:p>
    <w:p w14:paraId="23FAAEAF" w14:textId="77777777" w:rsidR="001E1567" w:rsidRPr="00D762CA" w:rsidRDefault="001E1567" w:rsidP="001E1567">
      <w:pPr>
        <w:pStyle w:val="BodyText"/>
        <w:spacing w:before="120" w:after="120"/>
        <w:ind w:firstLine="567"/>
        <w:rPr>
          <w:sz w:val="28"/>
          <w:szCs w:val="28"/>
        </w:rPr>
      </w:pPr>
      <w:r w:rsidRPr="00D762CA">
        <w:rPr>
          <w:b/>
          <w:bCs/>
          <w:spacing w:val="0"/>
          <w:sz w:val="28"/>
          <w:szCs w:val="28"/>
        </w:rPr>
        <w:t xml:space="preserve">+ </w:t>
      </w:r>
      <w:r w:rsidRPr="00D762CA">
        <w:rPr>
          <w:spacing w:val="0"/>
          <w:sz w:val="28"/>
          <w:szCs w:val="28"/>
        </w:rPr>
        <w:t>Nhà thầu phải dự kiến lập các báo cáo trình Chủ đầu tư bao gồm Báo cáo thường kỳ, Báo cáo nghiệm thu từng hạng mục và Báo cáo đột xuất.</w:t>
      </w:r>
    </w:p>
    <w:p w14:paraId="630C45F7" w14:textId="77777777" w:rsidR="001E1567" w:rsidRPr="00D762CA" w:rsidRDefault="001E1567" w:rsidP="001E1567">
      <w:pPr>
        <w:pStyle w:val="BodyText"/>
        <w:spacing w:before="120" w:after="120"/>
        <w:ind w:firstLine="567"/>
        <w:rPr>
          <w:sz w:val="28"/>
          <w:szCs w:val="28"/>
        </w:rPr>
      </w:pPr>
      <w:r w:rsidRPr="00D762CA">
        <w:rPr>
          <w:b/>
          <w:bCs/>
          <w:spacing w:val="0"/>
          <w:sz w:val="28"/>
          <w:szCs w:val="28"/>
        </w:rPr>
        <w:t>Báo cáo thường kỳ:</w:t>
      </w:r>
    </w:p>
    <w:p w14:paraId="68E4FF20" w14:textId="77777777" w:rsidR="001E1567" w:rsidRPr="00D762CA" w:rsidRDefault="001E1567" w:rsidP="001E1567">
      <w:pPr>
        <w:pStyle w:val="BodyText"/>
        <w:widowControl w:val="0"/>
        <w:numPr>
          <w:ilvl w:val="0"/>
          <w:numId w:val="3"/>
        </w:numPr>
        <w:tabs>
          <w:tab w:val="left" w:pos="555"/>
        </w:tabs>
        <w:suppressAutoHyphens w:val="0"/>
        <w:spacing w:before="120" w:after="120"/>
        <w:ind w:right="0" w:firstLine="567"/>
        <w:rPr>
          <w:sz w:val="28"/>
          <w:szCs w:val="28"/>
        </w:rPr>
      </w:pPr>
      <w:r w:rsidRPr="00D762CA">
        <w:rPr>
          <w:spacing w:val="0"/>
          <w:sz w:val="28"/>
          <w:szCs w:val="28"/>
        </w:rPr>
        <w:t>Thời gian nộp Báo cáo thường kỳ: Nhà thầu phải nộp Báo cáo thường kỳ cho Chủ đầu tư theo thời hạn bắt buộc là 1tháng/1 báo cáo. Báo cáo phải được nộp vào đầu mỗi tháng, ngày cụ thể do nhà thầu tư vấn đề xuất;</w:t>
      </w:r>
    </w:p>
    <w:p w14:paraId="341C6C22" w14:textId="77777777" w:rsidR="001E1567" w:rsidRPr="00D762CA" w:rsidRDefault="001E1567" w:rsidP="001E1567">
      <w:pPr>
        <w:pStyle w:val="BodyText"/>
        <w:widowControl w:val="0"/>
        <w:numPr>
          <w:ilvl w:val="0"/>
          <w:numId w:val="3"/>
        </w:numPr>
        <w:tabs>
          <w:tab w:val="left" w:pos="565"/>
        </w:tabs>
        <w:suppressAutoHyphens w:val="0"/>
        <w:spacing w:before="120" w:after="120"/>
        <w:ind w:right="0" w:firstLine="567"/>
        <w:rPr>
          <w:sz w:val="28"/>
          <w:szCs w:val="28"/>
        </w:rPr>
      </w:pPr>
      <w:r w:rsidRPr="00D762CA">
        <w:rPr>
          <w:spacing w:val="0"/>
          <w:sz w:val="28"/>
          <w:szCs w:val="28"/>
        </w:rPr>
        <w:t xml:space="preserve">Nội dung của Báo cáo thường kỳ: Báo cáo thường kỳ phải tổng hợp được tình hình thực hiện dự án về tiến độ, chất lượng... phải chỉ rõ các công việc đã hoàn thành được nghiệm thu, thực hiện đúng chất lượng, tiến độ; những công việc chưa đảm bảo chất lượng, tiến độ. Phải chỉ rõ được nguyên nhân và có giải pháp xử lý cho các công việc chưa thực hiện đúng chất lượng, tiến độ. Ngoài ra nhà thầu phải có đánh giá về chất lượng, khối lượng, tiến độ, </w:t>
      </w:r>
      <w:proofErr w:type="gramStart"/>
      <w:r w:rsidRPr="00D762CA">
        <w:rPr>
          <w:spacing w:val="0"/>
          <w:sz w:val="28"/>
          <w:szCs w:val="28"/>
        </w:rPr>
        <w:t>an</w:t>
      </w:r>
      <w:proofErr w:type="gramEnd"/>
      <w:r w:rsidRPr="00D762CA">
        <w:rPr>
          <w:spacing w:val="0"/>
          <w:sz w:val="28"/>
          <w:szCs w:val="28"/>
        </w:rPr>
        <w:t xml:space="preserve"> toàn lao động và bảo vệ môi trường của các nhà thầu thi công xây dựng và lắp đặt thiết bị trong giai đoạn báo cáo;</w:t>
      </w:r>
    </w:p>
    <w:p w14:paraId="416D1158" w14:textId="77777777" w:rsidR="001E1567" w:rsidRPr="00D762CA" w:rsidRDefault="001E1567" w:rsidP="001E1567">
      <w:pPr>
        <w:pStyle w:val="BodyText"/>
        <w:spacing w:before="120" w:after="120"/>
        <w:ind w:firstLine="567"/>
        <w:rPr>
          <w:sz w:val="28"/>
          <w:szCs w:val="28"/>
        </w:rPr>
      </w:pPr>
      <w:r w:rsidRPr="00D762CA">
        <w:rPr>
          <w:spacing w:val="0"/>
          <w:sz w:val="28"/>
          <w:szCs w:val="28"/>
        </w:rPr>
        <w:t>Báo cáo thường kỳ phải nêu rõ các mốc thời gian quan trọng và trình bày đủ kế hoạch trong kỳ, dự trù kế hoạch của kỳ tiếp theo...</w:t>
      </w:r>
    </w:p>
    <w:p w14:paraId="103F3144" w14:textId="77777777" w:rsidR="001E1567" w:rsidRPr="00D762CA" w:rsidRDefault="001E1567" w:rsidP="001E1567">
      <w:pPr>
        <w:pStyle w:val="BodyText"/>
        <w:spacing w:before="120" w:after="120"/>
        <w:ind w:firstLine="567"/>
        <w:rPr>
          <w:sz w:val="28"/>
          <w:szCs w:val="28"/>
        </w:rPr>
      </w:pPr>
      <w:r w:rsidRPr="00D762CA">
        <w:rPr>
          <w:b/>
          <w:bCs/>
          <w:spacing w:val="0"/>
          <w:sz w:val="28"/>
          <w:szCs w:val="28"/>
        </w:rPr>
        <w:t xml:space="preserve">Báo cáo nghiệm thu từng hạng mục: </w:t>
      </w:r>
      <w:r w:rsidRPr="00D762CA">
        <w:rPr>
          <w:spacing w:val="0"/>
          <w:sz w:val="28"/>
          <w:szCs w:val="28"/>
        </w:rPr>
        <w:t>Sau mỗi công đoạn thi công nhà thầu phải thực hiện công tác nghiệm thu bộ phận, hạng Mục công trình đã hoàn thành và phải lập báo cáo để đánh giá về mặt kỹ thuật và chất lượng cũng như khối lượng công việc đã hoàn thành, nhận xét và đưa ra phương hướng thực hiện các công đoạn tiếp theo.</w:t>
      </w:r>
    </w:p>
    <w:p w14:paraId="6351BE70" w14:textId="77777777" w:rsidR="001E1567" w:rsidRPr="00D762CA" w:rsidRDefault="001E1567" w:rsidP="001E1567">
      <w:pPr>
        <w:pStyle w:val="BodyText"/>
        <w:spacing w:before="120" w:after="120"/>
        <w:ind w:firstLine="567"/>
        <w:rPr>
          <w:sz w:val="28"/>
          <w:szCs w:val="28"/>
        </w:rPr>
      </w:pPr>
      <w:r w:rsidRPr="00D762CA">
        <w:rPr>
          <w:b/>
          <w:bCs/>
          <w:spacing w:val="0"/>
          <w:sz w:val="28"/>
          <w:szCs w:val="28"/>
        </w:rPr>
        <w:t>Báo cáo đột xuất:</w:t>
      </w:r>
    </w:p>
    <w:p w14:paraId="5203CC7E" w14:textId="77777777" w:rsidR="001E1567" w:rsidRPr="00D762CA" w:rsidRDefault="001E1567" w:rsidP="001E1567">
      <w:pPr>
        <w:pStyle w:val="BodyText"/>
        <w:widowControl w:val="0"/>
        <w:numPr>
          <w:ilvl w:val="0"/>
          <w:numId w:val="3"/>
        </w:numPr>
        <w:tabs>
          <w:tab w:val="left" w:pos="555"/>
        </w:tabs>
        <w:suppressAutoHyphens w:val="0"/>
        <w:spacing w:before="120" w:after="120"/>
        <w:ind w:right="0" w:firstLine="567"/>
        <w:rPr>
          <w:sz w:val="28"/>
          <w:szCs w:val="28"/>
        </w:rPr>
      </w:pPr>
      <w:r w:rsidRPr="00D762CA">
        <w:rPr>
          <w:spacing w:val="0"/>
          <w:sz w:val="28"/>
          <w:szCs w:val="28"/>
        </w:rPr>
        <w:t>Báo cáo đột xuất phải được nhà thầu tư vấn lập và trình Chủ đầu tư khi có các sự kiện đột xuất hoặc theo yêu cầu của Chủ đầu tư. Trường hợp theo yêu cầu của Chủ đầu tư thì nhà thầu sẽ được nêu rõ lý do chính đáng;</w:t>
      </w:r>
    </w:p>
    <w:p w14:paraId="76C8D6A3" w14:textId="77777777" w:rsidR="001E1567" w:rsidRPr="00D762CA" w:rsidRDefault="001E1567" w:rsidP="001E1567">
      <w:pPr>
        <w:pStyle w:val="BodyText"/>
        <w:spacing w:before="120" w:after="120"/>
        <w:ind w:firstLine="567"/>
        <w:rPr>
          <w:spacing w:val="0"/>
          <w:sz w:val="28"/>
          <w:szCs w:val="28"/>
        </w:rPr>
      </w:pPr>
      <w:r w:rsidRPr="00D762CA">
        <w:rPr>
          <w:spacing w:val="0"/>
          <w:sz w:val="28"/>
          <w:szCs w:val="28"/>
        </w:rPr>
        <w:t>Thời gian nộp Báo cáo đột xuất: Trong vòng 24 giờ đồng hồ sau khi xảy ra sự kiện đột xuất hoặc được Chủ đầu tư yêu cầu. Trường hợp khẩn cấp thì trong vòng 04 giờ hoặc ngắn hơn tùy điều kiện cụ thể sau khi xảy ra sự kiện đột xuất hoặc được Chủ đầu tư yêu cầu;</w:t>
      </w:r>
    </w:p>
    <w:p w14:paraId="11DF1564" w14:textId="77777777" w:rsidR="001E1567" w:rsidRPr="00D762CA" w:rsidRDefault="001E1567" w:rsidP="001E1567">
      <w:pPr>
        <w:pStyle w:val="BodyText"/>
        <w:spacing w:before="120" w:after="120"/>
        <w:ind w:firstLine="567"/>
        <w:rPr>
          <w:spacing w:val="0"/>
          <w:sz w:val="28"/>
          <w:szCs w:val="28"/>
        </w:rPr>
      </w:pPr>
      <w:r w:rsidRPr="00D762CA">
        <w:rPr>
          <w:spacing w:val="0"/>
          <w:sz w:val="28"/>
          <w:szCs w:val="28"/>
        </w:rPr>
        <w:t>- Nội dung Báo cáo đột xuất:</w:t>
      </w:r>
    </w:p>
    <w:p w14:paraId="36445FA4" w14:textId="77777777" w:rsidR="001E1567" w:rsidRPr="00D762CA" w:rsidRDefault="001E1567" w:rsidP="001E1567">
      <w:pPr>
        <w:pStyle w:val="BodyText"/>
        <w:spacing w:before="120" w:after="120"/>
        <w:ind w:firstLine="567"/>
        <w:rPr>
          <w:spacing w:val="0"/>
          <w:sz w:val="28"/>
          <w:szCs w:val="28"/>
        </w:rPr>
      </w:pPr>
      <w:r w:rsidRPr="00D762CA">
        <w:rPr>
          <w:spacing w:val="0"/>
          <w:sz w:val="28"/>
          <w:szCs w:val="28"/>
        </w:rPr>
        <w:t>Trường hợp xảy ra sự kiện đột xuất: Báo cáọ phải nêu rõ nguyên nhân, và có đề xuất giải pháp để Chủ đầu tư căn cứ</w:t>
      </w:r>
    </w:p>
    <w:p w14:paraId="7815E6E6" w14:textId="77777777" w:rsidR="001E1567" w:rsidRPr="00D762CA" w:rsidRDefault="001E1567" w:rsidP="001E1567">
      <w:pPr>
        <w:pStyle w:val="BodyText"/>
        <w:spacing w:before="120" w:after="120"/>
        <w:ind w:firstLine="567"/>
        <w:rPr>
          <w:spacing w:val="0"/>
          <w:sz w:val="28"/>
          <w:szCs w:val="28"/>
        </w:rPr>
      </w:pPr>
      <w:r w:rsidRPr="00D762CA">
        <w:rPr>
          <w:spacing w:val="0"/>
          <w:sz w:val="28"/>
          <w:szCs w:val="28"/>
        </w:rPr>
        <w:t>Trường hợp theo yêu cầu của Chủ đầu tư: Nội dung báo cáo phải đáp ứng các điều kiện cụ thể trong yêu cầu của Chủ đầu tư.</w:t>
      </w:r>
    </w:p>
    <w:p w14:paraId="7B47FAF7" w14:textId="77777777" w:rsidR="001E1567" w:rsidRPr="00D762CA" w:rsidRDefault="001E1567" w:rsidP="001E1567">
      <w:pPr>
        <w:pStyle w:val="BodyText"/>
        <w:spacing w:before="120" w:after="120"/>
        <w:ind w:firstLine="567"/>
        <w:rPr>
          <w:spacing w:val="0"/>
          <w:sz w:val="28"/>
          <w:szCs w:val="28"/>
        </w:rPr>
      </w:pPr>
      <w:r w:rsidRPr="00D762CA">
        <w:rPr>
          <w:spacing w:val="0"/>
          <w:sz w:val="28"/>
          <w:szCs w:val="28"/>
        </w:rPr>
        <w:lastRenderedPageBreak/>
        <w:t>Ngoài các báo cáo bắt buộc theo yêu cầu trên nhà thầu có thể đề xuất thêm các sáng kiến nhằm hoàn thiện hơn nữa về nội dung, thời gian và tiến độ nộp báo cáo để dự án triển khai đạt hiệu quả.</w:t>
      </w:r>
    </w:p>
    <w:p w14:paraId="1373C7D9" w14:textId="77777777" w:rsidR="001E1567" w:rsidRPr="00D762CA" w:rsidRDefault="001E1567" w:rsidP="001E1567">
      <w:pPr>
        <w:pStyle w:val="BodyText"/>
        <w:widowControl w:val="0"/>
        <w:numPr>
          <w:ilvl w:val="0"/>
          <w:numId w:val="1"/>
        </w:numPr>
        <w:tabs>
          <w:tab w:val="left" w:pos="1134"/>
          <w:tab w:val="left" w:pos="1300"/>
        </w:tabs>
        <w:suppressAutoHyphens w:val="0"/>
        <w:spacing w:before="120" w:after="120"/>
        <w:ind w:right="0" w:firstLine="567"/>
        <w:rPr>
          <w:b/>
          <w:bCs/>
          <w:spacing w:val="0"/>
          <w:sz w:val="28"/>
          <w:szCs w:val="28"/>
        </w:rPr>
      </w:pPr>
      <w:r w:rsidRPr="00D762CA">
        <w:rPr>
          <w:b/>
          <w:bCs/>
          <w:spacing w:val="0"/>
          <w:sz w:val="28"/>
          <w:szCs w:val="28"/>
        </w:rPr>
        <w:t>Kinh nghiệm và nhân sự của nhà thầu:</w:t>
      </w:r>
    </w:p>
    <w:p w14:paraId="5BC69BE2" w14:textId="77777777" w:rsidR="001E1567" w:rsidRPr="00D762CA" w:rsidRDefault="001E1567" w:rsidP="001E1567">
      <w:pPr>
        <w:pStyle w:val="BodyText"/>
        <w:spacing w:before="120" w:after="120"/>
        <w:ind w:firstLine="567"/>
        <w:rPr>
          <w:spacing w:val="0"/>
          <w:sz w:val="28"/>
          <w:szCs w:val="28"/>
        </w:rPr>
      </w:pPr>
      <w:r w:rsidRPr="00D762CA">
        <w:rPr>
          <w:spacing w:val="0"/>
          <w:sz w:val="28"/>
          <w:szCs w:val="28"/>
        </w:rPr>
        <w:t>Nhà thầu phải đáp ứng các yêu cầu nêu tại Chương III - Tiêu chuẩn đánh giá E-HSDT; nhân sự bố trí cho gói thầu phải đảm bảo các yêu cầu tại Chương III - Tiêu chuẩn đánh giá E-HSDT, trường hợp bắt buộc phải thay thế nhân sự thì nhân sự thay thế phải có năng lực, kinh nghiệm thay thế và phải được sự chấp thuận của chủ đầu tư.</w:t>
      </w:r>
    </w:p>
    <w:p w14:paraId="6D5714F3" w14:textId="77777777" w:rsidR="001E1567" w:rsidRPr="00D762CA" w:rsidRDefault="001E1567" w:rsidP="001E1567">
      <w:pPr>
        <w:pStyle w:val="BodyText"/>
        <w:widowControl w:val="0"/>
        <w:numPr>
          <w:ilvl w:val="0"/>
          <w:numId w:val="1"/>
        </w:numPr>
        <w:tabs>
          <w:tab w:val="left" w:pos="1134"/>
          <w:tab w:val="left" w:pos="1300"/>
        </w:tabs>
        <w:suppressAutoHyphens w:val="0"/>
        <w:spacing w:before="120" w:after="120"/>
        <w:ind w:right="0" w:firstLine="567"/>
        <w:rPr>
          <w:b/>
          <w:bCs/>
          <w:spacing w:val="0"/>
          <w:sz w:val="28"/>
          <w:szCs w:val="28"/>
        </w:rPr>
      </w:pPr>
      <w:r w:rsidRPr="00D762CA">
        <w:rPr>
          <w:b/>
          <w:bCs/>
          <w:spacing w:val="0"/>
          <w:sz w:val="28"/>
          <w:szCs w:val="28"/>
        </w:rPr>
        <w:t xml:space="preserve">Trách nhiệm của </w:t>
      </w:r>
      <w:r>
        <w:rPr>
          <w:b/>
          <w:bCs/>
          <w:spacing w:val="0"/>
          <w:sz w:val="28"/>
          <w:szCs w:val="28"/>
        </w:rPr>
        <w:t>Chủ đầu tư</w:t>
      </w:r>
      <w:r w:rsidRPr="00D762CA">
        <w:rPr>
          <w:b/>
          <w:bCs/>
          <w:spacing w:val="0"/>
          <w:sz w:val="28"/>
          <w:szCs w:val="28"/>
        </w:rPr>
        <w:t>:</w:t>
      </w:r>
    </w:p>
    <w:p w14:paraId="40CBA50A" w14:textId="77777777" w:rsidR="001E1567" w:rsidRPr="00D762CA" w:rsidRDefault="001E1567" w:rsidP="001E1567">
      <w:pPr>
        <w:pStyle w:val="BodyText"/>
        <w:spacing w:before="120" w:after="120"/>
        <w:ind w:firstLine="567"/>
        <w:rPr>
          <w:spacing w:val="0"/>
          <w:sz w:val="28"/>
          <w:szCs w:val="28"/>
        </w:rPr>
      </w:pPr>
      <w:r w:rsidRPr="00D762CA">
        <w:rPr>
          <w:spacing w:val="0"/>
          <w:sz w:val="28"/>
          <w:szCs w:val="28"/>
        </w:rPr>
        <w:t>Bố trí nhân sự theo dõi và hỗ trợ việc thực hiện công việc tư vấn</w:t>
      </w:r>
    </w:p>
    <w:p w14:paraId="5F8746B9" w14:textId="77777777" w:rsidR="001E1567" w:rsidRPr="00D762CA" w:rsidRDefault="001E1567" w:rsidP="001E1567">
      <w:pPr>
        <w:pStyle w:val="BodyText"/>
        <w:spacing w:before="120" w:after="120"/>
        <w:ind w:firstLine="567"/>
        <w:rPr>
          <w:spacing w:val="0"/>
          <w:sz w:val="28"/>
          <w:szCs w:val="28"/>
        </w:rPr>
      </w:pPr>
      <w:r w:rsidRPr="00D762CA">
        <w:rPr>
          <w:spacing w:val="0"/>
          <w:sz w:val="28"/>
          <w:szCs w:val="28"/>
        </w:rPr>
        <w:t>Hướng dẫn nhà thầu về những nội dung liên quan đến dự án</w:t>
      </w:r>
    </w:p>
    <w:p w14:paraId="63B11C18" w14:textId="77777777" w:rsidR="001E1567" w:rsidRPr="00D762CA" w:rsidRDefault="001E1567" w:rsidP="001E1567">
      <w:pPr>
        <w:pStyle w:val="BodyText"/>
        <w:spacing w:before="120" w:after="120"/>
        <w:ind w:firstLine="567"/>
        <w:rPr>
          <w:spacing w:val="0"/>
          <w:sz w:val="28"/>
          <w:szCs w:val="28"/>
        </w:rPr>
      </w:pPr>
      <w:r w:rsidRPr="00D762CA">
        <w:rPr>
          <w:spacing w:val="0"/>
          <w:sz w:val="28"/>
          <w:szCs w:val="28"/>
        </w:rPr>
        <w:t>Cung cấp các tài liệu cần thiết theo đề xuất của nhà thầu để nhà thầu thực hiện công việc tư vấn. Chủ đầu tư chịu trách nhiệm về tính chính xác và đầy đủ của các tài liệu do mình cung cấp.</w:t>
      </w:r>
    </w:p>
    <w:p w14:paraId="1C8FAC59" w14:textId="77777777" w:rsidR="001E1567" w:rsidRPr="00D762CA" w:rsidRDefault="001E1567" w:rsidP="001E1567">
      <w:pPr>
        <w:pStyle w:val="BodyText"/>
        <w:spacing w:before="120" w:after="120"/>
        <w:ind w:firstLine="567"/>
        <w:rPr>
          <w:spacing w:val="0"/>
          <w:sz w:val="28"/>
          <w:szCs w:val="28"/>
        </w:rPr>
      </w:pPr>
      <w:r w:rsidRPr="00D762CA">
        <w:rPr>
          <w:spacing w:val="0"/>
          <w:sz w:val="28"/>
          <w:szCs w:val="28"/>
        </w:rPr>
        <w:t>Xem xét yêu cầu, đề xuất của nhà thầu liên quan đến thực hiện công việc tư vấn và phê duyệt trong một khoảng thời gian hợp lý để không làm chậm tiến độ thực hiện công việc.</w:t>
      </w:r>
    </w:p>
    <w:p w14:paraId="5645D648" w14:textId="77777777" w:rsidR="001E1567" w:rsidRDefault="001E1567"/>
    <w:sectPr w:rsidR="001E1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4EDE"/>
    <w:multiLevelType w:val="multilevel"/>
    <w:tmpl w:val="AA52BF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35969"/>
    <w:multiLevelType w:val="multilevel"/>
    <w:tmpl w:val="A8EE40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1C627C"/>
    <w:multiLevelType w:val="multilevel"/>
    <w:tmpl w:val="FE3CD5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67"/>
    <w:rsid w:val="001E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D23D"/>
  <w15:chartTrackingRefBased/>
  <w15:docId w15:val="{6DCAF886-1A4D-4105-8252-AC5C936D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567"/>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Document Header1,ClauseGroup_Title,Head_1,Heading,Heading1,12pt+ line spacing 1,5 line,Heading 1A,Heading 1(Report Only),Heading 1(Report Only)1,Chương 1,1 ghost,CHUONG Char,CHUONG,HD1-1,HD12-1,HD5-1,HD8-1,HD7-1,HD6-1"/>
    <w:basedOn w:val="Normal"/>
    <w:next w:val="Normal"/>
    <w:link w:val="Heading1Char"/>
    <w:qFormat/>
    <w:rsid w:val="001E1567"/>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Head_1 Char,Heading Char,Heading1 Char,12pt+ line spacing 1 Char,5 line Char,Heading 1A Char,Heading 1(Report Only) Char,Heading 1(Report Only)1 Char,Chương 1 Char,1 ghost Char"/>
    <w:basedOn w:val="DefaultParagraphFont"/>
    <w:link w:val="Heading1"/>
    <w:rsid w:val="001E1567"/>
    <w:rPr>
      <w:rFonts w:ascii="Times New Roman Bold" w:eastAsia="Times New Roman" w:hAnsi="Times New Roman Bold" w:cs="Times New Roman"/>
      <w:b/>
      <w:sz w:val="28"/>
      <w:szCs w:val="20"/>
    </w:rPr>
  </w:style>
  <w:style w:type="paragraph" w:styleId="BodyText">
    <w:name w:val="Body Text"/>
    <w:aliases w:val="Body Text sub head,a)  Body Text"/>
    <w:basedOn w:val="Normal"/>
    <w:link w:val="BodyTextChar"/>
    <w:qFormat/>
    <w:rsid w:val="001E1567"/>
    <w:pPr>
      <w:suppressAutoHyphens/>
      <w:ind w:right="-72"/>
    </w:pPr>
    <w:rPr>
      <w:spacing w:val="-4"/>
    </w:rPr>
  </w:style>
  <w:style w:type="character" w:customStyle="1" w:styleId="BodyTextChar">
    <w:name w:val="Body Text Char"/>
    <w:aliases w:val="Body Text sub head Char,a)  Body Text Char"/>
    <w:basedOn w:val="DefaultParagraphFont"/>
    <w:link w:val="BodyText"/>
    <w:rsid w:val="001E1567"/>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2592</Words>
  <Characters>14779</Characters>
  <Application>Microsoft Office Word</Application>
  <DocSecurity>0</DocSecurity>
  <Lines>123</Lines>
  <Paragraphs>34</Paragraphs>
  <ScaleCrop>false</ScaleCrop>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2026-01-16T08:02:00Z</dcterms:created>
  <dcterms:modified xsi:type="dcterms:W3CDTF">2026-01-16T08:03:00Z</dcterms:modified>
</cp:coreProperties>
</file>