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sz w:val="26"/>
          <w:szCs w:val="26"/>
          <w:lang w:val="nl-NL"/>
        </w:rPr>
      </w:pPr>
      <w:r w:rsidRPr="00C612FE">
        <w:rPr>
          <w:rFonts w:asciiTheme="majorHAnsi" w:hAnsiTheme="majorHAnsi" w:cstheme="majorHAnsi"/>
          <w:b/>
          <w:sz w:val="26"/>
          <w:szCs w:val="26"/>
          <w:lang w:val="nl-NL"/>
        </w:rPr>
        <w:t>Phần 2. YÊU CẦU VỀ KỸ THUẬT</w:t>
      </w:r>
    </w:p>
    <w:p w14:paraId="225337A1"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r w:rsidRPr="00C612FE">
        <w:rPr>
          <w:rFonts w:asciiTheme="majorHAnsi" w:hAnsiTheme="majorHAnsi" w:cstheme="majorHAnsi"/>
          <w:sz w:val="26"/>
          <w:szCs w:val="26"/>
          <w:lang w:val="nl-NL"/>
        </w:rPr>
        <w:t xml:space="preserve"> </w:t>
      </w:r>
      <w:r w:rsidRPr="00C612FE">
        <w:rPr>
          <w:rFonts w:asciiTheme="majorHAnsi" w:hAnsiTheme="majorHAnsi" w:cstheme="majorHAnsi"/>
          <w:b/>
          <w:sz w:val="26"/>
          <w:szCs w:val="26"/>
          <w:lang w:val="vi-VN"/>
        </w:rPr>
        <w:t>Chương V. YÊU CẦU VỀ KỸ THUẬT</w:t>
      </w:r>
    </w:p>
    <w:p w14:paraId="6D89DBB3"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p>
    <w:p w14:paraId="5CBE556A"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 Giới thiệu về gói thầu</w:t>
      </w:r>
    </w:p>
    <w:p w14:paraId="0CDFB939"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1. Phạm vi công việc của gói thầu.</w:t>
      </w:r>
    </w:p>
    <w:p w14:paraId="67945199" w14:textId="32A0D72D"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1.1. Tên gói thầu: </w:t>
      </w:r>
      <w:r w:rsidR="00F85AEE" w:rsidRPr="00FF71C9">
        <w:rPr>
          <w:rFonts w:asciiTheme="majorHAnsi" w:hAnsiTheme="majorHAnsi" w:cstheme="majorHAnsi"/>
          <w:color w:val="000000" w:themeColor="text1"/>
          <w:sz w:val="26"/>
          <w:szCs w:val="26"/>
          <w:lang w:val="vi-VN"/>
        </w:rPr>
        <w:t xml:space="preserve">Gói thầu số 1: </w:t>
      </w:r>
      <w:r w:rsidR="00744892" w:rsidRPr="00C612FE">
        <w:rPr>
          <w:rFonts w:asciiTheme="majorHAnsi" w:hAnsiTheme="majorHAnsi" w:cstheme="majorHAnsi"/>
          <w:bCs/>
          <w:iCs/>
          <w:sz w:val="26"/>
          <w:szCs w:val="26"/>
          <w:lang w:val="vi-VN"/>
        </w:rPr>
        <w:t>Xây lắp</w:t>
      </w:r>
    </w:p>
    <w:p w14:paraId="400B364B" w14:textId="5B7E571E"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1.2. Loại, cấp công trình: </w:t>
      </w:r>
      <w:r w:rsidR="00744892" w:rsidRPr="00C612FE">
        <w:rPr>
          <w:rFonts w:asciiTheme="majorHAnsi" w:hAnsiTheme="majorHAnsi" w:cstheme="majorHAnsi"/>
          <w:color w:val="000000" w:themeColor="text1"/>
          <w:sz w:val="26"/>
          <w:szCs w:val="26"/>
          <w:lang w:val="vi-VN"/>
        </w:rPr>
        <w:t xml:space="preserve">Công trình dân dụng (công trình </w:t>
      </w:r>
      <w:r w:rsidR="00570385" w:rsidRPr="00570385">
        <w:rPr>
          <w:rFonts w:asciiTheme="majorHAnsi" w:hAnsiTheme="majorHAnsi" w:cstheme="majorHAnsi"/>
          <w:color w:val="000000" w:themeColor="text1"/>
          <w:sz w:val="26"/>
          <w:szCs w:val="26"/>
          <w:lang w:val="vi-VN"/>
        </w:rPr>
        <w:t>tín ngưỡng, di tích cấp quốc gia đặc biệt</w:t>
      </w:r>
      <w:r w:rsidR="00744892" w:rsidRPr="00C612FE">
        <w:rPr>
          <w:rFonts w:asciiTheme="majorHAnsi" w:hAnsiTheme="majorHAnsi" w:cstheme="majorHAnsi"/>
          <w:color w:val="000000" w:themeColor="text1"/>
          <w:sz w:val="26"/>
          <w:szCs w:val="26"/>
          <w:lang w:val="vi-VN"/>
        </w:rPr>
        <w:t>) – cấp III; Dự án nhóm C.</w:t>
      </w:r>
    </w:p>
    <w:p w14:paraId="092EC1AD" w14:textId="5890D2CC"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1.3. Tên dự án: </w:t>
      </w:r>
      <w:r w:rsidR="002A0124" w:rsidRPr="002A0124">
        <w:rPr>
          <w:rFonts w:asciiTheme="majorHAnsi" w:hAnsiTheme="majorHAnsi" w:cstheme="majorHAnsi"/>
          <w:color w:val="000000" w:themeColor="text1"/>
          <w:sz w:val="26"/>
          <w:szCs w:val="26"/>
          <w:lang w:val="vi-VN"/>
        </w:rPr>
        <w:t>Tu bổ chống xuống cấp di tích Đình Hương Canh, xã Bình Nguyên, tỉnh Phú Thọ</w:t>
      </w:r>
      <w:r w:rsidR="00744892" w:rsidRPr="002460A0">
        <w:rPr>
          <w:rFonts w:asciiTheme="majorHAnsi" w:hAnsiTheme="majorHAnsi" w:cstheme="majorHAnsi"/>
          <w:color w:val="000000" w:themeColor="text1"/>
          <w:sz w:val="26"/>
          <w:szCs w:val="26"/>
          <w:lang w:val="vi-VN"/>
        </w:rPr>
        <w:t>.</w:t>
      </w:r>
    </w:p>
    <w:p w14:paraId="61C8C8EF" w14:textId="143D5D53"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1.4. Nhà thầu khảo sát, thiết kế bản vẽ thi công, dự toán: </w:t>
      </w:r>
      <w:r w:rsidR="00843914" w:rsidRPr="00843914">
        <w:rPr>
          <w:rFonts w:asciiTheme="majorHAnsi" w:hAnsiTheme="majorHAnsi" w:cstheme="majorHAnsi"/>
          <w:bCs/>
          <w:color w:val="000000" w:themeColor="text1"/>
          <w:sz w:val="26"/>
          <w:szCs w:val="26"/>
          <w:lang w:val="vi-VN"/>
        </w:rPr>
        <w:t>Công ty cổ phần tư vấn xây dựng và tu bổ các công trình văn h</w:t>
      </w:r>
      <w:r w:rsidR="00843914" w:rsidRPr="00506D26">
        <w:rPr>
          <w:rFonts w:asciiTheme="majorHAnsi" w:hAnsiTheme="majorHAnsi" w:cstheme="majorHAnsi"/>
          <w:bCs/>
          <w:color w:val="000000" w:themeColor="text1"/>
          <w:sz w:val="26"/>
          <w:szCs w:val="26"/>
          <w:lang w:val="vi-VN"/>
        </w:rPr>
        <w:t>óa</w:t>
      </w:r>
      <w:r w:rsidR="000E6EA1" w:rsidRPr="00C612FE">
        <w:rPr>
          <w:rFonts w:asciiTheme="majorHAnsi" w:hAnsiTheme="majorHAnsi" w:cstheme="majorHAnsi"/>
          <w:bCs/>
          <w:color w:val="000000" w:themeColor="text1"/>
          <w:sz w:val="26"/>
          <w:szCs w:val="26"/>
          <w:lang w:val="vi-VN"/>
        </w:rPr>
        <w:t>.</w:t>
      </w:r>
      <w:r w:rsidRPr="00C612FE">
        <w:rPr>
          <w:rFonts w:asciiTheme="majorHAnsi" w:hAnsiTheme="majorHAnsi" w:cstheme="majorHAnsi"/>
          <w:color w:val="000000" w:themeColor="text1"/>
          <w:sz w:val="26"/>
          <w:szCs w:val="26"/>
          <w:lang w:val="vi-VN"/>
        </w:rPr>
        <w:t xml:space="preserve"> </w:t>
      </w:r>
    </w:p>
    <w:p w14:paraId="6ED176C7" w14:textId="4B850D65" w:rsidR="00BB10D6" w:rsidRPr="00FF71C9" w:rsidRDefault="00BB10D6" w:rsidP="002460A0">
      <w:pPr>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1.5 Nguồn vốn: </w:t>
      </w:r>
      <w:r w:rsidR="002460A0" w:rsidRPr="002460A0">
        <w:rPr>
          <w:rFonts w:asciiTheme="majorHAnsi" w:hAnsiTheme="majorHAnsi" w:cstheme="majorHAnsi"/>
          <w:color w:val="000000" w:themeColor="text1"/>
          <w:sz w:val="26"/>
          <w:szCs w:val="26"/>
          <w:lang w:val="vi-VN"/>
        </w:rPr>
        <w:t>Nguồn kinh phí sự nghiệp Văn hóa năm 2025</w:t>
      </w:r>
      <w:r w:rsidR="00FF71C9" w:rsidRPr="00FF71C9">
        <w:rPr>
          <w:rFonts w:asciiTheme="majorHAnsi" w:hAnsiTheme="majorHAnsi" w:cstheme="majorHAnsi"/>
          <w:color w:val="000000" w:themeColor="text1"/>
          <w:sz w:val="26"/>
          <w:szCs w:val="26"/>
          <w:lang w:val="vi-VN"/>
        </w:rPr>
        <w:t>-2026</w:t>
      </w:r>
    </w:p>
    <w:p w14:paraId="731DDA14" w14:textId="74C69717" w:rsidR="00BB10D6" w:rsidRPr="00C612FE" w:rsidRDefault="00BB10D6" w:rsidP="00BB10D6">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1.6 Quy mô, chỉ tiêu kỹ thuật; các giải pháp thiết kế:</w:t>
      </w:r>
    </w:p>
    <w:p w14:paraId="700BEF25" w14:textId="77777777" w:rsidR="00506D26" w:rsidRPr="00506D26" w:rsidRDefault="00506D26" w:rsidP="00506D26">
      <w:pPr>
        <w:widowControl w:val="0"/>
        <w:spacing w:line="276" w:lineRule="auto"/>
        <w:ind w:firstLine="709"/>
        <w:rPr>
          <w:rFonts w:asciiTheme="majorHAnsi" w:hAnsiTheme="majorHAnsi" w:cstheme="majorHAnsi"/>
          <w:color w:val="000000" w:themeColor="text1"/>
          <w:sz w:val="26"/>
          <w:szCs w:val="26"/>
          <w:lang w:val="vi-VN"/>
        </w:rPr>
      </w:pPr>
      <w:r w:rsidRPr="00506D26">
        <w:rPr>
          <w:rFonts w:asciiTheme="majorHAnsi" w:hAnsiTheme="majorHAnsi" w:cstheme="majorHAnsi"/>
          <w:color w:val="000000" w:themeColor="text1"/>
          <w:sz w:val="26"/>
          <w:szCs w:val="26"/>
          <w:lang w:val="vi-VN"/>
        </w:rPr>
        <w:t>Thực hiện tu bổ, chống xuống cấp đối với hạng mục kiến trúc gốc – đình Hương Canh với những nội dung chính sau:</w:t>
      </w:r>
    </w:p>
    <w:p w14:paraId="58F6E789" w14:textId="14E240E6" w:rsidR="00085BC1" w:rsidRPr="00570385" w:rsidRDefault="00506D26" w:rsidP="00506D26">
      <w:pPr>
        <w:widowControl w:val="0"/>
        <w:spacing w:line="276" w:lineRule="auto"/>
        <w:ind w:firstLine="709"/>
        <w:rPr>
          <w:rFonts w:asciiTheme="majorHAnsi" w:hAnsiTheme="majorHAnsi" w:cstheme="majorHAnsi"/>
          <w:color w:val="000000" w:themeColor="text1"/>
          <w:sz w:val="26"/>
          <w:szCs w:val="26"/>
          <w:lang w:val="vi-VN"/>
        </w:rPr>
      </w:pPr>
      <w:r w:rsidRPr="00506D26">
        <w:rPr>
          <w:rFonts w:asciiTheme="majorHAnsi" w:hAnsiTheme="majorHAnsi" w:cstheme="majorHAnsi"/>
          <w:color w:val="000000" w:themeColor="text1"/>
          <w:sz w:val="26"/>
          <w:szCs w:val="26"/>
          <w:lang w:val="vi-VN"/>
        </w:rPr>
        <w:t>Hạ giải toàn bộ bờ nóc, bờ chảy; Xây bờ nóc, bờ chảy bằng gạch chỉ và ngói bản có ô gạch hoa chanh. Quét vôi, ve bờ nóc, bờ chảy 3 nước 1 nước lót 2 nước phủ theo màu hiện trạng. Hạ giải các con giống trên mái và đao mái xuống, để vào nơi quy định. Tu bổ và lắp dựng lại các con giống bị sứt vỡ, gãy hỏng (tạm tính 20%) theo đúng hiện trạng. Hạ giải toàn bộ mái ngói mũi hài băng phương pháp thủ công, vận chuyển để vào nơi quy định để tái sử dụng, vệ sinh toàn bộ mái sau khi hạ giải ngói xuống. Ngói lợp tận dụng 65% ngói cũ, thay mới 35% ngói theo hình dáng, kích thước ngói mũi hài cũ; Thay mới 35% ngói chiếu và 35% ngói lót (ngói độn) đã bị hư hỏng, nứt vỡ theo đúng mẫu ngói hiện có. Dùng bạt xanh che kín phần mái ở phía dưới nhằm chánh vật liệu như ngói, vữa, bụi... trong quá trình thi công.</w:t>
      </w:r>
    </w:p>
    <w:p w14:paraId="18115A9D" w14:textId="15BD701C" w:rsidR="009E1F10" w:rsidRPr="00C612FE" w:rsidRDefault="005B0B0C"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b/>
          <w:sz w:val="26"/>
          <w:szCs w:val="26"/>
          <w:lang w:val="vi-VN"/>
        </w:rPr>
        <w:t xml:space="preserve">2. Thời hạn hoàn thành: </w:t>
      </w:r>
      <w:r w:rsidR="00506D26" w:rsidRPr="00FF53D6">
        <w:rPr>
          <w:rFonts w:asciiTheme="majorHAnsi" w:hAnsiTheme="majorHAnsi" w:cstheme="majorHAnsi"/>
          <w:b/>
          <w:color w:val="FF0000"/>
          <w:sz w:val="26"/>
          <w:szCs w:val="26"/>
          <w:lang w:val="vi-VN"/>
        </w:rPr>
        <w:t>60</w:t>
      </w:r>
      <w:r w:rsidR="009E1F10" w:rsidRPr="00085BC1">
        <w:rPr>
          <w:rFonts w:asciiTheme="majorHAnsi" w:hAnsiTheme="majorHAnsi" w:cstheme="majorHAnsi"/>
          <w:b/>
          <w:color w:val="FF0000"/>
          <w:sz w:val="26"/>
          <w:szCs w:val="26"/>
          <w:lang w:val="vi-VN"/>
        </w:rPr>
        <w:t xml:space="preserve"> ngày </w:t>
      </w:r>
      <w:r w:rsidR="009E1F10" w:rsidRPr="00C612FE">
        <w:rPr>
          <w:rFonts w:asciiTheme="majorHAnsi" w:hAnsiTheme="majorHAnsi" w:cstheme="majorHAnsi"/>
          <w:b/>
          <w:color w:val="000000"/>
          <w:sz w:val="26"/>
          <w:szCs w:val="26"/>
          <w:lang w:val="vi-VN"/>
        </w:rPr>
        <w:t>kể từ ngày hợp đồng có hiệu lực</w:t>
      </w:r>
      <w:r w:rsidR="009E1F10" w:rsidRPr="00C612FE">
        <w:rPr>
          <w:rFonts w:asciiTheme="majorHAnsi" w:hAnsiTheme="majorHAnsi" w:cstheme="majorHAnsi"/>
          <w:color w:val="000000"/>
          <w:sz w:val="26"/>
          <w:szCs w:val="26"/>
          <w:lang w:val="vi-VN"/>
        </w:rPr>
        <w:t>.</w:t>
      </w:r>
    </w:p>
    <w:p w14:paraId="75BA83D1"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 Yêu cầu về tiến độ thực hiện</w:t>
      </w:r>
    </w:p>
    <w:p w14:paraId="0F5FEAB4"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r w:rsidRPr="00C612FE">
        <w:rPr>
          <w:rFonts w:asciiTheme="majorHAnsi" w:hAnsiTheme="majorHAnsi" w:cstheme="majorHAnsi"/>
          <w:color w:val="000000" w:themeColor="text1"/>
          <w:sz w:val="26"/>
          <w:szCs w:val="26"/>
          <w:lang w:val="es-ES"/>
        </w:rPr>
        <w:t xml:space="preserve">Nêu yêu cầu về thời gian từ khi khởi công </w:t>
      </w:r>
      <w:r w:rsidRPr="00C612FE">
        <w:rPr>
          <w:rFonts w:asciiTheme="majorHAnsi" w:eastAsia="Calibri" w:hAnsiTheme="majorHAnsi" w:cstheme="majorHAnsi"/>
          <w:color w:val="000000" w:themeColor="text1"/>
          <w:kern w:val="24"/>
          <w:sz w:val="26"/>
          <w:szCs w:val="26"/>
          <w:lang w:val="vi-VN" w:eastAsia="vi-VN"/>
        </w:rPr>
        <w:t>đến</w:t>
      </w:r>
      <w:r w:rsidRPr="00C612FE">
        <w:rPr>
          <w:rFonts w:asciiTheme="majorHAnsi" w:hAnsiTheme="majorHAnsi" w:cstheme="majorHAnsi"/>
          <w:color w:val="000000" w:themeColor="text1"/>
          <w:sz w:val="26"/>
          <w:szCs w:val="26"/>
          <w:lang w:val="es-ES"/>
        </w:rPr>
        <w:t xml:space="preserve"> khi hoàn thành hợp đồng theo ngày/tuần/tháng.</w:t>
      </w:r>
    </w:p>
    <w:p w14:paraId="6DBBC5F1"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r w:rsidRPr="00C612FE">
        <w:rPr>
          <w:rFonts w:asciiTheme="majorHAnsi" w:hAnsiTheme="majorHAnsi" w:cstheme="majorHAnsi"/>
          <w:color w:val="000000" w:themeColor="text1"/>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6337F" w:rsidRPr="00C612FE" w14:paraId="230D001F" w14:textId="77777777" w:rsidTr="00821742">
        <w:trPr>
          <w:trHeight w:val="552"/>
        </w:trPr>
        <w:tc>
          <w:tcPr>
            <w:tcW w:w="992" w:type="dxa"/>
            <w:shd w:val="clear" w:color="auto" w:fill="auto"/>
            <w:vAlign w:val="center"/>
          </w:tcPr>
          <w:p w14:paraId="57A5A47D"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r w:rsidRPr="00C612FE">
              <w:rPr>
                <w:rFonts w:asciiTheme="majorHAnsi" w:hAnsiTheme="majorHAnsi" w:cstheme="majorHAnsi"/>
                <w:b/>
                <w:color w:val="000000" w:themeColor="text1"/>
                <w:sz w:val="26"/>
                <w:szCs w:val="26"/>
              </w:rPr>
              <w:t>Hạng mục công trình</w:t>
            </w:r>
          </w:p>
        </w:tc>
        <w:tc>
          <w:tcPr>
            <w:tcW w:w="2289" w:type="dxa"/>
            <w:shd w:val="clear" w:color="auto" w:fill="auto"/>
            <w:vAlign w:val="center"/>
          </w:tcPr>
          <w:p w14:paraId="1C455422"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r w:rsidRPr="00C612FE">
              <w:rPr>
                <w:rFonts w:asciiTheme="majorHAnsi" w:hAnsiTheme="majorHAnsi" w:cstheme="majorHAnsi"/>
                <w:b/>
                <w:color w:val="000000" w:themeColor="text1"/>
                <w:sz w:val="26"/>
                <w:szCs w:val="26"/>
              </w:rPr>
              <w:t>Ngày bắt đầu</w:t>
            </w:r>
          </w:p>
        </w:tc>
        <w:tc>
          <w:tcPr>
            <w:tcW w:w="2806" w:type="dxa"/>
            <w:shd w:val="clear" w:color="auto" w:fill="auto"/>
            <w:vAlign w:val="center"/>
          </w:tcPr>
          <w:p w14:paraId="2AB95560"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Ngày hoàn thành</w:t>
            </w:r>
          </w:p>
        </w:tc>
      </w:tr>
      <w:tr w:rsidR="0036337F" w:rsidRPr="00C612FE" w14:paraId="65EB9F60" w14:textId="77777777" w:rsidTr="00821742">
        <w:tc>
          <w:tcPr>
            <w:tcW w:w="992" w:type="dxa"/>
            <w:shd w:val="clear" w:color="auto" w:fill="auto"/>
          </w:tcPr>
          <w:p w14:paraId="44CA5A3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29A6DA8C" w14:textId="77777777" w:rsidTr="00821742">
        <w:tc>
          <w:tcPr>
            <w:tcW w:w="992" w:type="dxa"/>
            <w:shd w:val="clear" w:color="auto" w:fill="auto"/>
          </w:tcPr>
          <w:p w14:paraId="1B4E221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6D5CDF55" w14:textId="77777777" w:rsidTr="00821742">
        <w:tc>
          <w:tcPr>
            <w:tcW w:w="992" w:type="dxa"/>
            <w:shd w:val="clear" w:color="auto" w:fill="auto"/>
          </w:tcPr>
          <w:p w14:paraId="011AEB5B"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73F415D7" w14:textId="77777777" w:rsidTr="00821742">
        <w:tc>
          <w:tcPr>
            <w:tcW w:w="992" w:type="dxa"/>
            <w:shd w:val="clear" w:color="auto" w:fill="auto"/>
          </w:tcPr>
          <w:p w14:paraId="1EF0ADBA"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C612FE" w:rsidRDefault="0036337F" w:rsidP="0036337F">
      <w:pPr>
        <w:spacing w:line="276" w:lineRule="auto"/>
        <w:ind w:firstLine="720"/>
        <w:rPr>
          <w:rFonts w:asciiTheme="majorHAnsi" w:hAnsiTheme="majorHAnsi" w:cstheme="majorHAnsi"/>
          <w:b/>
          <w:color w:val="000000" w:themeColor="text1"/>
          <w:sz w:val="26"/>
          <w:szCs w:val="26"/>
        </w:rPr>
      </w:pPr>
    </w:p>
    <w:p w14:paraId="1A407A58"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C612FE"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lastRenderedPageBreak/>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0B5300C6" w14:textId="77777777" w:rsidR="0036337F" w:rsidRPr="00C612FE"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C612FE"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
          <w:color w:val="000000" w:themeColor="text1"/>
          <w:sz w:val="26"/>
          <w:szCs w:val="26"/>
          <w:lang w:val="vi-VN"/>
        </w:rPr>
        <w:t>Quy trình, quy phạm áp dụng cho việc thi công, nghiệm thu công</w:t>
      </w:r>
      <w:r w:rsidRPr="00C612FE">
        <w:rPr>
          <w:rFonts w:asciiTheme="majorHAnsi" w:hAnsiTheme="majorHAnsi" w:cstheme="majorHAnsi"/>
          <w:b/>
          <w:color w:val="000000" w:themeColor="text1"/>
          <w:spacing w:val="-27"/>
          <w:sz w:val="26"/>
          <w:szCs w:val="26"/>
          <w:lang w:val="vi-VN"/>
        </w:rPr>
        <w:t xml:space="preserve"> </w:t>
      </w:r>
      <w:r w:rsidRPr="00C612FE">
        <w:rPr>
          <w:rFonts w:asciiTheme="majorHAnsi" w:hAnsiTheme="majorHAnsi" w:cstheme="majorHAnsi"/>
          <w:b/>
          <w:color w:val="000000" w:themeColor="text1"/>
          <w:sz w:val="26"/>
          <w:szCs w:val="26"/>
          <w:lang w:val="vi-VN"/>
        </w:rPr>
        <w:t xml:space="preserve">trình: </w:t>
      </w:r>
    </w:p>
    <w:p w14:paraId="74304B2D" w14:textId="28783BD7" w:rsidR="00A2647E" w:rsidRPr="00C612FE" w:rsidRDefault="00A2647E" w:rsidP="00A2647E">
      <w:pPr>
        <w:widowControl w:val="0"/>
        <w:tabs>
          <w:tab w:val="left" w:pos="567"/>
        </w:tabs>
        <w:autoSpaceDE w:val="0"/>
        <w:autoSpaceDN w:val="0"/>
        <w:spacing w:line="276" w:lineRule="auto"/>
        <w:rPr>
          <w:rFonts w:asciiTheme="majorHAnsi" w:hAnsiTheme="majorHAnsi" w:cstheme="majorHAnsi"/>
          <w:color w:val="000000" w:themeColor="text1"/>
          <w:sz w:val="26"/>
          <w:szCs w:val="26"/>
          <w:lang w:val="vi-VN"/>
        </w:rPr>
      </w:pPr>
      <w:r w:rsidRPr="005D197D">
        <w:rPr>
          <w:rFonts w:asciiTheme="majorHAnsi" w:hAnsiTheme="majorHAnsi" w:cstheme="majorHAnsi"/>
          <w:color w:val="000000"/>
          <w:sz w:val="26"/>
          <w:szCs w:val="26"/>
          <w:lang w:val="vi-VN"/>
        </w:rPr>
        <w:tab/>
      </w:r>
      <w:r w:rsidRPr="00C612FE">
        <w:rPr>
          <w:rFonts w:asciiTheme="majorHAnsi" w:hAnsiTheme="majorHAnsi" w:cstheme="majorHAnsi"/>
          <w:color w:val="000000"/>
          <w:sz w:val="26"/>
          <w:szCs w:val="26"/>
          <w:lang w:val="vi-VN"/>
        </w:rPr>
        <w:t>* Quy chuẩn chủ yếu áp dụng: Các quy chuẩn, tiêu chuẩn, quy phạm hiện</w:t>
      </w:r>
      <w:r w:rsidRPr="005D197D">
        <w:rPr>
          <w:rFonts w:asciiTheme="majorHAnsi" w:hAnsiTheme="majorHAnsi" w:cstheme="majorHAnsi"/>
          <w:color w:val="000000"/>
          <w:sz w:val="26"/>
          <w:szCs w:val="26"/>
          <w:lang w:val="vi-VN"/>
        </w:rPr>
        <w:t xml:space="preserve"> </w:t>
      </w:r>
      <w:r w:rsidRPr="00C612FE">
        <w:rPr>
          <w:rFonts w:asciiTheme="majorHAnsi" w:hAnsiTheme="majorHAnsi" w:cstheme="majorHAnsi"/>
          <w:color w:val="000000"/>
          <w:sz w:val="26"/>
          <w:szCs w:val="26"/>
          <w:lang w:val="vi-VN"/>
        </w:rPr>
        <w:t>hành.</w:t>
      </w:r>
    </w:p>
    <w:p w14:paraId="70AE9477" w14:textId="77777777" w:rsidR="0036337F" w:rsidRPr="00C612FE" w:rsidRDefault="0036337F" w:rsidP="0036337F">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p w14:paraId="0ED1472C" w14:textId="77777777" w:rsidR="0036337F" w:rsidRPr="00C612FE"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2. Yêu cầu về tổ chức kỹ thuật thi công, giám</w:t>
      </w:r>
      <w:r w:rsidRPr="00C612FE">
        <w:rPr>
          <w:rFonts w:asciiTheme="majorHAnsi" w:hAnsiTheme="majorHAnsi" w:cstheme="majorHAnsi"/>
          <w:b/>
          <w:bCs/>
          <w:color w:val="000000" w:themeColor="text1"/>
          <w:spacing w:val="21"/>
          <w:sz w:val="26"/>
          <w:szCs w:val="26"/>
          <w:lang w:val="vi-VN"/>
        </w:rPr>
        <w:t xml:space="preserve"> </w:t>
      </w:r>
      <w:r w:rsidRPr="00C612FE">
        <w:rPr>
          <w:rFonts w:asciiTheme="majorHAnsi" w:hAnsiTheme="majorHAnsi" w:cstheme="majorHAnsi"/>
          <w:b/>
          <w:bCs/>
          <w:color w:val="000000" w:themeColor="text1"/>
          <w:sz w:val="26"/>
          <w:szCs w:val="26"/>
          <w:lang w:val="vi-VN"/>
        </w:rPr>
        <w:t>sát</w:t>
      </w:r>
    </w:p>
    <w:p w14:paraId="0DA42BD1"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bCs/>
          <w:color w:val="000000" w:themeColor="text1"/>
          <w:sz w:val="26"/>
          <w:szCs w:val="26"/>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6E31B9AE"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04AD305D"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032525D9"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4329A2F0"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 Có trách nhiệm phối hợp với các nhà thầu khác </w:t>
      </w:r>
      <w:r w:rsidRPr="005D197D">
        <w:rPr>
          <w:rFonts w:asciiTheme="majorHAnsi" w:hAnsiTheme="majorHAnsi" w:cstheme="majorHAnsi"/>
          <w:i/>
          <w:color w:val="000000" w:themeColor="text1"/>
          <w:sz w:val="26"/>
          <w:szCs w:val="26"/>
          <w:lang w:val="vi-VN"/>
        </w:rPr>
        <w:t>[Cùng được bên mời thầu mời thi công các phần việc khác của công trình (nếu có)]</w:t>
      </w:r>
      <w:r w:rsidRPr="005D197D">
        <w:rPr>
          <w:rFonts w:asciiTheme="majorHAnsi" w:hAnsiTheme="majorHAnsi" w:cstheme="majorHAnsi"/>
          <w:color w:val="000000" w:themeColor="text1"/>
          <w:sz w:val="26"/>
          <w:szCs w:val="26"/>
          <w:lang w:val="vi-VN"/>
        </w:rPr>
        <w:t xml:space="preserve"> để giải quyết những vấn đề liên quan khi cần thiết;</w:t>
      </w:r>
    </w:p>
    <w:p w14:paraId="2F5CB85E" w14:textId="77777777" w:rsidR="0036337F" w:rsidRPr="005D197D" w:rsidRDefault="0036337F" w:rsidP="0036337F">
      <w:pPr>
        <w:spacing w:line="276" w:lineRule="auto"/>
        <w:ind w:left="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Tổ chức thi công công trình theo đúng tiến độ đã đề ra;</w:t>
      </w:r>
    </w:p>
    <w:p w14:paraId="1319BD33"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D7C1934"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lastRenderedPageBreak/>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CDFCB42"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3085AE58"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Hồ sơ hoàn công do nhà thầu lập phải tuân thủ theo các tiêu chuẩn quy phạm hiện hành và được cơ quan chuyên môn về xây dựng và Chủ đầu tư chấp nhận;</w:t>
      </w:r>
    </w:p>
    <w:p w14:paraId="137E3A1E"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 Nhà thầu có trách nhiệm bảo hành công trình tối thiểu là </w:t>
      </w:r>
      <w:r w:rsidRPr="005D197D">
        <w:rPr>
          <w:rFonts w:asciiTheme="majorHAnsi" w:hAnsiTheme="majorHAnsi" w:cstheme="majorHAnsi"/>
          <w:bCs/>
          <w:color w:val="000000" w:themeColor="text1"/>
          <w:sz w:val="26"/>
          <w:szCs w:val="26"/>
          <w:lang w:val="vi-VN"/>
        </w:rPr>
        <w:t>12 tháng</w:t>
      </w:r>
      <w:r w:rsidRPr="005D197D">
        <w:rPr>
          <w:rFonts w:asciiTheme="majorHAnsi" w:hAnsiTheme="majorHAnsi" w:cstheme="majorHAnsi"/>
          <w:color w:val="000000" w:themeColor="text1"/>
          <w:sz w:val="26"/>
          <w:szCs w:val="26"/>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6C8843B3"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429A09B6"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2A73634F"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27B59F86" w14:textId="77777777" w:rsidR="0036337F" w:rsidRPr="005D197D" w:rsidRDefault="0036337F" w:rsidP="0036337F">
      <w:pPr>
        <w:spacing w:line="276" w:lineRule="auto"/>
        <w:ind w:left="563"/>
        <w:rPr>
          <w:rFonts w:asciiTheme="majorHAnsi" w:hAnsiTheme="majorHAnsi" w:cstheme="majorHAnsi"/>
          <w:i/>
          <w:color w:val="000000" w:themeColor="text1"/>
          <w:sz w:val="26"/>
          <w:szCs w:val="26"/>
          <w:lang w:val="vi-VN"/>
        </w:rPr>
      </w:pPr>
      <w:r w:rsidRPr="005D197D">
        <w:rPr>
          <w:rFonts w:asciiTheme="majorHAnsi" w:hAnsiTheme="majorHAnsi" w:cstheme="majorHAnsi"/>
          <w:i/>
          <w:color w:val="000000" w:themeColor="text1"/>
          <w:sz w:val="26"/>
          <w:szCs w:val="26"/>
          <w:lang w:val="vi-VN"/>
        </w:rPr>
        <w:t>c. Giám sát:</w:t>
      </w:r>
    </w:p>
    <w:p w14:paraId="7DB598A4"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ADB7ED"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3575CBC0" w14:textId="77777777" w:rsidR="0036337F" w:rsidRPr="005D197D" w:rsidRDefault="0036337F" w:rsidP="0036337F">
      <w:pPr>
        <w:tabs>
          <w:tab w:val="left" w:pos="567"/>
        </w:tabs>
        <w:spacing w:line="276" w:lineRule="auto"/>
        <w:ind w:firstLine="121"/>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31657A0" w14:textId="77777777" w:rsidR="0036337F" w:rsidRPr="005D197D"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lang w:val="vi-VN"/>
        </w:rPr>
      </w:pPr>
      <w:r w:rsidRPr="005D197D">
        <w:rPr>
          <w:rFonts w:asciiTheme="majorHAnsi" w:hAnsiTheme="majorHAnsi" w:cstheme="majorHAnsi"/>
          <w:b/>
          <w:bCs/>
          <w:color w:val="000000" w:themeColor="text1"/>
          <w:sz w:val="26"/>
          <w:szCs w:val="26"/>
          <w:lang w:val="vi-VN"/>
        </w:rPr>
        <w:t xml:space="preserve">3. Yêu cầu về chủng loại, chất lượng vật tư, </w:t>
      </w:r>
      <w:r w:rsidRPr="005D197D">
        <w:rPr>
          <w:rFonts w:asciiTheme="majorHAnsi" w:hAnsiTheme="majorHAnsi" w:cstheme="majorHAnsi"/>
          <w:b/>
          <w:bCs/>
          <w:color w:val="000000" w:themeColor="text1"/>
          <w:spacing w:val="-3"/>
          <w:sz w:val="26"/>
          <w:szCs w:val="26"/>
          <w:lang w:val="vi-VN"/>
        </w:rPr>
        <w:t xml:space="preserve">máy </w:t>
      </w:r>
      <w:r w:rsidRPr="005D197D">
        <w:rPr>
          <w:rFonts w:asciiTheme="majorHAnsi" w:hAnsiTheme="majorHAnsi" w:cstheme="majorHAnsi"/>
          <w:b/>
          <w:bCs/>
          <w:color w:val="000000" w:themeColor="text1"/>
          <w:sz w:val="26"/>
          <w:szCs w:val="26"/>
          <w:lang w:val="vi-VN"/>
        </w:rPr>
        <w:t>móc, thiết bị thi công:</w:t>
      </w:r>
    </w:p>
    <w:p w14:paraId="0B2C448F"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lastRenderedPageBreak/>
        <w:t>Tất cả các vật liệu, thiết bị khi cung cấp đến công trình để thi công, lắp đặt phải phù hợp các nguyên tắc chung sau đây, ngoại trừ các chỉ định hoặc quyết định khác của Chủ đầu tư:</w:t>
      </w:r>
    </w:p>
    <w:p w14:paraId="3C4ED49B"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Tất cả các loại thiết bị và vật tư được sử dụng trong công trình phải đều mới, chưa từng qua sử dụng, thuộc thế hệ mới nhất.</w:t>
      </w:r>
    </w:p>
    <w:p w14:paraId="373F00B0" w14:textId="77777777" w:rsidR="0036337F" w:rsidRPr="005D197D"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Chủng loại, nguồn gốc, chất lượng phải phù hợp với hồ sơ dự thầu, mời thầu, thiết</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kế</w:t>
      </w:r>
      <w:r w:rsidRPr="005D197D">
        <w:rPr>
          <w:rFonts w:asciiTheme="majorHAnsi" w:hAnsiTheme="majorHAnsi" w:cstheme="majorHAnsi"/>
          <w:color w:val="000000" w:themeColor="text1"/>
          <w:spacing w:val="6"/>
          <w:sz w:val="26"/>
          <w:szCs w:val="26"/>
          <w:lang w:val="vi-VN"/>
        </w:rPr>
        <w:t xml:space="preserve"> </w:t>
      </w:r>
      <w:r w:rsidRPr="005D197D">
        <w:rPr>
          <w:rFonts w:asciiTheme="majorHAnsi" w:hAnsiTheme="majorHAnsi" w:cstheme="majorHAnsi"/>
          <w:color w:val="000000" w:themeColor="text1"/>
          <w:sz w:val="26"/>
          <w:szCs w:val="26"/>
          <w:lang w:val="vi-VN"/>
        </w:rPr>
        <w:t>và</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các</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điều</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kiện,</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tính</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chất,</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đặc</w:t>
      </w:r>
      <w:r w:rsidRPr="005D197D">
        <w:rPr>
          <w:rFonts w:asciiTheme="majorHAnsi" w:hAnsiTheme="majorHAnsi" w:cstheme="majorHAnsi"/>
          <w:color w:val="000000" w:themeColor="text1"/>
          <w:spacing w:val="6"/>
          <w:sz w:val="26"/>
          <w:szCs w:val="26"/>
          <w:lang w:val="vi-VN"/>
        </w:rPr>
        <w:t xml:space="preserve"> </w:t>
      </w:r>
      <w:r w:rsidRPr="005D197D">
        <w:rPr>
          <w:rFonts w:asciiTheme="majorHAnsi" w:hAnsiTheme="majorHAnsi" w:cstheme="majorHAnsi"/>
          <w:color w:val="000000" w:themeColor="text1"/>
          <w:sz w:val="26"/>
          <w:szCs w:val="26"/>
          <w:lang w:val="vi-VN"/>
        </w:rPr>
        <w:t>điểm,</w:t>
      </w:r>
      <w:r w:rsidRPr="005D197D">
        <w:rPr>
          <w:rFonts w:asciiTheme="majorHAnsi" w:hAnsiTheme="majorHAnsi" w:cstheme="majorHAnsi"/>
          <w:color w:val="000000" w:themeColor="text1"/>
          <w:spacing w:val="7"/>
          <w:sz w:val="26"/>
          <w:szCs w:val="26"/>
          <w:lang w:val="vi-VN"/>
        </w:rPr>
        <w:t xml:space="preserve"> </w:t>
      </w:r>
      <w:r w:rsidRPr="005D197D">
        <w:rPr>
          <w:rFonts w:asciiTheme="majorHAnsi" w:hAnsiTheme="majorHAnsi" w:cstheme="majorHAnsi"/>
          <w:color w:val="000000" w:themeColor="text1"/>
          <w:sz w:val="26"/>
          <w:szCs w:val="26"/>
          <w:lang w:val="vi-VN"/>
        </w:rPr>
        <w:t>môi</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trường</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làm</w:t>
      </w:r>
      <w:r w:rsidRPr="005D197D">
        <w:rPr>
          <w:rFonts w:asciiTheme="majorHAnsi" w:hAnsiTheme="majorHAnsi" w:cstheme="majorHAnsi"/>
          <w:color w:val="000000" w:themeColor="text1"/>
          <w:spacing w:val="3"/>
          <w:sz w:val="26"/>
          <w:szCs w:val="26"/>
          <w:lang w:val="vi-VN"/>
        </w:rPr>
        <w:t xml:space="preserve"> </w:t>
      </w:r>
      <w:r w:rsidRPr="005D197D">
        <w:rPr>
          <w:rFonts w:asciiTheme="majorHAnsi" w:hAnsiTheme="majorHAnsi" w:cstheme="majorHAnsi"/>
          <w:color w:val="000000" w:themeColor="text1"/>
          <w:sz w:val="26"/>
          <w:szCs w:val="26"/>
          <w:lang w:val="vi-VN"/>
        </w:rPr>
        <w:t>việc</w:t>
      </w:r>
      <w:r w:rsidRPr="005D197D">
        <w:rPr>
          <w:rFonts w:asciiTheme="majorHAnsi" w:hAnsiTheme="majorHAnsi" w:cstheme="majorHAnsi"/>
          <w:color w:val="000000" w:themeColor="text1"/>
          <w:spacing w:val="7"/>
          <w:sz w:val="26"/>
          <w:szCs w:val="26"/>
          <w:lang w:val="vi-VN"/>
        </w:rPr>
        <w:t xml:space="preserve"> </w:t>
      </w:r>
      <w:r w:rsidRPr="005D197D">
        <w:rPr>
          <w:rFonts w:asciiTheme="majorHAnsi" w:hAnsiTheme="majorHAnsi" w:cstheme="majorHAnsi"/>
          <w:color w:val="000000" w:themeColor="text1"/>
          <w:sz w:val="26"/>
          <w:szCs w:val="26"/>
          <w:lang w:val="vi-VN"/>
        </w:rPr>
        <w:t>của</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công</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trình.</w:t>
      </w:r>
    </w:p>
    <w:p w14:paraId="070A27F3" w14:textId="77777777" w:rsidR="0036337F" w:rsidRPr="005D197D"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Nhà thầu phải đệ trình các hồ sơ pháp lý đảm bảo nguồn gốc, chủng loại, chất lượng</w:t>
      </w:r>
      <w:r w:rsidRPr="005D197D">
        <w:rPr>
          <w:rFonts w:asciiTheme="majorHAnsi" w:hAnsiTheme="majorHAnsi" w:cstheme="majorHAnsi"/>
          <w:color w:val="000000" w:themeColor="text1"/>
          <w:spacing w:val="13"/>
          <w:sz w:val="26"/>
          <w:szCs w:val="26"/>
          <w:lang w:val="vi-VN"/>
        </w:rPr>
        <w:t xml:space="preserve"> </w:t>
      </w:r>
      <w:r w:rsidRPr="005D197D">
        <w:rPr>
          <w:rFonts w:asciiTheme="majorHAnsi" w:hAnsiTheme="majorHAnsi" w:cstheme="majorHAnsi"/>
          <w:color w:val="000000" w:themeColor="text1"/>
          <w:sz w:val="26"/>
          <w:szCs w:val="26"/>
          <w:lang w:val="vi-VN"/>
        </w:rPr>
        <w:t>của vật tư, thiết bị theo yêu cầu của kỹ sư giám sát trước khi thi công.</w:t>
      </w:r>
    </w:p>
    <w:p w14:paraId="2BAB37BF"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5D197D">
        <w:rPr>
          <w:rFonts w:asciiTheme="majorHAnsi" w:hAnsiTheme="majorHAnsi" w:cstheme="majorHAnsi"/>
          <w:color w:val="000000" w:themeColor="text1"/>
          <w:spacing w:val="4"/>
          <w:sz w:val="26"/>
          <w:szCs w:val="26"/>
          <w:lang w:val="vi-VN"/>
        </w:rPr>
        <w:t xml:space="preserve"> </w:t>
      </w:r>
      <w:r w:rsidRPr="005D197D">
        <w:rPr>
          <w:rFonts w:asciiTheme="majorHAnsi" w:hAnsiTheme="majorHAnsi" w:cstheme="majorHAnsi"/>
          <w:color w:val="000000" w:themeColor="text1"/>
          <w:sz w:val="26"/>
          <w:szCs w:val="26"/>
          <w:lang w:val="vi-VN"/>
        </w:rPr>
        <w:t>chịu.</w:t>
      </w:r>
    </w:p>
    <w:p w14:paraId="62866324"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896443A"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5D197D"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1716280" w14:textId="77777777" w:rsidR="0036337F" w:rsidRPr="005D197D"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nào.</w:t>
      </w:r>
    </w:p>
    <w:p w14:paraId="55DCB7EB"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Các thiết bị đưa vào lắp đặt cho công trình phải có nguồn gốc xuất xứ rõ ràng và tuân thủ các yêu cầu kỹ thuật của hồ sơ thiết kế kỹ thuật đã được</w:t>
      </w:r>
      <w:r w:rsidRPr="005D197D">
        <w:rPr>
          <w:rFonts w:asciiTheme="majorHAnsi" w:hAnsiTheme="majorHAnsi" w:cstheme="majorHAnsi"/>
          <w:color w:val="000000" w:themeColor="text1"/>
          <w:spacing w:val="57"/>
          <w:sz w:val="26"/>
          <w:szCs w:val="26"/>
          <w:lang w:val="vi-VN"/>
        </w:rPr>
        <w:t xml:space="preserve"> </w:t>
      </w:r>
      <w:r w:rsidRPr="005D197D">
        <w:rPr>
          <w:rFonts w:asciiTheme="majorHAnsi" w:hAnsiTheme="majorHAnsi" w:cstheme="majorHAnsi"/>
          <w:color w:val="000000" w:themeColor="text1"/>
          <w:sz w:val="26"/>
          <w:szCs w:val="26"/>
          <w:lang w:val="vi-VN"/>
        </w:rPr>
        <w:t>duyệt.</w:t>
      </w:r>
    </w:p>
    <w:p w14:paraId="0F889009"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050A5EB3"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F2D52">
        <w:rPr>
          <w:rFonts w:asciiTheme="majorHAnsi" w:hAnsiTheme="majorHAnsi" w:cstheme="majorHAnsi"/>
          <w:color w:val="000000" w:themeColor="text1"/>
          <w:sz w:val="26"/>
          <w:szCs w:val="26"/>
          <w:lang w:val="vi-VN"/>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9DF99B1"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AF2D52">
        <w:rPr>
          <w:rFonts w:asciiTheme="majorHAnsi" w:hAnsiTheme="majorHAnsi" w:cstheme="majorHAnsi"/>
          <w:b/>
          <w:color w:val="000000" w:themeColor="text1"/>
          <w:sz w:val="26"/>
          <w:szCs w:val="26"/>
          <w:lang w:val="vi-VN"/>
        </w:rPr>
        <w:t>* Yêu cầu về vật tư, vật liệu:</w:t>
      </w:r>
    </w:p>
    <w:p w14:paraId="12182300"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F2D52">
        <w:rPr>
          <w:rFonts w:asciiTheme="majorHAnsi" w:hAnsiTheme="majorHAnsi" w:cstheme="majorHAnsi"/>
          <w:color w:val="000000" w:themeColor="text1"/>
          <w:sz w:val="26"/>
          <w:szCs w:val="26"/>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6337F" w:rsidRPr="00F85AEE" w14:paraId="74D39F18" w14:textId="77777777" w:rsidTr="00821742">
        <w:tc>
          <w:tcPr>
            <w:tcW w:w="9243" w:type="dxa"/>
            <w:gridSpan w:val="4"/>
            <w:shd w:val="clear" w:color="auto" w:fill="auto"/>
            <w:vAlign w:val="center"/>
            <w:hideMark/>
          </w:tcPr>
          <w:p w14:paraId="430368AD" w14:textId="77777777" w:rsidR="0036337F" w:rsidRPr="00AF2D52" w:rsidRDefault="0036337F" w:rsidP="00821742">
            <w:pPr>
              <w:spacing w:line="276" w:lineRule="auto"/>
              <w:jc w:val="center"/>
              <w:rPr>
                <w:rFonts w:asciiTheme="majorHAnsi" w:hAnsiTheme="majorHAnsi" w:cstheme="majorHAnsi"/>
                <w:b/>
                <w:bCs/>
                <w:color w:val="000000" w:themeColor="text1"/>
                <w:sz w:val="26"/>
                <w:szCs w:val="26"/>
                <w:lang w:val="vi-VN"/>
              </w:rPr>
            </w:pPr>
            <w:r w:rsidRPr="00AF2D52">
              <w:rPr>
                <w:rFonts w:asciiTheme="majorHAnsi" w:hAnsiTheme="majorHAnsi" w:cstheme="majorHAnsi"/>
                <w:b/>
                <w:bCs/>
                <w:color w:val="000000" w:themeColor="text1"/>
                <w:sz w:val="26"/>
                <w:szCs w:val="26"/>
                <w:lang w:val="vi-VN"/>
              </w:rPr>
              <w:lastRenderedPageBreak/>
              <w:t>Danh mục vật tư, vật liệu chủ yếu</w:t>
            </w:r>
          </w:p>
        </w:tc>
      </w:tr>
      <w:tr w:rsidR="0036337F" w:rsidRPr="00C612FE" w14:paraId="6EB1246A" w14:textId="77777777" w:rsidTr="00821742">
        <w:trPr>
          <w:trHeight w:val="630"/>
        </w:trPr>
        <w:tc>
          <w:tcPr>
            <w:tcW w:w="746" w:type="dxa"/>
            <w:shd w:val="clear" w:color="auto" w:fill="auto"/>
            <w:vAlign w:val="center"/>
            <w:hideMark/>
          </w:tcPr>
          <w:p w14:paraId="758B4B49"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Các vật tư, vật</w:t>
            </w:r>
            <w:r w:rsidRPr="00C612FE">
              <w:rPr>
                <w:rFonts w:asciiTheme="majorHAnsi" w:hAnsiTheme="majorHAnsi" w:cstheme="majorHAnsi"/>
                <w:b/>
                <w:bCs/>
                <w:color w:val="000000" w:themeColor="text1"/>
                <w:sz w:val="26"/>
                <w:szCs w:val="26"/>
              </w:rPr>
              <w:br/>
              <w:t xml:space="preserve">liệu chủ yếu </w:t>
            </w:r>
          </w:p>
        </w:tc>
        <w:tc>
          <w:tcPr>
            <w:tcW w:w="4366" w:type="dxa"/>
            <w:shd w:val="clear" w:color="auto" w:fill="auto"/>
            <w:vAlign w:val="center"/>
            <w:hideMark/>
          </w:tcPr>
          <w:p w14:paraId="13240164"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Yêu cầu kỹ thuật tối thiểu </w:t>
            </w:r>
          </w:p>
        </w:tc>
        <w:tc>
          <w:tcPr>
            <w:tcW w:w="2109" w:type="dxa"/>
            <w:shd w:val="clear" w:color="auto" w:fill="auto"/>
            <w:vAlign w:val="center"/>
            <w:hideMark/>
          </w:tcPr>
          <w:p w14:paraId="67562408"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Đề xuất của Nhà thầu (1)</w:t>
            </w:r>
          </w:p>
        </w:tc>
      </w:tr>
      <w:tr w:rsidR="0036337F" w:rsidRPr="00C612FE" w14:paraId="0B14A887" w14:textId="77777777" w:rsidTr="00821742">
        <w:trPr>
          <w:trHeight w:val="630"/>
        </w:trPr>
        <w:tc>
          <w:tcPr>
            <w:tcW w:w="746" w:type="dxa"/>
            <w:shd w:val="clear" w:color="auto" w:fill="auto"/>
            <w:vAlign w:val="center"/>
            <w:hideMark/>
          </w:tcPr>
          <w:p w14:paraId="1CCEEAB9"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1</w:t>
            </w:r>
          </w:p>
        </w:tc>
        <w:tc>
          <w:tcPr>
            <w:tcW w:w="2022" w:type="dxa"/>
            <w:shd w:val="clear" w:color="auto" w:fill="auto"/>
            <w:vAlign w:val="center"/>
            <w:hideMark/>
          </w:tcPr>
          <w:p w14:paraId="490F8A8E"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Xi măng </w:t>
            </w:r>
          </w:p>
        </w:tc>
        <w:tc>
          <w:tcPr>
            <w:tcW w:w="4366" w:type="dxa"/>
            <w:shd w:val="clear" w:color="auto" w:fill="auto"/>
            <w:vAlign w:val="center"/>
            <w:hideMark/>
          </w:tcPr>
          <w:p w14:paraId="74435122"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Thông số kỹ thuật, quy cách theo bản vẽ thiết kế; Đảm bảo tiêu chuẩn TCVN hiện hành còn hiệu lực</w:t>
            </w:r>
          </w:p>
        </w:tc>
        <w:tc>
          <w:tcPr>
            <w:tcW w:w="2109" w:type="dxa"/>
            <w:shd w:val="clear" w:color="auto" w:fill="auto"/>
            <w:noWrap/>
            <w:vAlign w:val="bottom"/>
            <w:hideMark/>
          </w:tcPr>
          <w:p w14:paraId="558C869A"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415E382F" w14:textId="77777777" w:rsidTr="00821742">
        <w:trPr>
          <w:trHeight w:val="315"/>
        </w:trPr>
        <w:tc>
          <w:tcPr>
            <w:tcW w:w="746" w:type="dxa"/>
            <w:shd w:val="clear" w:color="auto" w:fill="auto"/>
            <w:vAlign w:val="center"/>
            <w:hideMark/>
          </w:tcPr>
          <w:p w14:paraId="3291E9B5"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Cát </w:t>
            </w:r>
          </w:p>
        </w:tc>
        <w:tc>
          <w:tcPr>
            <w:tcW w:w="4366" w:type="dxa"/>
            <w:shd w:val="clear" w:color="auto" w:fill="auto"/>
            <w:vAlign w:val="center"/>
            <w:hideMark/>
          </w:tcPr>
          <w:p w14:paraId="2AA190F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Thông số kỹ thuật, quy cách theo bản vẽ thiết kế; Đảm bảo tiêu chuẩn TCVN hiện hành còn hiệu lực</w:t>
            </w:r>
          </w:p>
        </w:tc>
        <w:tc>
          <w:tcPr>
            <w:tcW w:w="2109" w:type="dxa"/>
            <w:shd w:val="clear" w:color="auto" w:fill="auto"/>
            <w:noWrap/>
            <w:vAlign w:val="bottom"/>
            <w:hideMark/>
          </w:tcPr>
          <w:p w14:paraId="13446187"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2B101E50" w14:textId="77777777" w:rsidTr="00821742">
        <w:trPr>
          <w:trHeight w:val="315"/>
        </w:trPr>
        <w:tc>
          <w:tcPr>
            <w:tcW w:w="746" w:type="dxa"/>
            <w:shd w:val="clear" w:color="auto" w:fill="auto"/>
            <w:vAlign w:val="center"/>
          </w:tcPr>
          <w:p w14:paraId="1B97CA40"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
        </w:tc>
      </w:tr>
      <w:tr w:rsidR="0036337F" w:rsidRPr="00C612FE" w14:paraId="4028E122" w14:textId="77777777" w:rsidTr="00821742">
        <w:trPr>
          <w:trHeight w:val="1054"/>
        </w:trPr>
        <w:tc>
          <w:tcPr>
            <w:tcW w:w="9243" w:type="dxa"/>
            <w:gridSpan w:val="4"/>
            <w:shd w:val="clear" w:color="auto" w:fill="auto"/>
            <w:vAlign w:val="center"/>
            <w:hideMark/>
          </w:tcPr>
          <w:p w14:paraId="2467B363"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Ghi chú:</w:t>
            </w:r>
          </w:p>
          <w:p w14:paraId="3959AC04"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(1) </w:t>
            </w:r>
            <w:r w:rsidRPr="00C612FE">
              <w:rPr>
                <w:rFonts w:asciiTheme="majorHAnsi" w:hAnsiTheme="majorHAnsi" w:cstheme="majorHAnsi"/>
                <w:i/>
                <w:iCs/>
                <w:color w:val="000000" w:themeColor="text1"/>
                <w:sz w:val="26"/>
                <w:szCs w:val="26"/>
              </w:rPr>
              <w:t>Nhà thầu phải ghi đủ các thông tin đề xuất (chủng loại; tiêu chuẩn; các thông số kỹ thuật chính; Hãng sản xuất hoặc cung cấp).</w:t>
            </w:r>
          </w:p>
        </w:tc>
      </w:tr>
    </w:tbl>
    <w:p w14:paraId="47CDB84E"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4. Yêu cầu về trình tự thi công, lắp</w:t>
      </w:r>
      <w:r w:rsidRPr="00C612FE">
        <w:rPr>
          <w:rFonts w:asciiTheme="majorHAnsi" w:hAnsiTheme="majorHAnsi" w:cstheme="majorHAnsi"/>
          <w:b/>
          <w:bCs/>
          <w:color w:val="000000" w:themeColor="text1"/>
          <w:spacing w:val="17"/>
          <w:sz w:val="26"/>
          <w:szCs w:val="26"/>
          <w:lang w:val="vi-VN"/>
        </w:rPr>
        <w:t xml:space="preserve"> </w:t>
      </w:r>
      <w:r w:rsidRPr="00C612FE">
        <w:rPr>
          <w:rFonts w:asciiTheme="majorHAnsi" w:hAnsiTheme="majorHAnsi" w:cstheme="majorHAnsi"/>
          <w:b/>
          <w:bCs/>
          <w:color w:val="000000" w:themeColor="text1"/>
          <w:sz w:val="26"/>
          <w:szCs w:val="26"/>
          <w:lang w:val="vi-VN"/>
        </w:rPr>
        <w:t>đặt</w:t>
      </w:r>
    </w:p>
    <w:p w14:paraId="3A24571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Trình tự thi công Nhà thầu phải tuân thủ quy trình, quy phạm, nội dung các bước</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đã</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nêu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tại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phần</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Các</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yêu</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cầu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về</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tổ</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chức</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giám</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5. Yêu cầu về vận hành thử nghiệm, an</w:t>
      </w:r>
      <w:r w:rsidRPr="00C612FE">
        <w:rPr>
          <w:rFonts w:asciiTheme="majorHAnsi" w:hAnsiTheme="majorHAnsi" w:cstheme="majorHAnsi"/>
          <w:b/>
          <w:bCs/>
          <w:color w:val="000000" w:themeColor="text1"/>
          <w:spacing w:val="20"/>
          <w:sz w:val="26"/>
          <w:szCs w:val="26"/>
          <w:lang w:val="vi-VN"/>
        </w:rPr>
        <w:t xml:space="preserve"> </w:t>
      </w:r>
      <w:r w:rsidRPr="00C612FE">
        <w:rPr>
          <w:rFonts w:asciiTheme="majorHAnsi" w:hAnsiTheme="majorHAnsi" w:cstheme="majorHAnsi"/>
          <w:b/>
          <w:bCs/>
          <w:color w:val="000000" w:themeColor="text1"/>
          <w:sz w:val="26"/>
          <w:szCs w:val="26"/>
          <w:lang w:val="vi-VN"/>
        </w:rPr>
        <w:t>toàn</w:t>
      </w:r>
    </w:p>
    <w:p w14:paraId="38BEA363"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tiến hành vận hành thử nghiệm, an toàn khi các thiết bị, cầu kiện được lắp đặt hoàn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thành;</w:t>
      </w:r>
    </w:p>
    <w:p w14:paraId="048EF079"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C612FE">
        <w:rPr>
          <w:rFonts w:asciiTheme="majorHAnsi" w:hAnsiTheme="majorHAnsi" w:cstheme="majorHAnsi"/>
          <w:color w:val="000000" w:themeColor="text1"/>
          <w:spacing w:val="29"/>
          <w:sz w:val="26"/>
          <w:szCs w:val="26"/>
          <w:lang w:val="vi-VN"/>
        </w:rPr>
        <w:t xml:space="preserve"> </w:t>
      </w:r>
      <w:r w:rsidRPr="00C612FE">
        <w:rPr>
          <w:rFonts w:asciiTheme="majorHAnsi" w:hAnsiTheme="majorHAnsi" w:cstheme="majorHAnsi"/>
          <w:color w:val="000000" w:themeColor="text1"/>
          <w:sz w:val="26"/>
          <w:szCs w:val="26"/>
          <w:lang w:val="vi-VN"/>
        </w:rPr>
        <w:t>báo;</w:t>
      </w:r>
    </w:p>
    <w:p w14:paraId="7AAC0DD2"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dụng.</w:t>
      </w:r>
    </w:p>
    <w:p w14:paraId="359B3683" w14:textId="77777777" w:rsidR="00304C0B" w:rsidRPr="00C612FE"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C612FE">
        <w:rPr>
          <w:rFonts w:asciiTheme="majorHAnsi" w:hAnsiTheme="majorHAnsi" w:cstheme="majorHAnsi"/>
          <w:color w:val="000000" w:themeColor="text1"/>
          <w:spacing w:val="2"/>
          <w:sz w:val="26"/>
          <w:szCs w:val="26"/>
          <w:lang w:val="vi-VN"/>
        </w:rPr>
        <w:t xml:space="preserve"> </w:t>
      </w:r>
      <w:r w:rsidRPr="00C612FE">
        <w:rPr>
          <w:rFonts w:asciiTheme="majorHAnsi" w:hAnsiTheme="majorHAnsi" w:cstheme="majorHAnsi"/>
          <w:color w:val="000000" w:themeColor="text1"/>
          <w:sz w:val="26"/>
          <w:szCs w:val="26"/>
          <w:lang w:val="vi-VN"/>
        </w:rPr>
        <w:t>xác.</w:t>
      </w:r>
    </w:p>
    <w:p w14:paraId="1E8717EF" w14:textId="77777777" w:rsidR="00304C0B" w:rsidRPr="00C612FE"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C612FE">
        <w:rPr>
          <w:rFonts w:asciiTheme="majorHAnsi" w:hAnsiTheme="majorHAnsi" w:cstheme="majorHAnsi"/>
          <w:color w:val="000000" w:themeColor="text1"/>
          <w:spacing w:val="37"/>
          <w:sz w:val="26"/>
          <w:szCs w:val="26"/>
          <w:lang w:val="vi-VN"/>
        </w:rPr>
        <w:t xml:space="preserve"> </w:t>
      </w:r>
      <w:r w:rsidRPr="00C612FE">
        <w:rPr>
          <w:rFonts w:asciiTheme="majorHAnsi" w:hAnsiTheme="majorHAnsi" w:cstheme="majorHAnsi"/>
          <w:color w:val="000000" w:themeColor="text1"/>
          <w:sz w:val="26"/>
          <w:szCs w:val="26"/>
          <w:lang w:val="vi-VN"/>
        </w:rPr>
        <w:t>quyền:</w:t>
      </w:r>
    </w:p>
    <w:p w14:paraId="3FADE53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w:t>
      </w:r>
      <w:r w:rsidRPr="00C612FE">
        <w:rPr>
          <w:rFonts w:asciiTheme="majorHAnsi" w:hAnsiTheme="majorHAnsi" w:cstheme="majorHAnsi"/>
          <w:color w:val="000000" w:themeColor="text1"/>
          <w:sz w:val="26"/>
          <w:szCs w:val="26"/>
          <w:lang w:val="vi-VN"/>
        </w:rPr>
        <w:lastRenderedPageBreak/>
        <w:t>vận hành thử nghiệm, an</w:t>
      </w:r>
      <w:r w:rsidRPr="00C612FE">
        <w:rPr>
          <w:rFonts w:asciiTheme="majorHAnsi" w:hAnsiTheme="majorHAnsi" w:cstheme="majorHAnsi"/>
          <w:color w:val="000000" w:themeColor="text1"/>
          <w:spacing w:val="18"/>
          <w:sz w:val="26"/>
          <w:szCs w:val="26"/>
          <w:lang w:val="vi-VN"/>
        </w:rPr>
        <w:t xml:space="preserve"> </w:t>
      </w:r>
      <w:r w:rsidRPr="00C612FE">
        <w:rPr>
          <w:rFonts w:asciiTheme="majorHAnsi" w:hAnsiTheme="majorHAnsi" w:cstheme="majorHAnsi"/>
          <w:color w:val="000000" w:themeColor="text1"/>
          <w:sz w:val="26"/>
          <w:szCs w:val="26"/>
          <w:lang w:val="vi-VN"/>
        </w:rPr>
        <w:t>toàn.</w:t>
      </w:r>
    </w:p>
    <w:p w14:paraId="566266B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6. Yêu cầu về phòng, chống cháy,</w:t>
      </w:r>
      <w:r w:rsidRPr="00C612FE">
        <w:rPr>
          <w:rFonts w:asciiTheme="majorHAnsi" w:hAnsiTheme="majorHAnsi" w:cstheme="majorHAnsi"/>
          <w:b/>
          <w:bCs/>
          <w:color w:val="000000" w:themeColor="text1"/>
          <w:spacing w:val="7"/>
          <w:sz w:val="26"/>
          <w:szCs w:val="26"/>
          <w:lang w:val="vi-VN"/>
        </w:rPr>
        <w:t xml:space="preserve"> </w:t>
      </w:r>
      <w:r w:rsidRPr="00C612FE">
        <w:rPr>
          <w:rFonts w:asciiTheme="majorHAnsi" w:hAnsiTheme="majorHAnsi" w:cstheme="majorHAnsi"/>
          <w:b/>
          <w:bCs/>
          <w:color w:val="000000" w:themeColor="text1"/>
          <w:sz w:val="26"/>
          <w:szCs w:val="26"/>
          <w:lang w:val="vi-VN"/>
        </w:rPr>
        <w:t>nổ</w:t>
      </w:r>
    </w:p>
    <w:p w14:paraId="180A8020"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hoạn.</w:t>
      </w:r>
    </w:p>
    <w:p w14:paraId="2C34E0E6"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7. Yêu cầu về vệ sinh môi</w:t>
      </w:r>
      <w:r w:rsidRPr="00C612FE">
        <w:rPr>
          <w:rFonts w:asciiTheme="majorHAnsi" w:hAnsiTheme="majorHAnsi" w:cstheme="majorHAnsi"/>
          <w:b/>
          <w:bCs/>
          <w:color w:val="000000" w:themeColor="text1"/>
          <w:spacing w:val="13"/>
          <w:sz w:val="26"/>
          <w:szCs w:val="26"/>
          <w:lang w:val="vi-VN"/>
        </w:rPr>
        <w:t xml:space="preserve"> </w:t>
      </w:r>
      <w:r w:rsidRPr="00C612FE">
        <w:rPr>
          <w:rFonts w:asciiTheme="majorHAnsi" w:hAnsiTheme="majorHAnsi" w:cstheme="majorHAnsi"/>
          <w:b/>
          <w:bCs/>
          <w:color w:val="000000" w:themeColor="text1"/>
          <w:sz w:val="26"/>
          <w:szCs w:val="26"/>
          <w:lang w:val="vi-VN"/>
        </w:rPr>
        <w:t>trường</w:t>
      </w:r>
    </w:p>
    <w:p w14:paraId="4A7D2ED5"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C612FE">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3F7A6FE7"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C612FE">
        <w:rPr>
          <w:rFonts w:asciiTheme="majorHAnsi" w:hAnsiTheme="majorHAnsi" w:cstheme="majorHAnsi"/>
          <w:color w:val="000000" w:themeColor="text1"/>
          <w:spacing w:val="1"/>
          <w:sz w:val="26"/>
          <w:szCs w:val="26"/>
          <w:lang w:val="vi-VN"/>
        </w:rPr>
        <w:t xml:space="preserve"> </w:t>
      </w:r>
      <w:r w:rsidRPr="00C612FE">
        <w:rPr>
          <w:rFonts w:asciiTheme="majorHAnsi" w:hAnsiTheme="majorHAnsi" w:cstheme="majorHAnsi"/>
          <w:color w:val="000000" w:themeColor="text1"/>
          <w:sz w:val="26"/>
          <w:szCs w:val="26"/>
          <w:lang w:val="vi-VN"/>
        </w:rPr>
        <w:t>chuyển;</w:t>
      </w:r>
    </w:p>
    <w:p w14:paraId="5723D88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C612FE">
        <w:rPr>
          <w:rFonts w:asciiTheme="majorHAnsi" w:hAnsiTheme="majorHAnsi" w:cstheme="majorHAnsi"/>
          <w:color w:val="000000" w:themeColor="text1"/>
          <w:spacing w:val="22"/>
          <w:sz w:val="26"/>
          <w:szCs w:val="26"/>
          <w:lang w:val="vi-VN"/>
        </w:rPr>
        <w:t xml:space="preserve"> </w:t>
      </w:r>
      <w:r w:rsidRPr="00C612FE">
        <w:rPr>
          <w:rFonts w:asciiTheme="majorHAnsi" w:hAnsiTheme="majorHAnsi" w:cstheme="majorHAnsi"/>
          <w:color w:val="000000" w:themeColor="text1"/>
          <w:sz w:val="26"/>
          <w:szCs w:val="26"/>
          <w:lang w:val="vi-VN"/>
        </w:rPr>
        <w:t>lợi;</w:t>
      </w:r>
    </w:p>
    <w:p w14:paraId="15372E5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sẽ</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đưa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ra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những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định</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mọi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người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tham</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chấp</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hành;</w:t>
      </w:r>
    </w:p>
    <w:p w14:paraId="00FA1515"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định;</w:t>
      </w:r>
    </w:p>
    <w:p w14:paraId="150766B3" w14:textId="77777777" w:rsidR="00304C0B" w:rsidRPr="00C612FE"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cộng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đảm</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bảo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tắc</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vệ</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sinh</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và</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an</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thông;</w:t>
      </w:r>
    </w:p>
    <w:p w14:paraId="57FBB0FA" w14:textId="77777777" w:rsidR="00304C0B" w:rsidRPr="00C612FE"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C612FE">
        <w:rPr>
          <w:rFonts w:asciiTheme="majorHAnsi" w:hAnsiTheme="majorHAnsi" w:cstheme="majorHAnsi"/>
          <w:color w:val="000000" w:themeColor="text1"/>
          <w:spacing w:val="17"/>
          <w:sz w:val="26"/>
          <w:szCs w:val="26"/>
          <w:lang w:val="vi-VN"/>
        </w:rPr>
        <w:t xml:space="preserve"> </w:t>
      </w:r>
      <w:r w:rsidRPr="00C612FE">
        <w:rPr>
          <w:rFonts w:asciiTheme="majorHAnsi" w:hAnsiTheme="majorHAnsi" w:cstheme="majorHAnsi"/>
          <w:color w:val="000000" w:themeColor="text1"/>
          <w:sz w:val="26"/>
          <w:szCs w:val="26"/>
          <w:lang w:val="vi-VN"/>
        </w:rPr>
        <w:t>hại;</w:t>
      </w:r>
    </w:p>
    <w:p w14:paraId="6DC144E4"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hạ</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tầng...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nếu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trong</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quá</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do</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nhà</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thầu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gây</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ra.</w:t>
      </w:r>
    </w:p>
    <w:p w14:paraId="2A7CCDB9"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pacing w:val="-4"/>
          <w:sz w:val="26"/>
          <w:szCs w:val="26"/>
          <w:lang w:val="vi-VN"/>
        </w:rPr>
        <w:t xml:space="preserve">Trước khi thi công nhà thầu phải phối hợp với Chủ đầu tư, chính quyền địa phương xác định bãi đổ thải chất thải rắn đảm bảo vệ sinh môi trường theo đúng quy định tại Thông </w:t>
      </w:r>
      <w:r w:rsidRPr="00C612FE">
        <w:rPr>
          <w:rFonts w:asciiTheme="majorHAnsi" w:hAnsiTheme="majorHAnsi" w:cstheme="majorHAnsi"/>
          <w:color w:val="000000" w:themeColor="text1"/>
          <w:spacing w:val="-4"/>
          <w:sz w:val="26"/>
          <w:szCs w:val="26"/>
          <w:lang w:val="vi-VN"/>
        </w:rPr>
        <w:lastRenderedPageBreak/>
        <w:t>tư 08/2017/TT-BXD ngày 26/5/2017 của Bộ Xây dựng.</w:t>
      </w:r>
    </w:p>
    <w:p w14:paraId="10ED0575"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8. Yêu cầu về an toàn lao</w:t>
      </w:r>
      <w:r w:rsidRPr="00C612FE">
        <w:rPr>
          <w:rFonts w:asciiTheme="majorHAnsi" w:hAnsiTheme="majorHAnsi" w:cstheme="majorHAnsi"/>
          <w:b/>
          <w:bCs/>
          <w:color w:val="000000" w:themeColor="text1"/>
          <w:spacing w:val="15"/>
          <w:sz w:val="26"/>
          <w:szCs w:val="26"/>
        </w:rPr>
        <w:t xml:space="preserve"> </w:t>
      </w:r>
      <w:r w:rsidRPr="00C612FE">
        <w:rPr>
          <w:rFonts w:asciiTheme="majorHAnsi" w:hAnsiTheme="majorHAnsi" w:cstheme="majorHAnsi"/>
          <w:b/>
          <w:bCs/>
          <w:color w:val="000000" w:themeColor="text1"/>
          <w:sz w:val="26"/>
          <w:szCs w:val="26"/>
        </w:rPr>
        <w:t>động</w:t>
      </w:r>
    </w:p>
    <w:p w14:paraId="729777EA"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C612FE">
        <w:rPr>
          <w:rFonts w:asciiTheme="majorHAnsi" w:hAnsiTheme="majorHAnsi" w:cstheme="majorHAnsi"/>
          <w:color w:val="000000" w:themeColor="text1"/>
          <w:sz w:val="26"/>
          <w:szCs w:val="26"/>
        </w:rPr>
        <w:t>- Tuân thủ theo các quy định pháp luật hiện hành về An toàn, vệ sinh lao động.</w:t>
      </w:r>
    </w:p>
    <w:p w14:paraId="37E04611" w14:textId="77777777" w:rsidR="00304C0B" w:rsidRPr="00C612FE"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Sử dụng bảo hộ lao động cá nhân, chấp hành nội quy an toàn, công tác bảo vệ, hàng</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rào</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chắn</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các</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khu</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vực</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khi</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đang</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thi</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công,</w:t>
      </w:r>
      <w:r w:rsidRPr="00C612FE">
        <w:rPr>
          <w:rFonts w:asciiTheme="majorHAnsi" w:hAnsiTheme="majorHAnsi" w:cstheme="majorHAnsi"/>
          <w:color w:val="000000" w:themeColor="text1"/>
          <w:spacing w:val="11"/>
          <w:sz w:val="26"/>
          <w:szCs w:val="26"/>
        </w:rPr>
        <w:t xml:space="preserve"> </w:t>
      </w:r>
      <w:r w:rsidRPr="00C612FE">
        <w:rPr>
          <w:rFonts w:asciiTheme="majorHAnsi" w:hAnsiTheme="majorHAnsi" w:cstheme="majorHAnsi"/>
          <w:color w:val="000000" w:themeColor="text1"/>
          <w:sz w:val="26"/>
          <w:szCs w:val="26"/>
        </w:rPr>
        <w:t>cột</w:t>
      </w:r>
      <w:r w:rsidRPr="00C612FE">
        <w:rPr>
          <w:rFonts w:asciiTheme="majorHAnsi" w:hAnsiTheme="majorHAnsi" w:cstheme="majorHAnsi"/>
          <w:color w:val="000000" w:themeColor="text1"/>
          <w:spacing w:val="12"/>
          <w:sz w:val="26"/>
          <w:szCs w:val="26"/>
        </w:rPr>
        <w:t xml:space="preserve"> </w:t>
      </w:r>
      <w:r w:rsidRPr="00C612FE">
        <w:rPr>
          <w:rFonts w:asciiTheme="majorHAnsi" w:hAnsiTheme="majorHAnsi" w:cstheme="majorHAnsi"/>
          <w:color w:val="000000" w:themeColor="text1"/>
          <w:sz w:val="26"/>
          <w:szCs w:val="26"/>
        </w:rPr>
        <w:t>chống,</w:t>
      </w:r>
      <w:r w:rsidRPr="00C612FE">
        <w:rPr>
          <w:rFonts w:asciiTheme="majorHAnsi" w:hAnsiTheme="majorHAnsi" w:cstheme="majorHAnsi"/>
          <w:color w:val="000000" w:themeColor="text1"/>
          <w:spacing w:val="13"/>
          <w:sz w:val="26"/>
          <w:szCs w:val="26"/>
        </w:rPr>
        <w:t xml:space="preserve"> </w:t>
      </w:r>
      <w:r w:rsidRPr="00C612FE">
        <w:rPr>
          <w:rFonts w:asciiTheme="majorHAnsi" w:hAnsiTheme="majorHAnsi" w:cstheme="majorHAnsi"/>
          <w:color w:val="000000" w:themeColor="text1"/>
          <w:sz w:val="26"/>
          <w:szCs w:val="26"/>
        </w:rPr>
        <w:t>biển</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báo</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tạm</w:t>
      </w:r>
      <w:r w:rsidRPr="00C612FE">
        <w:rPr>
          <w:rFonts w:asciiTheme="majorHAnsi" w:hAnsiTheme="majorHAnsi" w:cstheme="majorHAnsi"/>
          <w:color w:val="000000" w:themeColor="text1"/>
          <w:spacing w:val="6"/>
          <w:sz w:val="26"/>
          <w:szCs w:val="26"/>
        </w:rPr>
        <w:t xml:space="preserve"> </w:t>
      </w:r>
      <w:r w:rsidRPr="00C612FE">
        <w:rPr>
          <w:rFonts w:asciiTheme="majorHAnsi" w:hAnsiTheme="majorHAnsi" w:cstheme="majorHAnsi"/>
          <w:color w:val="000000" w:themeColor="text1"/>
          <w:sz w:val="26"/>
          <w:szCs w:val="26"/>
        </w:rPr>
        <w:t>thời,</w:t>
      </w:r>
      <w:r w:rsidRPr="00C612FE">
        <w:rPr>
          <w:rFonts w:asciiTheme="majorHAnsi" w:hAnsiTheme="majorHAnsi" w:cstheme="majorHAnsi"/>
          <w:color w:val="000000" w:themeColor="text1"/>
          <w:spacing w:val="13"/>
          <w:sz w:val="26"/>
          <w:szCs w:val="26"/>
        </w:rPr>
        <w:t xml:space="preserve"> </w:t>
      </w:r>
      <w:r w:rsidRPr="00C612FE">
        <w:rPr>
          <w:rFonts w:asciiTheme="majorHAnsi" w:hAnsiTheme="majorHAnsi" w:cstheme="majorHAnsi"/>
          <w:color w:val="000000" w:themeColor="text1"/>
          <w:sz w:val="26"/>
          <w:szCs w:val="26"/>
        </w:rPr>
        <w:t>chiếu</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sáng, biển báo giao thông cho toàn bộ các công việc cho tới khi hoàn thành toàn bộ các công việc;</w:t>
      </w:r>
    </w:p>
    <w:p w14:paraId="31ECCFF8" w14:textId="77777777" w:rsidR="00304C0B" w:rsidRPr="00C612FE"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C612FE">
        <w:rPr>
          <w:rFonts w:asciiTheme="majorHAnsi" w:hAnsiTheme="majorHAnsi" w:cstheme="majorHAnsi"/>
          <w:color w:val="000000" w:themeColor="text1"/>
          <w:spacing w:val="54"/>
          <w:sz w:val="26"/>
          <w:szCs w:val="26"/>
        </w:rPr>
        <w:t xml:space="preserve"> </w:t>
      </w:r>
      <w:r w:rsidRPr="00C612FE">
        <w:rPr>
          <w:rFonts w:asciiTheme="majorHAnsi" w:hAnsiTheme="majorHAnsi" w:cstheme="majorHAnsi"/>
          <w:color w:val="000000" w:themeColor="text1"/>
          <w:sz w:val="26"/>
          <w:szCs w:val="26"/>
        </w:rPr>
        <w:t>tư;</w:t>
      </w:r>
    </w:p>
    <w:p w14:paraId="64F3361B" w14:textId="77777777" w:rsidR="00304C0B" w:rsidRPr="00C612FE"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thủ</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tục</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hành</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chính,</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an</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toàn</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lao</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động</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cho</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khách</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khi</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đến</w:t>
      </w:r>
      <w:r w:rsidRPr="00C612FE">
        <w:rPr>
          <w:rFonts w:asciiTheme="majorHAnsi" w:hAnsiTheme="majorHAnsi" w:cstheme="majorHAnsi"/>
          <w:color w:val="000000" w:themeColor="text1"/>
          <w:spacing w:val="7"/>
          <w:sz w:val="26"/>
          <w:szCs w:val="26"/>
        </w:rPr>
        <w:t xml:space="preserve"> </w:t>
      </w:r>
      <w:r w:rsidRPr="00C612FE">
        <w:rPr>
          <w:rFonts w:asciiTheme="majorHAnsi" w:hAnsiTheme="majorHAnsi" w:cstheme="majorHAnsi"/>
          <w:color w:val="000000" w:themeColor="text1"/>
          <w:sz w:val="26"/>
          <w:szCs w:val="26"/>
        </w:rPr>
        <w:t>làm</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việc</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với</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công</w:t>
      </w:r>
      <w:r w:rsidRPr="00C612FE">
        <w:rPr>
          <w:rFonts w:asciiTheme="majorHAnsi" w:hAnsiTheme="majorHAnsi" w:cstheme="majorHAnsi"/>
          <w:color w:val="000000" w:themeColor="text1"/>
          <w:spacing w:val="10"/>
          <w:sz w:val="26"/>
          <w:szCs w:val="26"/>
        </w:rPr>
        <w:t xml:space="preserve"> </w:t>
      </w:r>
      <w:r w:rsidRPr="00C612FE">
        <w:rPr>
          <w:rFonts w:asciiTheme="majorHAnsi" w:hAnsiTheme="majorHAnsi" w:cstheme="majorHAnsi"/>
          <w:color w:val="000000" w:themeColor="text1"/>
          <w:sz w:val="26"/>
          <w:szCs w:val="26"/>
        </w:rPr>
        <w:t>trường;</w:t>
      </w:r>
    </w:p>
    <w:p w14:paraId="616FA1EB" w14:textId="77777777" w:rsidR="00304C0B" w:rsidRPr="00C612FE"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Trong đó đối với từng phần việc nhà thầu phải có phương án và biện pháp cụ thể để bảo đảm an toán; Bao</w:t>
      </w:r>
      <w:r w:rsidRPr="00C612FE">
        <w:rPr>
          <w:rFonts w:asciiTheme="majorHAnsi" w:hAnsiTheme="majorHAnsi" w:cstheme="majorHAnsi"/>
          <w:color w:val="000000" w:themeColor="text1"/>
          <w:spacing w:val="13"/>
          <w:sz w:val="26"/>
          <w:szCs w:val="26"/>
        </w:rPr>
        <w:t xml:space="preserve"> </w:t>
      </w:r>
      <w:r w:rsidRPr="00C612FE">
        <w:rPr>
          <w:rFonts w:asciiTheme="majorHAnsi" w:hAnsiTheme="majorHAnsi" w:cstheme="majorHAnsi"/>
          <w:color w:val="000000" w:themeColor="text1"/>
          <w:sz w:val="26"/>
          <w:szCs w:val="26"/>
        </w:rPr>
        <w:t>gồm:</w:t>
      </w:r>
    </w:p>
    <w:p w14:paraId="12A394BB"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288D940A"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5A750FC2"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C612FE">
        <w:rPr>
          <w:rFonts w:asciiTheme="majorHAnsi" w:hAnsiTheme="majorHAnsi" w:cstheme="majorHAnsi"/>
          <w:color w:val="000000" w:themeColor="text1"/>
          <w:spacing w:val="2"/>
          <w:sz w:val="26"/>
          <w:szCs w:val="26"/>
        </w:rPr>
        <w:t xml:space="preserve"> </w:t>
      </w:r>
      <w:r w:rsidRPr="00C612FE">
        <w:rPr>
          <w:rFonts w:asciiTheme="majorHAnsi" w:hAnsiTheme="majorHAnsi" w:cstheme="majorHAnsi"/>
          <w:color w:val="000000" w:themeColor="text1"/>
          <w:sz w:val="26"/>
          <w:szCs w:val="26"/>
        </w:rPr>
        <w:t>trình.</w:t>
      </w:r>
    </w:p>
    <w:p w14:paraId="57EA744B"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9. Biện pháp huy động nhân lực và thiết bị phục </w:t>
      </w:r>
      <w:r w:rsidRPr="00C612FE">
        <w:rPr>
          <w:rFonts w:asciiTheme="majorHAnsi" w:hAnsiTheme="majorHAnsi" w:cstheme="majorHAnsi"/>
          <w:b/>
          <w:bCs/>
          <w:color w:val="000000" w:themeColor="text1"/>
          <w:spacing w:val="-3"/>
          <w:sz w:val="26"/>
          <w:szCs w:val="26"/>
        </w:rPr>
        <w:t xml:space="preserve">vụ </w:t>
      </w:r>
      <w:r w:rsidRPr="00C612FE">
        <w:rPr>
          <w:rFonts w:asciiTheme="majorHAnsi" w:hAnsiTheme="majorHAnsi" w:cstheme="majorHAnsi"/>
          <w:b/>
          <w:bCs/>
          <w:color w:val="000000" w:themeColor="text1"/>
          <w:sz w:val="26"/>
          <w:szCs w:val="26"/>
        </w:rPr>
        <w:t>thi</w:t>
      </w:r>
      <w:r w:rsidRPr="00C612FE">
        <w:rPr>
          <w:rFonts w:asciiTheme="majorHAnsi" w:hAnsiTheme="majorHAnsi" w:cstheme="majorHAnsi"/>
          <w:b/>
          <w:bCs/>
          <w:color w:val="000000" w:themeColor="text1"/>
          <w:spacing w:val="34"/>
          <w:sz w:val="26"/>
          <w:szCs w:val="26"/>
        </w:rPr>
        <w:t xml:space="preserve"> </w:t>
      </w:r>
      <w:r w:rsidRPr="00C612FE">
        <w:rPr>
          <w:rFonts w:asciiTheme="majorHAnsi" w:hAnsiTheme="majorHAnsi" w:cstheme="majorHAnsi"/>
          <w:b/>
          <w:bCs/>
          <w:color w:val="000000" w:themeColor="text1"/>
          <w:sz w:val="26"/>
          <w:szCs w:val="26"/>
        </w:rPr>
        <w:t>công</w:t>
      </w:r>
    </w:p>
    <w:p w14:paraId="587C53E3"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34AB01DC"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Tất cả các nhân sự huy động cho gói thầu ngoài việc phải đáp ứng về trình độ chuyên môn, tay nghề, đạo đức nghề nghiệp cần phải được đào tạo, tập huấn hoặc huấn luyện, hiểu </w:t>
      </w:r>
      <w:r w:rsidRPr="00C612FE">
        <w:rPr>
          <w:rFonts w:asciiTheme="majorHAnsi" w:hAnsiTheme="majorHAnsi" w:cstheme="majorHAnsi"/>
          <w:color w:val="000000" w:themeColor="text1"/>
          <w:sz w:val="26"/>
          <w:szCs w:val="26"/>
        </w:rPr>
        <w:lastRenderedPageBreak/>
        <w:t>biết các Quy định về Vệ sinh, an toàn lao động, phòng chống cháy nổ, đảm bảo vệ sinh môi trường.</w:t>
      </w:r>
    </w:p>
    <w:p w14:paraId="1F7318F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Thiết bị phục vụ thi công sử dụng cho công trình đều phải là các thiết bị hoạt động tốt; đảm bảo các quy định về an toàn lao động, vệ sinh môi trường…</w:t>
      </w:r>
    </w:p>
    <w:p w14:paraId="1D914626" w14:textId="77777777" w:rsidR="00304C0B" w:rsidRPr="00C612FE"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10. Yêu cầu về biện pháp tổ chức thi công tổng thể và các hạng</w:t>
      </w:r>
      <w:r w:rsidRPr="00C612FE">
        <w:rPr>
          <w:rFonts w:asciiTheme="majorHAnsi" w:hAnsiTheme="majorHAnsi" w:cstheme="majorHAnsi"/>
          <w:b/>
          <w:bCs/>
          <w:color w:val="000000" w:themeColor="text1"/>
          <w:spacing w:val="45"/>
          <w:sz w:val="26"/>
          <w:szCs w:val="26"/>
        </w:rPr>
        <w:t xml:space="preserve"> </w:t>
      </w:r>
      <w:r w:rsidRPr="00C612FE">
        <w:rPr>
          <w:rFonts w:asciiTheme="majorHAnsi" w:hAnsiTheme="majorHAnsi" w:cstheme="majorHAnsi"/>
          <w:b/>
          <w:bCs/>
          <w:color w:val="000000" w:themeColor="text1"/>
          <w:sz w:val="26"/>
          <w:szCs w:val="26"/>
        </w:rPr>
        <w:t>mục</w:t>
      </w:r>
    </w:p>
    <w:p w14:paraId="693CDCCB" w14:textId="77777777" w:rsidR="00304C0B" w:rsidRPr="00C612FE"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Thực hiện theo Tiêu chuẩn, quy chuẩn hiện hành về Tổ chức thi</w:t>
      </w:r>
      <w:r w:rsidRPr="00C612FE">
        <w:rPr>
          <w:rFonts w:asciiTheme="majorHAnsi" w:hAnsiTheme="majorHAnsi" w:cstheme="majorHAnsi"/>
          <w:color w:val="000000" w:themeColor="text1"/>
          <w:spacing w:val="37"/>
          <w:sz w:val="26"/>
          <w:szCs w:val="26"/>
        </w:rPr>
        <w:t xml:space="preserve"> </w:t>
      </w:r>
      <w:r w:rsidRPr="00C612FE">
        <w:rPr>
          <w:rFonts w:asciiTheme="majorHAnsi" w:hAnsiTheme="majorHAnsi" w:cstheme="majorHAnsi"/>
          <w:color w:val="000000" w:themeColor="text1"/>
          <w:sz w:val="26"/>
          <w:szCs w:val="26"/>
        </w:rPr>
        <w:t>công công trình xây dựng.</w:t>
      </w:r>
    </w:p>
    <w:p w14:paraId="5EEF5267" w14:textId="77777777" w:rsidR="00304C0B" w:rsidRPr="00C612FE"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C612FE">
        <w:rPr>
          <w:rFonts w:asciiTheme="majorHAnsi" w:hAnsiTheme="majorHAnsi" w:cstheme="majorHAnsi"/>
          <w:color w:val="000000" w:themeColor="text1"/>
          <w:spacing w:val="39"/>
          <w:sz w:val="26"/>
          <w:szCs w:val="26"/>
        </w:rPr>
        <w:t xml:space="preserve"> </w:t>
      </w:r>
      <w:r w:rsidRPr="00C612FE">
        <w:rPr>
          <w:rFonts w:asciiTheme="majorHAnsi" w:hAnsiTheme="majorHAnsi" w:cstheme="majorHAnsi"/>
          <w:color w:val="000000" w:themeColor="text1"/>
          <w:sz w:val="26"/>
          <w:szCs w:val="26"/>
        </w:rPr>
        <w:t>công…</w:t>
      </w:r>
    </w:p>
    <w:p w14:paraId="1E392086" w14:textId="77777777" w:rsidR="00304C0B" w:rsidRPr="00C612FE"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11. Yêu cầu về hệ thống kiểm tra, giám sát chất lượng của nhà</w:t>
      </w:r>
      <w:r w:rsidRPr="00C612FE">
        <w:rPr>
          <w:rFonts w:asciiTheme="majorHAnsi" w:hAnsiTheme="majorHAnsi" w:cstheme="majorHAnsi"/>
          <w:b/>
          <w:bCs/>
          <w:color w:val="000000" w:themeColor="text1"/>
          <w:spacing w:val="50"/>
          <w:sz w:val="26"/>
          <w:szCs w:val="26"/>
        </w:rPr>
        <w:t xml:space="preserve"> </w:t>
      </w:r>
      <w:r w:rsidRPr="00C612FE">
        <w:rPr>
          <w:rFonts w:asciiTheme="majorHAnsi" w:hAnsiTheme="majorHAnsi" w:cstheme="majorHAnsi"/>
          <w:b/>
          <w:bCs/>
          <w:color w:val="000000" w:themeColor="text1"/>
          <w:sz w:val="26"/>
          <w:szCs w:val="26"/>
        </w:rPr>
        <w:t>thầu;</w:t>
      </w:r>
    </w:p>
    <w:p w14:paraId="10A165C3" w14:textId="77777777" w:rsidR="00304C0B" w:rsidRPr="00C612FE"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Khi cấu kiện xây dựng hoàn thành; Nhà thầu phải nghiệm thu nội bộ với thành phần bao</w:t>
      </w:r>
      <w:r w:rsidRPr="00C612FE">
        <w:rPr>
          <w:rFonts w:asciiTheme="majorHAnsi" w:hAnsiTheme="majorHAnsi" w:cstheme="majorHAnsi"/>
          <w:color w:val="000000" w:themeColor="text1"/>
          <w:spacing w:val="2"/>
          <w:sz w:val="26"/>
          <w:szCs w:val="26"/>
        </w:rPr>
        <w:t xml:space="preserve"> </w:t>
      </w:r>
      <w:r w:rsidRPr="00C612FE">
        <w:rPr>
          <w:rFonts w:asciiTheme="majorHAnsi" w:hAnsiTheme="majorHAnsi" w:cstheme="majorHAnsi"/>
          <w:color w:val="000000" w:themeColor="text1"/>
          <w:sz w:val="26"/>
          <w:szCs w:val="26"/>
        </w:rPr>
        <w:t>gồm:</w:t>
      </w:r>
    </w:p>
    <w:p w14:paraId="1AC99C5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Chỉ huy trưởng công trường;</w:t>
      </w:r>
    </w:p>
    <w:p w14:paraId="437F9FC7"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Cán bộ kỹ thuật thi công;</w:t>
      </w:r>
    </w:p>
    <w:p w14:paraId="12217DE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Tổ trưởng tổ thợ thi công.</w:t>
      </w:r>
    </w:p>
    <w:p w14:paraId="29E7838C" w14:textId="77777777" w:rsidR="00304C0B" w:rsidRPr="00C612FE"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w:t>
      </w:r>
      <w:r w:rsidRPr="00C612FE">
        <w:rPr>
          <w:rFonts w:asciiTheme="majorHAnsi" w:hAnsiTheme="majorHAnsi" w:cstheme="majorHAnsi"/>
          <w:color w:val="000000" w:themeColor="text1"/>
          <w:spacing w:val="4"/>
          <w:sz w:val="26"/>
          <w:szCs w:val="26"/>
        </w:rPr>
        <w:t xml:space="preserve"> </w:t>
      </w:r>
      <w:r w:rsidRPr="00C612FE">
        <w:rPr>
          <w:rFonts w:asciiTheme="majorHAnsi" w:hAnsiTheme="majorHAnsi" w:cstheme="majorHAnsi"/>
          <w:color w:val="000000" w:themeColor="text1"/>
          <w:sz w:val="26"/>
          <w:szCs w:val="26"/>
        </w:rPr>
        <w:t>trường;</w:t>
      </w:r>
    </w:p>
    <w:p w14:paraId="31AE6508"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Ghi nhật ký thi công và trình TVGS ký vào cuối buổi làm việc hàng</w:t>
      </w:r>
      <w:r w:rsidRPr="00C612FE">
        <w:rPr>
          <w:rFonts w:asciiTheme="majorHAnsi" w:hAnsiTheme="majorHAnsi" w:cstheme="majorHAnsi"/>
          <w:color w:val="000000" w:themeColor="text1"/>
          <w:spacing w:val="8"/>
          <w:sz w:val="26"/>
          <w:szCs w:val="26"/>
        </w:rPr>
        <w:t xml:space="preserve"> </w:t>
      </w:r>
      <w:r w:rsidRPr="00C612FE">
        <w:rPr>
          <w:rFonts w:asciiTheme="majorHAnsi" w:hAnsiTheme="majorHAnsi" w:cstheme="majorHAnsi"/>
          <w:color w:val="000000" w:themeColor="text1"/>
          <w:sz w:val="26"/>
          <w:szCs w:val="26"/>
        </w:rPr>
        <w:t>ngày;</w:t>
      </w:r>
    </w:p>
    <w:p w14:paraId="0A66AF36" w14:textId="77777777" w:rsidR="00304C0B" w:rsidRPr="00C612FE"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pacing w:val="-4"/>
          <w:sz w:val="26"/>
          <w:szCs w:val="26"/>
        </w:rPr>
        <w:t xml:space="preserve">Sau khi </w:t>
      </w:r>
      <w:r w:rsidRPr="00C612FE">
        <w:rPr>
          <w:rFonts w:asciiTheme="majorHAnsi" w:hAnsiTheme="majorHAnsi" w:cstheme="majorHAnsi"/>
          <w:color w:val="000000" w:themeColor="text1"/>
          <w:sz w:val="26"/>
          <w:szCs w:val="26"/>
        </w:rPr>
        <w:t xml:space="preserve">cấu </w:t>
      </w:r>
      <w:r w:rsidRPr="00C612FE">
        <w:rPr>
          <w:rFonts w:asciiTheme="majorHAnsi" w:hAnsiTheme="majorHAnsi" w:cstheme="majorHAnsi"/>
          <w:color w:val="000000" w:themeColor="text1"/>
          <w:spacing w:val="-5"/>
          <w:sz w:val="26"/>
          <w:szCs w:val="26"/>
        </w:rPr>
        <w:t xml:space="preserve">kiện, </w:t>
      </w:r>
      <w:r w:rsidRPr="00C612FE">
        <w:rPr>
          <w:rFonts w:asciiTheme="majorHAnsi" w:hAnsiTheme="majorHAnsi" w:cstheme="majorHAnsi"/>
          <w:color w:val="000000" w:themeColor="text1"/>
          <w:spacing w:val="-3"/>
          <w:sz w:val="26"/>
          <w:szCs w:val="26"/>
        </w:rPr>
        <w:t xml:space="preserve">bộ </w:t>
      </w:r>
      <w:r w:rsidRPr="00C612FE">
        <w:rPr>
          <w:rFonts w:asciiTheme="majorHAnsi" w:hAnsiTheme="majorHAnsi" w:cstheme="majorHAnsi"/>
          <w:color w:val="000000" w:themeColor="text1"/>
          <w:spacing w:val="-4"/>
          <w:sz w:val="26"/>
          <w:szCs w:val="26"/>
        </w:rPr>
        <w:t xml:space="preserve">phận, </w:t>
      </w:r>
      <w:r w:rsidRPr="00C612FE">
        <w:rPr>
          <w:rFonts w:asciiTheme="majorHAnsi" w:hAnsiTheme="majorHAnsi" w:cstheme="majorHAnsi"/>
          <w:color w:val="000000" w:themeColor="text1"/>
          <w:spacing w:val="-3"/>
          <w:sz w:val="26"/>
          <w:szCs w:val="26"/>
        </w:rPr>
        <w:t xml:space="preserve">công </w:t>
      </w:r>
      <w:r w:rsidRPr="00C612FE">
        <w:rPr>
          <w:rFonts w:asciiTheme="majorHAnsi" w:hAnsiTheme="majorHAnsi" w:cstheme="majorHAnsi"/>
          <w:color w:val="000000" w:themeColor="text1"/>
          <w:spacing w:val="-4"/>
          <w:sz w:val="26"/>
          <w:szCs w:val="26"/>
        </w:rPr>
        <w:t xml:space="preserve">việc hoàn </w:t>
      </w:r>
      <w:r w:rsidRPr="00C612FE">
        <w:rPr>
          <w:rFonts w:asciiTheme="majorHAnsi" w:hAnsiTheme="majorHAnsi" w:cstheme="majorHAnsi"/>
          <w:color w:val="000000" w:themeColor="text1"/>
          <w:spacing w:val="-3"/>
          <w:sz w:val="26"/>
          <w:szCs w:val="26"/>
        </w:rPr>
        <w:t xml:space="preserve">thành phải </w:t>
      </w:r>
      <w:r w:rsidRPr="00C612FE">
        <w:rPr>
          <w:rFonts w:asciiTheme="majorHAnsi" w:hAnsiTheme="majorHAnsi" w:cstheme="majorHAnsi"/>
          <w:color w:val="000000" w:themeColor="text1"/>
          <w:sz w:val="26"/>
          <w:szCs w:val="26"/>
        </w:rPr>
        <w:t xml:space="preserve">lập hồ sơ </w:t>
      </w:r>
      <w:r w:rsidRPr="00C612FE">
        <w:rPr>
          <w:rFonts w:asciiTheme="majorHAnsi" w:hAnsiTheme="majorHAnsi" w:cstheme="majorHAnsi"/>
          <w:color w:val="000000" w:themeColor="text1"/>
          <w:spacing w:val="-3"/>
          <w:sz w:val="26"/>
          <w:szCs w:val="26"/>
        </w:rPr>
        <w:t xml:space="preserve">hoàn công </w:t>
      </w:r>
      <w:r w:rsidRPr="00C612FE">
        <w:rPr>
          <w:rFonts w:asciiTheme="majorHAnsi" w:hAnsiTheme="majorHAnsi" w:cstheme="majorHAnsi"/>
          <w:color w:val="000000" w:themeColor="text1"/>
          <w:spacing w:val="-4"/>
          <w:sz w:val="26"/>
          <w:szCs w:val="26"/>
        </w:rPr>
        <w:t>theo</w:t>
      </w:r>
      <w:r w:rsidRPr="00C612FE">
        <w:rPr>
          <w:rFonts w:asciiTheme="majorHAnsi" w:hAnsiTheme="majorHAnsi" w:cstheme="majorHAnsi"/>
          <w:color w:val="000000" w:themeColor="text1"/>
          <w:spacing w:val="48"/>
          <w:sz w:val="26"/>
          <w:szCs w:val="26"/>
        </w:rPr>
        <w:t xml:space="preserve"> </w:t>
      </w:r>
      <w:r w:rsidRPr="00C612FE">
        <w:rPr>
          <w:rFonts w:asciiTheme="majorHAnsi" w:hAnsiTheme="majorHAnsi" w:cstheme="majorHAnsi"/>
          <w:color w:val="000000" w:themeColor="text1"/>
          <w:spacing w:val="-3"/>
          <w:sz w:val="26"/>
          <w:szCs w:val="26"/>
        </w:rPr>
        <w:t xml:space="preserve">quy </w:t>
      </w:r>
      <w:r w:rsidRPr="00C612FE">
        <w:rPr>
          <w:rFonts w:asciiTheme="majorHAnsi" w:hAnsiTheme="majorHAnsi" w:cstheme="majorHAnsi"/>
          <w:color w:val="000000" w:themeColor="text1"/>
          <w:sz w:val="26"/>
          <w:szCs w:val="26"/>
        </w:rPr>
        <w:t>định.</w:t>
      </w:r>
    </w:p>
    <w:p w14:paraId="205C732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Nhà thầu phải thuyết minh kèm theo tài liệu chứng minh (nếu có) theo các yêu cầu kỹ thuật quy định tại Chương III của E-HSMT.</w:t>
      </w:r>
    </w:p>
    <w:p w14:paraId="15BA4C0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b/>
          <w:color w:val="000000" w:themeColor="text1"/>
          <w:sz w:val="26"/>
          <w:szCs w:val="26"/>
        </w:rPr>
        <w:t>12</w:t>
      </w:r>
      <w:r w:rsidRPr="00C612FE">
        <w:rPr>
          <w:rFonts w:asciiTheme="majorHAnsi" w:hAnsiTheme="majorHAnsi" w:cstheme="majorHAnsi"/>
          <w:color w:val="000000" w:themeColor="text1"/>
          <w:sz w:val="26"/>
          <w:szCs w:val="26"/>
        </w:rPr>
        <w:t xml:space="preserve">. </w:t>
      </w:r>
      <w:r w:rsidRPr="00C612FE">
        <w:rPr>
          <w:rFonts w:asciiTheme="majorHAnsi" w:hAnsiTheme="majorHAnsi" w:cstheme="majorHAnsi"/>
          <w:b/>
          <w:color w:val="000000" w:themeColor="text1"/>
          <w:sz w:val="26"/>
          <w:szCs w:val="26"/>
        </w:rPr>
        <w:t xml:space="preserve">Yêu cầu khác: </w:t>
      </w:r>
    </w:p>
    <w:p w14:paraId="319D0618" w14:textId="542B67E2" w:rsidR="00E87B32" w:rsidRPr="00C612FE" w:rsidRDefault="00304C0B" w:rsidP="00304C0B">
      <w:pPr>
        <w:spacing w:line="276" w:lineRule="auto"/>
        <w:ind w:firstLine="567"/>
        <w:rPr>
          <w:rFonts w:asciiTheme="majorHAnsi" w:hAnsiTheme="majorHAnsi" w:cstheme="majorHAnsi"/>
          <w:color w:val="000000"/>
          <w:sz w:val="26"/>
          <w:szCs w:val="26"/>
        </w:rPr>
      </w:pPr>
      <w:r w:rsidRPr="00C612FE">
        <w:rPr>
          <w:rFonts w:asciiTheme="majorHAnsi" w:hAnsiTheme="majorHAnsi" w:cstheme="majorHAnsi"/>
          <w:color w:val="000000" w:themeColor="text1"/>
          <w:sz w:val="26"/>
          <w:szCs w:val="26"/>
          <w:lang w:val="vi-VN"/>
        </w:rPr>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C612FE">
        <w:rPr>
          <w:rFonts w:asciiTheme="majorHAnsi" w:hAnsiTheme="majorHAnsi" w:cstheme="majorHAnsi"/>
          <w:color w:val="000000" w:themeColor="text1"/>
          <w:sz w:val="26"/>
          <w:szCs w:val="26"/>
        </w:rPr>
        <w:t>.</w:t>
      </w:r>
    </w:p>
    <w:p w14:paraId="5AA9D776" w14:textId="77777777" w:rsidR="009E1F10" w:rsidRPr="00C612FE" w:rsidRDefault="009E1F10" w:rsidP="009E1F10">
      <w:pPr>
        <w:widowControl w:val="0"/>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IV. Các bản vẽ</w:t>
      </w:r>
    </w:p>
    <w:p w14:paraId="40BBAA60" w14:textId="77777777" w:rsidR="009E1F10" w:rsidRPr="00C612FE" w:rsidRDefault="009E1F10"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C612FE" w14:paraId="596B8606" w14:textId="77777777" w:rsidTr="00254D2A">
        <w:trPr>
          <w:trHeight w:val="70"/>
        </w:trPr>
        <w:tc>
          <w:tcPr>
            <w:tcW w:w="850" w:type="dxa"/>
            <w:shd w:val="clear" w:color="auto" w:fill="auto"/>
          </w:tcPr>
          <w:p w14:paraId="7A83FCEA"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STT</w:t>
            </w:r>
          </w:p>
        </w:tc>
        <w:tc>
          <w:tcPr>
            <w:tcW w:w="2073" w:type="dxa"/>
            <w:shd w:val="clear" w:color="auto" w:fill="auto"/>
          </w:tcPr>
          <w:p w14:paraId="348A8742"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Ký hiệu</w:t>
            </w:r>
          </w:p>
        </w:tc>
        <w:tc>
          <w:tcPr>
            <w:tcW w:w="2300" w:type="dxa"/>
            <w:shd w:val="clear" w:color="auto" w:fill="auto"/>
          </w:tcPr>
          <w:p w14:paraId="4173B855"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Tên bản vẽ</w:t>
            </w:r>
          </w:p>
        </w:tc>
        <w:tc>
          <w:tcPr>
            <w:tcW w:w="3428" w:type="dxa"/>
            <w:shd w:val="clear" w:color="auto" w:fill="auto"/>
          </w:tcPr>
          <w:p w14:paraId="0F73680D"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Phiên bản/ngày phát hành</w:t>
            </w:r>
          </w:p>
        </w:tc>
      </w:tr>
      <w:tr w:rsidR="009E1F10" w:rsidRPr="00C612FE" w14:paraId="536F8A77" w14:textId="77777777" w:rsidTr="00254D2A">
        <w:trPr>
          <w:trHeight w:val="70"/>
        </w:trPr>
        <w:tc>
          <w:tcPr>
            <w:tcW w:w="850" w:type="dxa"/>
            <w:shd w:val="clear" w:color="auto" w:fill="auto"/>
          </w:tcPr>
          <w:p w14:paraId="0D018314" w14:textId="77777777" w:rsidR="009E1F10" w:rsidRPr="00C612FE" w:rsidRDefault="009E1F10" w:rsidP="009E1F10">
            <w:pPr>
              <w:widowControl w:val="0"/>
              <w:spacing w:line="276" w:lineRule="auto"/>
              <w:jc w:val="center"/>
              <w:rPr>
                <w:rFonts w:asciiTheme="majorHAnsi" w:hAnsiTheme="majorHAnsi" w:cstheme="majorHAnsi"/>
                <w:sz w:val="26"/>
                <w:szCs w:val="26"/>
                <w:lang w:val="en-GB"/>
              </w:rPr>
            </w:pPr>
            <w:r w:rsidRPr="00C612FE">
              <w:rPr>
                <w:rFonts w:asciiTheme="majorHAnsi" w:hAnsiTheme="majorHAnsi" w:cstheme="majorHAnsi"/>
                <w:sz w:val="26"/>
                <w:szCs w:val="26"/>
                <w:lang w:val="en-GB"/>
              </w:rPr>
              <w:t>1</w:t>
            </w:r>
          </w:p>
        </w:tc>
        <w:tc>
          <w:tcPr>
            <w:tcW w:w="2073" w:type="dxa"/>
            <w:shd w:val="clear" w:color="auto" w:fill="auto"/>
          </w:tcPr>
          <w:p w14:paraId="0E0E4327" w14:textId="77777777" w:rsidR="009E1F10" w:rsidRPr="00C612FE" w:rsidRDefault="009E1F10" w:rsidP="009E1F10">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TKBVTC</w:t>
            </w:r>
          </w:p>
        </w:tc>
        <w:tc>
          <w:tcPr>
            <w:tcW w:w="2300" w:type="dxa"/>
            <w:shd w:val="clear" w:color="auto" w:fill="auto"/>
          </w:tcPr>
          <w:p w14:paraId="5432DB13" w14:textId="519C2942" w:rsidR="009E1F10" w:rsidRPr="00C612FE" w:rsidRDefault="009E1F10" w:rsidP="005B0B0C">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Thiết kế bản vẽ thi công</w:t>
            </w:r>
            <w:r w:rsidR="005B0B0C" w:rsidRPr="00C612FE">
              <w:rPr>
                <w:rFonts w:asciiTheme="majorHAnsi" w:hAnsiTheme="majorHAnsi" w:cstheme="majorHAnsi"/>
                <w:color w:val="000000"/>
                <w:sz w:val="26"/>
                <w:szCs w:val="26"/>
                <w:lang w:val="en-GB"/>
              </w:rPr>
              <w:t xml:space="preserve"> được duyệt tại Quyết định số </w:t>
            </w:r>
            <w:r w:rsidR="00FF53D6">
              <w:rPr>
                <w:rFonts w:asciiTheme="majorHAnsi" w:hAnsiTheme="majorHAnsi" w:cstheme="majorHAnsi"/>
                <w:color w:val="000000"/>
                <w:sz w:val="26"/>
                <w:szCs w:val="26"/>
                <w:lang w:val="en-GB"/>
              </w:rPr>
              <w:t>1343</w:t>
            </w:r>
            <w:r w:rsidR="00A2647E" w:rsidRPr="00C612FE">
              <w:rPr>
                <w:rFonts w:asciiTheme="majorHAnsi" w:hAnsiTheme="majorHAnsi" w:cstheme="majorHAnsi"/>
                <w:color w:val="000000"/>
                <w:sz w:val="26"/>
                <w:szCs w:val="26"/>
                <w:lang w:val="en-GB"/>
              </w:rPr>
              <w:t>/QĐ-UBND</w:t>
            </w:r>
          </w:p>
        </w:tc>
        <w:tc>
          <w:tcPr>
            <w:tcW w:w="3428" w:type="dxa"/>
            <w:shd w:val="clear" w:color="auto" w:fill="auto"/>
          </w:tcPr>
          <w:p w14:paraId="3E0B52AD" w14:textId="7069FDF5" w:rsidR="009E1F10" w:rsidRPr="00C612FE" w:rsidRDefault="00FF53D6" w:rsidP="009E1F10">
            <w:pPr>
              <w:widowControl w:val="0"/>
              <w:spacing w:line="276" w:lineRule="auto"/>
              <w:jc w:val="center"/>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t>09/10/2025</w:t>
            </w:r>
          </w:p>
        </w:tc>
      </w:tr>
    </w:tbl>
    <w:p w14:paraId="791FEC57" w14:textId="77777777" w:rsidR="00E33888" w:rsidRPr="00C612FE" w:rsidRDefault="00E33888" w:rsidP="009E1F10">
      <w:pPr>
        <w:spacing w:line="276" w:lineRule="auto"/>
        <w:rPr>
          <w:rFonts w:asciiTheme="majorHAnsi" w:hAnsiTheme="majorHAnsi" w:cstheme="majorHAnsi"/>
          <w:sz w:val="26"/>
          <w:szCs w:val="26"/>
        </w:rPr>
      </w:pPr>
    </w:p>
    <w:sectPr w:rsidR="00E33888" w:rsidRPr="00C612FE"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85BC1"/>
    <w:rsid w:val="000C6919"/>
    <w:rsid w:val="000E6EA1"/>
    <w:rsid w:val="000F3019"/>
    <w:rsid w:val="00146CFA"/>
    <w:rsid w:val="00167DB9"/>
    <w:rsid w:val="001706DE"/>
    <w:rsid w:val="001A791B"/>
    <w:rsid w:val="00213A1B"/>
    <w:rsid w:val="002223F6"/>
    <w:rsid w:val="002460A0"/>
    <w:rsid w:val="002927AA"/>
    <w:rsid w:val="002967C0"/>
    <w:rsid w:val="002A0124"/>
    <w:rsid w:val="002F3EC5"/>
    <w:rsid w:val="00304C0B"/>
    <w:rsid w:val="00357A23"/>
    <w:rsid w:val="0036337F"/>
    <w:rsid w:val="003A5A45"/>
    <w:rsid w:val="003F6B61"/>
    <w:rsid w:val="004818C0"/>
    <w:rsid w:val="004D3E71"/>
    <w:rsid w:val="004E4842"/>
    <w:rsid w:val="00505878"/>
    <w:rsid w:val="0050610D"/>
    <w:rsid w:val="00506D26"/>
    <w:rsid w:val="00570385"/>
    <w:rsid w:val="00573CDE"/>
    <w:rsid w:val="005B0B0C"/>
    <w:rsid w:val="005D197D"/>
    <w:rsid w:val="005F5645"/>
    <w:rsid w:val="006B0974"/>
    <w:rsid w:val="007261CF"/>
    <w:rsid w:val="00744892"/>
    <w:rsid w:val="00843914"/>
    <w:rsid w:val="00854765"/>
    <w:rsid w:val="008904CB"/>
    <w:rsid w:val="009879B4"/>
    <w:rsid w:val="009E1F10"/>
    <w:rsid w:val="00A15E96"/>
    <w:rsid w:val="00A2647E"/>
    <w:rsid w:val="00A97629"/>
    <w:rsid w:val="00AA0C75"/>
    <w:rsid w:val="00AB2286"/>
    <w:rsid w:val="00AF2D52"/>
    <w:rsid w:val="00AF3297"/>
    <w:rsid w:val="00B47DF7"/>
    <w:rsid w:val="00BB10D6"/>
    <w:rsid w:val="00C02130"/>
    <w:rsid w:val="00C128A6"/>
    <w:rsid w:val="00C44907"/>
    <w:rsid w:val="00C612FE"/>
    <w:rsid w:val="00C8057D"/>
    <w:rsid w:val="00C95787"/>
    <w:rsid w:val="00CF295B"/>
    <w:rsid w:val="00D172F1"/>
    <w:rsid w:val="00DC2994"/>
    <w:rsid w:val="00E2734B"/>
    <w:rsid w:val="00E33888"/>
    <w:rsid w:val="00E67E75"/>
    <w:rsid w:val="00E87B32"/>
    <w:rsid w:val="00EC166B"/>
    <w:rsid w:val="00F4734B"/>
    <w:rsid w:val="00F71093"/>
    <w:rsid w:val="00F85AEE"/>
    <w:rsid w:val="00FF53D6"/>
    <w:rsid w:val="00FF71C9"/>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 w:type="character" w:customStyle="1" w:styleId="fontstyle01">
    <w:name w:val="fontstyle01"/>
    <w:basedOn w:val="DefaultParagraphFont"/>
    <w:rsid w:val="002223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23282">
      <w:bodyDiv w:val="1"/>
      <w:marLeft w:val="0"/>
      <w:marRight w:val="0"/>
      <w:marTop w:val="0"/>
      <w:marBottom w:val="0"/>
      <w:divBdr>
        <w:top w:val="none" w:sz="0" w:space="0" w:color="auto"/>
        <w:left w:val="none" w:sz="0" w:space="0" w:color="auto"/>
        <w:bottom w:val="none" w:sz="0" w:space="0" w:color="auto"/>
        <w:right w:val="none" w:sz="0" w:space="0" w:color="auto"/>
      </w:divBdr>
    </w:div>
    <w:div w:id="1608461628">
      <w:bodyDiv w:val="1"/>
      <w:marLeft w:val="0"/>
      <w:marRight w:val="0"/>
      <w:marTop w:val="0"/>
      <w:marBottom w:val="0"/>
      <w:divBdr>
        <w:top w:val="none" w:sz="0" w:space="0" w:color="auto"/>
        <w:left w:val="none" w:sz="0" w:space="0" w:color="auto"/>
        <w:bottom w:val="none" w:sz="0" w:space="0" w:color="auto"/>
        <w:right w:val="none" w:sz="0" w:space="0" w:color="auto"/>
      </w:divBdr>
    </w:div>
    <w:div w:id="1671329211">
      <w:bodyDiv w:val="1"/>
      <w:marLeft w:val="0"/>
      <w:marRight w:val="0"/>
      <w:marTop w:val="0"/>
      <w:marBottom w:val="0"/>
      <w:divBdr>
        <w:top w:val="none" w:sz="0" w:space="0" w:color="auto"/>
        <w:left w:val="none" w:sz="0" w:space="0" w:color="auto"/>
        <w:bottom w:val="none" w:sz="0" w:space="0" w:color="auto"/>
        <w:right w:val="none" w:sz="0" w:space="0" w:color="auto"/>
      </w:divBdr>
    </w:div>
    <w:div w:id="1861356585">
      <w:bodyDiv w:val="1"/>
      <w:marLeft w:val="0"/>
      <w:marRight w:val="0"/>
      <w:marTop w:val="0"/>
      <w:marBottom w:val="0"/>
      <w:divBdr>
        <w:top w:val="none" w:sz="0" w:space="0" w:color="auto"/>
        <w:left w:val="none" w:sz="0" w:space="0" w:color="auto"/>
        <w:bottom w:val="none" w:sz="0" w:space="0" w:color="auto"/>
        <w:right w:val="none" w:sz="0" w:space="0" w:color="auto"/>
      </w:divBdr>
    </w:div>
    <w:div w:id="1957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57</cp:revision>
  <cp:lastPrinted>2024-11-29T09:36:00Z</cp:lastPrinted>
  <dcterms:created xsi:type="dcterms:W3CDTF">2024-11-29T09:12:00Z</dcterms:created>
  <dcterms:modified xsi:type="dcterms:W3CDTF">2026-01-07T03:24:00Z</dcterms:modified>
</cp:coreProperties>
</file>