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0541" w14:textId="77777777" w:rsidR="00F460D1" w:rsidRPr="0097778D" w:rsidRDefault="00F460D1" w:rsidP="00F460D1">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061382FB" w14:textId="77777777" w:rsidR="00F460D1" w:rsidRPr="0097778D" w:rsidRDefault="00F460D1" w:rsidP="00F460D1">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35948E08" w14:textId="77777777" w:rsidR="00F460D1" w:rsidRPr="00F27002" w:rsidRDefault="00F460D1" w:rsidP="00F460D1">
      <w:pPr>
        <w:spacing w:before="120" w:after="120"/>
        <w:ind w:firstLine="709"/>
        <w:rPr>
          <w:b/>
          <w:sz w:val="28"/>
          <w:szCs w:val="28"/>
          <w:lang w:val="nl-NL"/>
        </w:rPr>
      </w:pPr>
      <w:r w:rsidRPr="00F27002">
        <w:rPr>
          <w:b/>
          <w:sz w:val="28"/>
          <w:szCs w:val="28"/>
          <w:lang w:val="nl-NL"/>
        </w:rPr>
        <w:t>1. Giới thiệu chung về dự toán, gói thầu:</w:t>
      </w:r>
    </w:p>
    <w:p w14:paraId="1F19A140" w14:textId="77777777" w:rsidR="00F460D1" w:rsidRPr="00F27002" w:rsidRDefault="00F460D1" w:rsidP="00F460D1">
      <w:pPr>
        <w:spacing w:before="120" w:after="120"/>
        <w:ind w:firstLine="709"/>
        <w:rPr>
          <w:i/>
          <w:sz w:val="28"/>
          <w:szCs w:val="28"/>
          <w:lang w:val="nl-NL"/>
        </w:rPr>
      </w:pPr>
      <w:r w:rsidRPr="00F27002">
        <w:rPr>
          <w:i/>
          <w:sz w:val="28"/>
          <w:szCs w:val="28"/>
          <w:lang w:val="nl-NL"/>
        </w:rPr>
        <w:t>1.1. Giới thiệu chung về dự toán:</w:t>
      </w:r>
    </w:p>
    <w:p w14:paraId="354BCDA5" w14:textId="77777777" w:rsidR="00F460D1" w:rsidRPr="00F27002" w:rsidRDefault="00F460D1" w:rsidP="00F460D1">
      <w:pPr>
        <w:spacing w:before="120" w:after="120"/>
        <w:ind w:firstLine="709"/>
        <w:rPr>
          <w:iCs/>
          <w:sz w:val="28"/>
          <w:szCs w:val="28"/>
          <w:lang w:val="nl-NL"/>
        </w:rPr>
      </w:pPr>
      <w:r w:rsidRPr="00F27002">
        <w:rPr>
          <w:iCs/>
          <w:sz w:val="28"/>
          <w:szCs w:val="28"/>
          <w:lang w:val="nl-NL"/>
        </w:rPr>
        <w:t xml:space="preserve">- Tên dự toán: </w:t>
      </w:r>
      <w:r w:rsidRPr="00F27002">
        <w:rPr>
          <w:iCs/>
          <w:color w:val="EE0000"/>
          <w:sz w:val="28"/>
          <w:szCs w:val="28"/>
          <w:lang w:val="nl-NL"/>
        </w:rPr>
        <w:t>Dịch vụ sự nghiệp công, sản phẩm, dịch vụ công ích phường Cao Xanh năm 2026</w:t>
      </w:r>
      <w:r w:rsidRPr="00F27002">
        <w:rPr>
          <w:iCs/>
          <w:sz w:val="28"/>
          <w:szCs w:val="28"/>
          <w:lang w:val="nl-NL"/>
        </w:rPr>
        <w:t>.</w:t>
      </w:r>
    </w:p>
    <w:p w14:paraId="381D1207" w14:textId="77777777" w:rsidR="00F460D1" w:rsidRPr="00F27002" w:rsidRDefault="00F460D1" w:rsidP="00F460D1">
      <w:pPr>
        <w:spacing w:before="120" w:after="120"/>
        <w:ind w:firstLine="709"/>
        <w:rPr>
          <w:iCs/>
          <w:sz w:val="28"/>
          <w:szCs w:val="28"/>
          <w:lang w:val="nl-NL"/>
        </w:rPr>
      </w:pPr>
      <w:r w:rsidRPr="00F27002">
        <w:rPr>
          <w:iCs/>
          <w:sz w:val="28"/>
          <w:szCs w:val="28"/>
          <w:lang w:val="nl-NL"/>
        </w:rPr>
        <w:t xml:space="preserve">- Cấp phê duyệt dự toán, quyết định đầu tư: </w:t>
      </w:r>
      <w:r w:rsidRPr="00F27002">
        <w:rPr>
          <w:iCs/>
          <w:color w:val="0000FF"/>
          <w:sz w:val="28"/>
          <w:szCs w:val="28"/>
          <w:lang w:val="nl-NL"/>
        </w:rPr>
        <w:t>UBND phường Cao Xanh</w:t>
      </w:r>
      <w:r w:rsidRPr="00F27002">
        <w:rPr>
          <w:iCs/>
          <w:sz w:val="28"/>
          <w:szCs w:val="28"/>
          <w:lang w:val="nl-NL"/>
        </w:rPr>
        <w:t>.</w:t>
      </w:r>
    </w:p>
    <w:p w14:paraId="4E495D46" w14:textId="77777777" w:rsidR="00F460D1" w:rsidRPr="00F27002" w:rsidRDefault="00F460D1" w:rsidP="00F460D1">
      <w:pPr>
        <w:spacing w:before="120" w:after="120"/>
        <w:ind w:firstLine="709"/>
        <w:rPr>
          <w:iCs/>
          <w:sz w:val="28"/>
          <w:szCs w:val="28"/>
          <w:lang w:val="nl-NL"/>
        </w:rPr>
      </w:pPr>
      <w:r w:rsidRPr="00F27002">
        <w:rPr>
          <w:iCs/>
          <w:sz w:val="28"/>
          <w:szCs w:val="28"/>
          <w:lang w:val="nl-NL"/>
        </w:rPr>
        <w:t xml:space="preserve">- Chủ đầu tư, đơn vị tổ chức thực hiện: </w:t>
      </w:r>
      <w:r w:rsidRPr="00F27002">
        <w:rPr>
          <w:iCs/>
          <w:color w:val="0000FF"/>
          <w:sz w:val="28"/>
          <w:szCs w:val="28"/>
          <w:lang w:val="nl-NL"/>
        </w:rPr>
        <w:t>Trung tâm cung ứng dịch vụ phường Cao Xanh</w:t>
      </w:r>
      <w:r w:rsidRPr="00F27002">
        <w:rPr>
          <w:iCs/>
          <w:sz w:val="28"/>
          <w:szCs w:val="28"/>
          <w:lang w:val="nl-NL"/>
        </w:rPr>
        <w:t>.</w:t>
      </w:r>
    </w:p>
    <w:p w14:paraId="6F8C3240" w14:textId="77777777" w:rsidR="00F460D1" w:rsidRPr="00F27002" w:rsidRDefault="00F460D1" w:rsidP="00F460D1">
      <w:pPr>
        <w:spacing w:before="120" w:after="120"/>
        <w:ind w:firstLine="709"/>
        <w:rPr>
          <w:iCs/>
          <w:sz w:val="28"/>
          <w:szCs w:val="28"/>
          <w:lang w:val="nl-NL"/>
        </w:rPr>
      </w:pPr>
      <w:r w:rsidRPr="00F27002">
        <w:rPr>
          <w:iCs/>
          <w:sz w:val="28"/>
          <w:szCs w:val="28"/>
          <w:lang w:val="nl-NL"/>
        </w:rPr>
        <w:t xml:space="preserve">- Địa điểm thực hiện: </w:t>
      </w:r>
      <w:r w:rsidRPr="00F27002">
        <w:rPr>
          <w:iCs/>
          <w:color w:val="0000FF"/>
          <w:sz w:val="28"/>
          <w:szCs w:val="28"/>
          <w:lang w:val="nl-NL"/>
        </w:rPr>
        <w:t>phường Cao Xanh, tỉnh Quảng Ninh</w:t>
      </w:r>
      <w:r w:rsidRPr="00F27002">
        <w:rPr>
          <w:iCs/>
          <w:sz w:val="28"/>
          <w:szCs w:val="28"/>
          <w:lang w:val="nl-NL"/>
        </w:rPr>
        <w:t>.</w:t>
      </w:r>
    </w:p>
    <w:p w14:paraId="7070A9B3" w14:textId="77777777" w:rsidR="00F460D1" w:rsidRPr="00F27002" w:rsidRDefault="00F460D1" w:rsidP="00F460D1">
      <w:pPr>
        <w:spacing w:before="120" w:after="120"/>
        <w:ind w:firstLine="709"/>
        <w:rPr>
          <w:iCs/>
          <w:sz w:val="28"/>
          <w:szCs w:val="28"/>
          <w:lang w:val="nl-NL"/>
        </w:rPr>
      </w:pPr>
      <w:r w:rsidRPr="00F27002">
        <w:rPr>
          <w:iCs/>
          <w:sz w:val="28"/>
          <w:szCs w:val="28"/>
          <w:lang w:val="nl-NL"/>
        </w:rPr>
        <w:t xml:space="preserve">- Nguồn vốn: </w:t>
      </w:r>
      <w:r w:rsidRPr="00F27002">
        <w:rPr>
          <w:iCs/>
          <w:color w:val="0000FF"/>
          <w:sz w:val="28"/>
          <w:szCs w:val="28"/>
          <w:lang w:val="nl-NL"/>
        </w:rPr>
        <w:t>Nguồn chi thường xuyên ngân sách phường Cao Xanh</w:t>
      </w:r>
      <w:r w:rsidRPr="00F27002">
        <w:rPr>
          <w:iCs/>
          <w:sz w:val="28"/>
          <w:szCs w:val="28"/>
          <w:lang w:val="nl-NL"/>
        </w:rPr>
        <w:t>.</w:t>
      </w:r>
    </w:p>
    <w:p w14:paraId="2D2B19F6" w14:textId="77777777" w:rsidR="00F460D1" w:rsidRPr="00F27002" w:rsidRDefault="00F460D1" w:rsidP="00F460D1">
      <w:pPr>
        <w:spacing w:before="120" w:after="120"/>
        <w:ind w:firstLine="709"/>
        <w:rPr>
          <w:iCs/>
          <w:sz w:val="28"/>
          <w:szCs w:val="28"/>
        </w:rPr>
      </w:pPr>
      <w:r w:rsidRPr="00F27002">
        <w:rPr>
          <w:iCs/>
          <w:sz w:val="28"/>
          <w:szCs w:val="28"/>
        </w:rPr>
        <w:t>- Thời gian thực hiện: Năm 2026.</w:t>
      </w:r>
    </w:p>
    <w:p w14:paraId="698FB56D" w14:textId="77777777" w:rsidR="00F460D1" w:rsidRPr="00AD67FD" w:rsidRDefault="00F460D1" w:rsidP="00F460D1">
      <w:pPr>
        <w:spacing w:before="120" w:after="120"/>
        <w:ind w:firstLine="709"/>
        <w:rPr>
          <w:i/>
          <w:sz w:val="28"/>
          <w:szCs w:val="28"/>
        </w:rPr>
      </w:pPr>
      <w:r w:rsidRPr="00AD67FD">
        <w:rPr>
          <w:i/>
          <w:sz w:val="28"/>
          <w:szCs w:val="28"/>
        </w:rPr>
        <w:t>1.2. Giới thiệu chung về gói thầu:</w:t>
      </w:r>
    </w:p>
    <w:p w14:paraId="4930063E" w14:textId="62BAF26C" w:rsidR="00F460D1" w:rsidRPr="00AD67FD" w:rsidRDefault="00F460D1" w:rsidP="00F460D1">
      <w:pPr>
        <w:spacing w:before="120" w:after="120"/>
        <w:ind w:firstLine="709"/>
        <w:rPr>
          <w:iCs/>
          <w:sz w:val="28"/>
          <w:szCs w:val="28"/>
        </w:rPr>
      </w:pPr>
      <w:r w:rsidRPr="00AD67FD">
        <w:rPr>
          <w:iCs/>
          <w:sz w:val="28"/>
          <w:szCs w:val="28"/>
        </w:rPr>
        <w:t xml:space="preserve">- Tên gói thầu: </w:t>
      </w:r>
      <w:r w:rsidR="001E309A" w:rsidRPr="001E309A">
        <w:rPr>
          <w:iCs/>
          <w:color w:val="0000FF"/>
          <w:sz w:val="28"/>
          <w:szCs w:val="28"/>
        </w:rPr>
        <w:t>Gói thầu số 10: Quản lý vận hành điện chiếu sáng công cộng, điện trang trí trên địa bàn phường Cao Xanh năm 2026 (Giai đoạn 2)</w:t>
      </w:r>
      <w:r w:rsidRPr="00AD67FD">
        <w:rPr>
          <w:iCs/>
          <w:sz w:val="28"/>
          <w:szCs w:val="28"/>
        </w:rPr>
        <w:t>.</w:t>
      </w:r>
    </w:p>
    <w:p w14:paraId="526C44BA" w14:textId="77777777" w:rsidR="00F460D1" w:rsidRPr="00AD67FD" w:rsidRDefault="00F460D1" w:rsidP="00F460D1">
      <w:pPr>
        <w:spacing w:before="120" w:after="120"/>
        <w:ind w:firstLine="709"/>
        <w:rPr>
          <w:iCs/>
          <w:sz w:val="28"/>
          <w:szCs w:val="28"/>
        </w:rPr>
      </w:pPr>
      <w:r w:rsidRPr="00AD67FD">
        <w:rPr>
          <w:iCs/>
          <w:sz w:val="28"/>
          <w:szCs w:val="28"/>
        </w:rPr>
        <w:t xml:space="preserve">- Hình thức lựa chọn nhà thầu: </w:t>
      </w:r>
      <w:r w:rsidRPr="00AD67FD">
        <w:rPr>
          <w:iCs/>
          <w:color w:val="0000FF"/>
          <w:sz w:val="28"/>
          <w:szCs w:val="28"/>
        </w:rPr>
        <w:t>Đấu thầu rộng rãi, qua mạng</w:t>
      </w:r>
      <w:r w:rsidRPr="00AD67FD">
        <w:rPr>
          <w:iCs/>
          <w:sz w:val="28"/>
          <w:szCs w:val="28"/>
        </w:rPr>
        <w:t>.</w:t>
      </w:r>
    </w:p>
    <w:p w14:paraId="1E9562FF" w14:textId="77777777" w:rsidR="00F460D1" w:rsidRPr="00AD67FD" w:rsidRDefault="00F460D1" w:rsidP="00F460D1">
      <w:pPr>
        <w:spacing w:before="120" w:after="120"/>
        <w:ind w:firstLine="709"/>
        <w:rPr>
          <w:iCs/>
          <w:sz w:val="28"/>
          <w:szCs w:val="28"/>
        </w:rPr>
      </w:pPr>
      <w:r w:rsidRPr="00AD67FD">
        <w:rPr>
          <w:iCs/>
          <w:sz w:val="28"/>
          <w:szCs w:val="28"/>
        </w:rPr>
        <w:t xml:space="preserve">- Phương thức lựa chọn nhà thầu: </w:t>
      </w:r>
      <w:r w:rsidRPr="00AD67FD">
        <w:rPr>
          <w:iCs/>
          <w:color w:val="0000FF"/>
          <w:sz w:val="28"/>
          <w:szCs w:val="28"/>
        </w:rPr>
        <w:t>Một giai đoạn, một túi hồ sơ</w:t>
      </w:r>
      <w:r w:rsidRPr="00AD67FD">
        <w:rPr>
          <w:iCs/>
          <w:sz w:val="28"/>
          <w:szCs w:val="28"/>
        </w:rPr>
        <w:t>.</w:t>
      </w:r>
    </w:p>
    <w:p w14:paraId="640398CA" w14:textId="77777777" w:rsidR="00F460D1" w:rsidRPr="00AD67FD" w:rsidRDefault="00F460D1" w:rsidP="00F460D1">
      <w:pPr>
        <w:spacing w:before="120" w:after="120"/>
        <w:ind w:firstLine="709"/>
        <w:rPr>
          <w:iCs/>
          <w:sz w:val="28"/>
          <w:szCs w:val="28"/>
        </w:rPr>
      </w:pPr>
      <w:r w:rsidRPr="00AD67FD">
        <w:rPr>
          <w:iCs/>
          <w:sz w:val="28"/>
          <w:szCs w:val="28"/>
        </w:rPr>
        <w:t xml:space="preserve">- Thời gian bắt đầu tổ chức lựa chọn nhà thầu: </w:t>
      </w:r>
      <w:r w:rsidRPr="00AD67FD">
        <w:rPr>
          <w:iCs/>
          <w:color w:val="0000FF"/>
          <w:sz w:val="28"/>
          <w:szCs w:val="28"/>
        </w:rPr>
        <w:t>Quý I/2026</w:t>
      </w:r>
      <w:r w:rsidRPr="00AD67FD">
        <w:rPr>
          <w:iCs/>
          <w:sz w:val="28"/>
          <w:szCs w:val="28"/>
        </w:rPr>
        <w:t>.</w:t>
      </w:r>
    </w:p>
    <w:p w14:paraId="79097A83" w14:textId="3666AB8E" w:rsidR="00F460D1" w:rsidRPr="00AD67FD" w:rsidRDefault="00F460D1" w:rsidP="00F460D1">
      <w:pPr>
        <w:spacing w:before="120" w:after="120"/>
        <w:ind w:firstLine="709"/>
        <w:rPr>
          <w:iCs/>
          <w:sz w:val="28"/>
          <w:szCs w:val="28"/>
        </w:rPr>
      </w:pPr>
      <w:r w:rsidRPr="00AD67FD">
        <w:rPr>
          <w:iCs/>
          <w:sz w:val="28"/>
          <w:szCs w:val="28"/>
        </w:rPr>
        <w:t xml:space="preserve">- Thời gian thực hiện gói thầu: </w:t>
      </w:r>
      <w:r w:rsidRPr="00AD67FD">
        <w:rPr>
          <w:iCs/>
          <w:color w:val="0000FF"/>
          <w:sz w:val="28"/>
          <w:szCs w:val="28"/>
        </w:rPr>
        <w:t>3</w:t>
      </w:r>
      <w:r w:rsidR="00AB7085">
        <w:rPr>
          <w:iCs/>
          <w:color w:val="0000FF"/>
          <w:sz w:val="28"/>
          <w:szCs w:val="28"/>
        </w:rPr>
        <w:t>4</w:t>
      </w:r>
      <w:r w:rsidRPr="00AD67FD">
        <w:rPr>
          <w:iCs/>
          <w:color w:val="0000FF"/>
          <w:sz w:val="28"/>
          <w:szCs w:val="28"/>
        </w:rPr>
        <w:t>5 ngày</w:t>
      </w:r>
      <w:r w:rsidRPr="00AD67FD">
        <w:rPr>
          <w:iCs/>
          <w:sz w:val="28"/>
          <w:szCs w:val="28"/>
        </w:rPr>
        <w:t>.</w:t>
      </w:r>
    </w:p>
    <w:p w14:paraId="7BADDA77" w14:textId="77777777" w:rsidR="00F460D1" w:rsidRPr="00AD67FD" w:rsidRDefault="00F460D1" w:rsidP="00F460D1">
      <w:pPr>
        <w:spacing w:before="120" w:after="120"/>
        <w:ind w:firstLine="709"/>
        <w:rPr>
          <w:iCs/>
          <w:sz w:val="28"/>
          <w:szCs w:val="28"/>
        </w:rPr>
      </w:pPr>
      <w:r w:rsidRPr="00AD67FD">
        <w:rPr>
          <w:iCs/>
          <w:sz w:val="28"/>
          <w:szCs w:val="28"/>
        </w:rPr>
        <w:t xml:space="preserve">- Loại hợp đồng: </w:t>
      </w:r>
      <w:r w:rsidRPr="00AD67FD">
        <w:rPr>
          <w:iCs/>
          <w:color w:val="0000FF"/>
          <w:sz w:val="28"/>
          <w:szCs w:val="28"/>
        </w:rPr>
        <w:t>Trọn gói</w:t>
      </w:r>
      <w:r w:rsidRPr="00AD67FD">
        <w:rPr>
          <w:iCs/>
          <w:sz w:val="28"/>
          <w:szCs w:val="28"/>
        </w:rPr>
        <w:t>.</w:t>
      </w:r>
    </w:p>
    <w:p w14:paraId="57A2F034" w14:textId="77777777" w:rsidR="00F460D1" w:rsidRPr="00AD67FD" w:rsidRDefault="00F460D1" w:rsidP="00F460D1">
      <w:pPr>
        <w:spacing w:before="120" w:after="120"/>
        <w:ind w:firstLine="709"/>
        <w:rPr>
          <w:b/>
          <w:sz w:val="28"/>
          <w:szCs w:val="28"/>
        </w:rPr>
      </w:pPr>
      <w:r w:rsidRPr="00AD67FD">
        <w:rPr>
          <w:b/>
          <w:sz w:val="28"/>
          <w:szCs w:val="28"/>
        </w:rPr>
        <w:t>2. Mục tiêu công việc:</w:t>
      </w:r>
    </w:p>
    <w:p w14:paraId="20E5E72A" w14:textId="77777777" w:rsidR="00F460D1" w:rsidRPr="00AD67FD" w:rsidRDefault="00F460D1" w:rsidP="00F460D1">
      <w:pPr>
        <w:spacing w:before="120" w:after="120"/>
        <w:ind w:firstLine="709"/>
        <w:rPr>
          <w:iCs/>
          <w:sz w:val="28"/>
          <w:szCs w:val="28"/>
        </w:rPr>
      </w:pPr>
      <w:r w:rsidRPr="000D5CCB">
        <w:rPr>
          <w:iCs/>
          <w:color w:val="0000FF"/>
          <w:sz w:val="28"/>
          <w:szCs w:val="28"/>
        </w:rPr>
        <w:t>Quản lý vận hành điện chiếu sáng công cộng, điện trang trí trên địa bàn phường Cao Xanh năm 2026</w:t>
      </w:r>
      <w:r w:rsidRPr="00AD67FD">
        <w:rPr>
          <w:iCs/>
          <w:sz w:val="28"/>
          <w:szCs w:val="28"/>
        </w:rPr>
        <w:t xml:space="preserve">. </w:t>
      </w:r>
    </w:p>
    <w:p w14:paraId="2EE1FBCB" w14:textId="77777777" w:rsidR="00F460D1" w:rsidRPr="00AD67FD" w:rsidRDefault="00F460D1" w:rsidP="00F460D1">
      <w:pPr>
        <w:spacing w:before="120" w:after="120"/>
        <w:ind w:firstLine="709"/>
        <w:rPr>
          <w:b/>
          <w:sz w:val="28"/>
          <w:szCs w:val="28"/>
        </w:rPr>
      </w:pPr>
      <w:r w:rsidRPr="00AD67FD">
        <w:rPr>
          <w:b/>
          <w:sz w:val="28"/>
          <w:szCs w:val="28"/>
        </w:rPr>
        <w:t>3. Yêu cầu kỹ thuật của gói thầu:</w:t>
      </w:r>
    </w:p>
    <w:p w14:paraId="2E8563CD" w14:textId="77777777" w:rsidR="00F460D1" w:rsidRDefault="00F460D1" w:rsidP="00F460D1">
      <w:pPr>
        <w:spacing w:before="120" w:after="120"/>
        <w:ind w:firstLine="709"/>
        <w:rPr>
          <w:iCs/>
          <w:sz w:val="28"/>
          <w:szCs w:val="28"/>
        </w:rPr>
      </w:pPr>
      <w:r>
        <w:rPr>
          <w:iCs/>
          <w:sz w:val="28"/>
          <w:szCs w:val="28"/>
        </w:rPr>
        <w:t>Quy mô thực hiện:</w:t>
      </w:r>
    </w:p>
    <w:p w14:paraId="4E528D22" w14:textId="77777777" w:rsidR="00F460D1" w:rsidRPr="000E6419" w:rsidRDefault="00F460D1" w:rsidP="00F460D1">
      <w:pPr>
        <w:spacing w:before="120" w:after="120"/>
        <w:ind w:firstLine="709"/>
        <w:rPr>
          <w:iCs/>
          <w:sz w:val="28"/>
          <w:szCs w:val="28"/>
        </w:rPr>
      </w:pPr>
      <w:r w:rsidRPr="000E6419">
        <w:rPr>
          <w:iCs/>
          <w:sz w:val="28"/>
          <w:szCs w:val="28"/>
        </w:rPr>
        <w:t xml:space="preserve">- Quản lý vận hành hệ thống chiếu sáng công cộng trạm 2 chế độ bằng trung tâm điều khiển: </w:t>
      </w:r>
    </w:p>
    <w:p w14:paraId="4FFD2D23" w14:textId="77777777" w:rsidR="00F460D1" w:rsidRPr="000E6419" w:rsidRDefault="00F460D1" w:rsidP="00F460D1">
      <w:pPr>
        <w:spacing w:before="120" w:after="120"/>
        <w:ind w:firstLine="709"/>
        <w:rPr>
          <w:iCs/>
          <w:sz w:val="28"/>
          <w:szCs w:val="28"/>
        </w:rPr>
      </w:pPr>
      <w:r w:rsidRPr="000E6419">
        <w:rPr>
          <w:iCs/>
          <w:sz w:val="28"/>
          <w:szCs w:val="28"/>
        </w:rPr>
        <w:t>+ Trạm &lt; 500m: 2 trạm;</w:t>
      </w:r>
    </w:p>
    <w:p w14:paraId="3EB9851C" w14:textId="77777777" w:rsidR="00F460D1" w:rsidRPr="000E6419" w:rsidRDefault="00F460D1" w:rsidP="00F460D1">
      <w:pPr>
        <w:spacing w:before="120" w:after="120"/>
        <w:ind w:firstLine="709"/>
        <w:rPr>
          <w:iCs/>
          <w:sz w:val="28"/>
          <w:szCs w:val="28"/>
        </w:rPr>
      </w:pPr>
      <w:r w:rsidRPr="000E6419">
        <w:rPr>
          <w:iCs/>
          <w:sz w:val="28"/>
          <w:szCs w:val="28"/>
        </w:rPr>
        <w:t>+ Trạm 500 -1000m: 3 trạm;</w:t>
      </w:r>
    </w:p>
    <w:p w14:paraId="6E346480" w14:textId="77777777" w:rsidR="00F460D1" w:rsidRPr="000E6419" w:rsidRDefault="00F460D1" w:rsidP="00F460D1">
      <w:pPr>
        <w:spacing w:before="120" w:after="120"/>
        <w:ind w:firstLine="709"/>
        <w:rPr>
          <w:iCs/>
          <w:sz w:val="28"/>
          <w:szCs w:val="28"/>
        </w:rPr>
      </w:pPr>
      <w:r w:rsidRPr="000E6419">
        <w:rPr>
          <w:iCs/>
          <w:sz w:val="28"/>
          <w:szCs w:val="28"/>
        </w:rPr>
        <w:t>+ Trạm 1000 -1500m: 2 trạm;</w:t>
      </w:r>
    </w:p>
    <w:p w14:paraId="6B0080D4" w14:textId="77777777" w:rsidR="00F460D1" w:rsidRPr="000E6419" w:rsidRDefault="00F460D1" w:rsidP="00F460D1">
      <w:pPr>
        <w:spacing w:before="120" w:after="120"/>
        <w:ind w:firstLine="709"/>
        <w:rPr>
          <w:iCs/>
          <w:sz w:val="28"/>
          <w:szCs w:val="28"/>
        </w:rPr>
      </w:pPr>
      <w:r w:rsidRPr="000E6419">
        <w:rPr>
          <w:iCs/>
          <w:sz w:val="28"/>
          <w:szCs w:val="28"/>
        </w:rPr>
        <w:lastRenderedPageBreak/>
        <w:t>+ Trạm từ 1500 -3000m: 6 trạm;</w:t>
      </w:r>
    </w:p>
    <w:p w14:paraId="0D5B2873" w14:textId="77777777" w:rsidR="00F460D1" w:rsidRPr="000E6419" w:rsidRDefault="00F460D1" w:rsidP="00F460D1">
      <w:pPr>
        <w:spacing w:before="120" w:after="120"/>
        <w:ind w:firstLine="709"/>
        <w:rPr>
          <w:iCs/>
          <w:sz w:val="28"/>
          <w:szCs w:val="28"/>
        </w:rPr>
      </w:pPr>
      <w:r w:rsidRPr="000E6419">
        <w:rPr>
          <w:iCs/>
          <w:sz w:val="28"/>
          <w:szCs w:val="28"/>
        </w:rPr>
        <w:t>+ Trạm &gt; 3000m: 2 trạm.</w:t>
      </w:r>
    </w:p>
    <w:p w14:paraId="7D2B78C0" w14:textId="77777777" w:rsidR="00F460D1" w:rsidRPr="000E6419" w:rsidRDefault="00F460D1" w:rsidP="00F460D1">
      <w:pPr>
        <w:spacing w:before="120" w:after="120"/>
        <w:ind w:firstLine="709"/>
        <w:rPr>
          <w:iCs/>
          <w:sz w:val="28"/>
          <w:szCs w:val="28"/>
        </w:rPr>
      </w:pPr>
      <w:r w:rsidRPr="000E6419">
        <w:rPr>
          <w:iCs/>
          <w:sz w:val="28"/>
          <w:szCs w:val="28"/>
        </w:rPr>
        <w:t>- Quản lý vận hành hệ thống chiếu sáng công cộng trạm 2 chế độ bằng đồng hồ hẹn giờ:</w:t>
      </w:r>
    </w:p>
    <w:p w14:paraId="07C447B4" w14:textId="77777777" w:rsidR="00F460D1" w:rsidRPr="000E6419" w:rsidRDefault="00F460D1" w:rsidP="00F460D1">
      <w:pPr>
        <w:spacing w:before="120" w:after="120"/>
        <w:ind w:firstLine="709"/>
        <w:rPr>
          <w:iCs/>
          <w:sz w:val="28"/>
          <w:szCs w:val="28"/>
        </w:rPr>
      </w:pPr>
      <w:r w:rsidRPr="000E6419">
        <w:rPr>
          <w:iCs/>
          <w:sz w:val="28"/>
          <w:szCs w:val="28"/>
        </w:rPr>
        <w:t>+ Trạm &lt;500m: 1 trạm;</w:t>
      </w:r>
    </w:p>
    <w:p w14:paraId="0FFF71E0" w14:textId="77777777" w:rsidR="00F460D1" w:rsidRPr="000E6419" w:rsidRDefault="00F460D1" w:rsidP="00F460D1">
      <w:pPr>
        <w:spacing w:before="120" w:after="120"/>
        <w:ind w:firstLine="709"/>
        <w:rPr>
          <w:iCs/>
          <w:sz w:val="28"/>
          <w:szCs w:val="28"/>
        </w:rPr>
      </w:pPr>
      <w:r w:rsidRPr="000E6419">
        <w:rPr>
          <w:iCs/>
          <w:sz w:val="28"/>
          <w:szCs w:val="28"/>
        </w:rPr>
        <w:t>+ Trạm 500-1000m: 1 trạm;</w:t>
      </w:r>
    </w:p>
    <w:p w14:paraId="55C05BAA" w14:textId="77777777" w:rsidR="00F460D1" w:rsidRPr="000E6419" w:rsidRDefault="00F460D1" w:rsidP="00F460D1">
      <w:pPr>
        <w:spacing w:before="120" w:after="120"/>
        <w:ind w:firstLine="709"/>
        <w:rPr>
          <w:iCs/>
          <w:sz w:val="28"/>
          <w:szCs w:val="28"/>
        </w:rPr>
      </w:pPr>
      <w:r w:rsidRPr="000E6419">
        <w:rPr>
          <w:iCs/>
          <w:sz w:val="28"/>
          <w:szCs w:val="28"/>
        </w:rPr>
        <w:t xml:space="preserve">- Quản lý vận hành hệ thống chiếu sáng công cộng trạm 1 chế độ bằng đồng hồ hẹn giờ: </w:t>
      </w:r>
    </w:p>
    <w:p w14:paraId="4F8978ED" w14:textId="77777777" w:rsidR="00F460D1" w:rsidRPr="00AD67FD" w:rsidRDefault="00F460D1" w:rsidP="00F460D1">
      <w:pPr>
        <w:spacing w:before="120" w:after="120"/>
        <w:ind w:firstLine="709"/>
        <w:rPr>
          <w:iCs/>
          <w:sz w:val="28"/>
          <w:szCs w:val="28"/>
        </w:rPr>
      </w:pPr>
      <w:r w:rsidRPr="000E6419">
        <w:rPr>
          <w:iCs/>
          <w:sz w:val="28"/>
          <w:szCs w:val="28"/>
        </w:rPr>
        <w:t>+ Trạm &lt; 500m: 1 trạm</w:t>
      </w:r>
      <w:r>
        <w:rPr>
          <w:iCs/>
          <w:sz w:val="28"/>
          <w:szCs w:val="28"/>
        </w:rPr>
        <w:t>.</w:t>
      </w:r>
    </w:p>
    <w:p w14:paraId="67F0F2B6" w14:textId="77777777" w:rsidR="00F460D1" w:rsidRPr="004F04C9" w:rsidRDefault="00F460D1" w:rsidP="00F460D1">
      <w:pPr>
        <w:spacing w:before="120" w:after="120"/>
        <w:ind w:firstLine="709"/>
        <w:rPr>
          <w:b/>
          <w:sz w:val="28"/>
          <w:szCs w:val="28"/>
          <w:lang w:val="vi-VN"/>
        </w:rPr>
      </w:pPr>
      <w:r w:rsidRPr="004F04C9">
        <w:rPr>
          <w:b/>
          <w:sz w:val="28"/>
          <w:szCs w:val="28"/>
          <w:lang w:val="vi-VN"/>
        </w:rPr>
        <w:t>4. Giải pháp và phương pháp luận:</w:t>
      </w:r>
    </w:p>
    <w:p w14:paraId="219C2F6C" w14:textId="77777777" w:rsidR="00F460D1" w:rsidRPr="004F04C9" w:rsidRDefault="00F460D1" w:rsidP="00F460D1">
      <w:pPr>
        <w:spacing w:before="120" w:after="120"/>
        <w:ind w:firstLine="709"/>
        <w:rPr>
          <w:iCs/>
          <w:sz w:val="28"/>
          <w:szCs w:val="28"/>
          <w:lang w:val="vi-VN"/>
        </w:rPr>
      </w:pPr>
      <w:r w:rsidRPr="004F04C9">
        <w:rPr>
          <w:iCs/>
          <w:sz w:val="28"/>
          <w:szCs w:val="28"/>
          <w:lang w:val="vi-VN"/>
        </w:rPr>
        <w:t xml:space="preserve">Nhà thầu chuẩn bị đề xuất giải pháp, phương pháp luận tổng quát thực hiện dịch vụ theo các nội dung quy định tại Chương này, gồm các phần như sau: </w:t>
      </w:r>
    </w:p>
    <w:p w14:paraId="7FD40D02" w14:textId="77777777" w:rsidR="00F460D1" w:rsidRPr="004F04C9" w:rsidRDefault="00F460D1" w:rsidP="00F460D1">
      <w:pPr>
        <w:spacing w:before="120" w:after="120"/>
        <w:ind w:firstLine="709"/>
        <w:rPr>
          <w:iCs/>
          <w:sz w:val="28"/>
          <w:szCs w:val="28"/>
          <w:lang w:val="vi-VN"/>
        </w:rPr>
      </w:pPr>
      <w:r w:rsidRPr="004F04C9">
        <w:rPr>
          <w:iCs/>
          <w:sz w:val="28"/>
          <w:szCs w:val="28"/>
          <w:lang w:val="vi-VN"/>
        </w:rPr>
        <w:t>1. Giải pháp và phương pháp luận;</w:t>
      </w:r>
    </w:p>
    <w:p w14:paraId="05041093" w14:textId="77777777" w:rsidR="00F460D1" w:rsidRPr="004F04C9" w:rsidRDefault="00F460D1" w:rsidP="00F460D1">
      <w:pPr>
        <w:spacing w:before="120" w:after="120"/>
        <w:ind w:firstLine="709"/>
        <w:rPr>
          <w:iCs/>
          <w:sz w:val="28"/>
          <w:szCs w:val="28"/>
          <w:lang w:val="vi-VN"/>
        </w:rPr>
      </w:pPr>
      <w:r w:rsidRPr="004F04C9">
        <w:rPr>
          <w:iCs/>
          <w:sz w:val="28"/>
          <w:szCs w:val="28"/>
          <w:lang w:val="vi-VN"/>
        </w:rPr>
        <w:t>2.  Kế hoạch công tác.</w:t>
      </w:r>
    </w:p>
    <w:p w14:paraId="07FC7AD9" w14:textId="77777777" w:rsidR="00F460D1" w:rsidRPr="004F04C9" w:rsidRDefault="00F460D1" w:rsidP="00F460D1">
      <w:pPr>
        <w:spacing w:before="120" w:after="120"/>
        <w:ind w:firstLine="709"/>
        <w:rPr>
          <w:b/>
          <w:sz w:val="28"/>
          <w:szCs w:val="28"/>
          <w:lang w:val="vi-VN"/>
        </w:rPr>
      </w:pPr>
      <w:r w:rsidRPr="004F04C9">
        <w:rPr>
          <w:b/>
          <w:sz w:val="28"/>
          <w:szCs w:val="28"/>
          <w:lang w:val="vi-VN"/>
        </w:rPr>
        <w:t>5. Quy định về kiểm tra, nghiệm thu sản phẩm:</w:t>
      </w:r>
    </w:p>
    <w:p w14:paraId="7C018715" w14:textId="77777777" w:rsidR="00F460D1" w:rsidRPr="004F04C9" w:rsidRDefault="00F460D1" w:rsidP="00F460D1">
      <w:pPr>
        <w:spacing w:before="120" w:after="120"/>
        <w:ind w:firstLine="709"/>
        <w:rPr>
          <w:iCs/>
          <w:sz w:val="28"/>
          <w:szCs w:val="28"/>
          <w:lang w:val="vi-VN"/>
        </w:rPr>
      </w:pPr>
      <w:r w:rsidRPr="004F04C9">
        <w:rPr>
          <w:iCs/>
          <w:sz w:val="28"/>
          <w:szCs w:val="28"/>
          <w:lang w:val="vi-VN"/>
        </w:rPr>
        <w:t>Theo các quy định của pháp luật hiện hành.</w:t>
      </w:r>
    </w:p>
    <w:p w14:paraId="0948FAC1" w14:textId="77777777" w:rsidR="00F460D1" w:rsidRPr="00F460D1" w:rsidRDefault="00F460D1">
      <w:pPr>
        <w:rPr>
          <w:lang w:val="vi-VN"/>
        </w:rPr>
      </w:pPr>
    </w:p>
    <w:sectPr w:rsidR="00F460D1" w:rsidRPr="00F46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D1"/>
    <w:rsid w:val="001E309A"/>
    <w:rsid w:val="002B7508"/>
    <w:rsid w:val="00831C98"/>
    <w:rsid w:val="00924F34"/>
    <w:rsid w:val="00AB7085"/>
    <w:rsid w:val="00F4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C724"/>
  <w15:chartTrackingRefBased/>
  <w15:docId w15:val="{6DD529E4-702D-4BE4-B116-20638C37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D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460D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60D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60D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60D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460D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460D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460D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460D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460D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0D1"/>
    <w:rPr>
      <w:rFonts w:eastAsiaTheme="majorEastAsia" w:cstheme="majorBidi"/>
      <w:color w:val="272727" w:themeColor="text1" w:themeTint="D8"/>
    </w:rPr>
  </w:style>
  <w:style w:type="paragraph" w:styleId="Title">
    <w:name w:val="Title"/>
    <w:basedOn w:val="Normal"/>
    <w:next w:val="Normal"/>
    <w:link w:val="TitleChar"/>
    <w:uiPriority w:val="10"/>
    <w:qFormat/>
    <w:rsid w:val="00F460D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6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0D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6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0D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460D1"/>
    <w:rPr>
      <w:i/>
      <w:iCs/>
      <w:color w:val="404040" w:themeColor="text1" w:themeTint="BF"/>
    </w:rPr>
  </w:style>
  <w:style w:type="paragraph" w:styleId="ListParagraph">
    <w:name w:val="List Paragraph"/>
    <w:basedOn w:val="Normal"/>
    <w:uiPriority w:val="34"/>
    <w:qFormat/>
    <w:rsid w:val="00F460D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460D1"/>
    <w:rPr>
      <w:i/>
      <w:iCs/>
      <w:color w:val="0F4761" w:themeColor="accent1" w:themeShade="BF"/>
    </w:rPr>
  </w:style>
  <w:style w:type="paragraph" w:styleId="IntenseQuote">
    <w:name w:val="Intense Quote"/>
    <w:basedOn w:val="Normal"/>
    <w:next w:val="Normal"/>
    <w:link w:val="IntenseQuoteChar"/>
    <w:uiPriority w:val="30"/>
    <w:qFormat/>
    <w:rsid w:val="00F460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460D1"/>
    <w:rPr>
      <w:i/>
      <w:iCs/>
      <w:color w:val="0F4761" w:themeColor="accent1" w:themeShade="BF"/>
    </w:rPr>
  </w:style>
  <w:style w:type="character" w:styleId="IntenseReference">
    <w:name w:val="Intense Reference"/>
    <w:basedOn w:val="DefaultParagraphFont"/>
    <w:uiPriority w:val="32"/>
    <w:qFormat/>
    <w:rsid w:val="00F46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1507</Characters>
  <Application>Microsoft Office Word</Application>
  <DocSecurity>0</DocSecurity>
  <Lines>47</Lines>
  <Paragraphs>48</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4</cp:revision>
  <dcterms:created xsi:type="dcterms:W3CDTF">2026-01-10T14:40:00Z</dcterms:created>
  <dcterms:modified xsi:type="dcterms:W3CDTF">2026-01-10T14:43:00Z</dcterms:modified>
</cp:coreProperties>
</file>