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nl-NL"/>
        </w:rPr>
      </w:pPr>
      <w:r w:rsidRPr="009443EC">
        <w:rPr>
          <w:b/>
          <w:sz w:val="28"/>
          <w:szCs w:val="28"/>
          <w:lang w:val="nl-NL"/>
        </w:rPr>
        <w:t>Chương V. YÊU CẦU VỀ KỸ THUẬT</w:t>
      </w:r>
    </w:p>
    <w:p w:rsidR="00B81777" w:rsidRPr="00F76767" w:rsidRDefault="00B81777" w:rsidP="00B81777">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B81777" w:rsidRPr="00C43E54" w:rsidRDefault="00B81777" w:rsidP="00B81777">
      <w:pPr>
        <w:pStyle w:val="ListParagraph"/>
        <w:numPr>
          <w:ilvl w:val="0"/>
          <w:numId w:val="35"/>
        </w:numPr>
        <w:autoSpaceDE w:val="0"/>
        <w:autoSpaceDN w:val="0"/>
        <w:adjustRightInd w:val="0"/>
        <w:spacing w:before="120"/>
        <w:ind w:left="709" w:right="43" w:firstLine="284"/>
        <w:rPr>
          <w:color w:val="000000" w:themeColor="text1"/>
          <w:sz w:val="26"/>
          <w:szCs w:val="26"/>
        </w:rPr>
      </w:pPr>
      <w:bookmarkStart w:id="0" w:name="_Hlk165043563"/>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án:</w:t>
      </w:r>
      <w:r w:rsidRPr="00037CC6">
        <w:rPr>
          <w:color w:val="000000" w:themeColor="text1"/>
          <w:sz w:val="26"/>
          <w:szCs w:val="26"/>
        </w:rPr>
        <w:t xml:space="preserve"> </w:t>
      </w:r>
      <w:r w:rsidRPr="00037CC6">
        <w:rPr>
          <w:color w:val="FF0000"/>
          <w:sz w:val="26"/>
          <w:szCs w:val="26"/>
        </w:rPr>
        <w:t xml:space="preserve">Mua sắm </w:t>
      </w:r>
      <w:r>
        <w:rPr>
          <w:color w:val="FF0000"/>
          <w:sz w:val="26"/>
          <w:szCs w:val="26"/>
        </w:rPr>
        <w:t>pallet nhựa.</w:t>
      </w:r>
    </w:p>
    <w:p w:rsidR="00B81777" w:rsidRPr="00037CC6" w:rsidRDefault="00B81777" w:rsidP="00B81777">
      <w:pPr>
        <w:pStyle w:val="ListParagraph"/>
        <w:numPr>
          <w:ilvl w:val="0"/>
          <w:numId w:val="35"/>
        </w:numPr>
        <w:autoSpaceDE w:val="0"/>
        <w:autoSpaceDN w:val="0"/>
        <w:adjustRightInd w:val="0"/>
        <w:spacing w:before="120"/>
        <w:ind w:left="709" w:right="43" w:firstLine="284"/>
        <w:rPr>
          <w:color w:val="000000" w:themeColor="text1"/>
          <w:sz w:val="26"/>
          <w:szCs w:val="26"/>
        </w:rPr>
      </w:pPr>
      <w:r w:rsidRPr="00CB5979">
        <w:rPr>
          <w:color w:val="000000" w:themeColor="text1"/>
          <w:sz w:val="26"/>
          <w:szCs w:val="26"/>
          <w:lang w:val="vi-VN"/>
        </w:rPr>
        <w:t>Tên gói thầu</w:t>
      </w:r>
      <w:r w:rsidRPr="00B51AD5">
        <w:rPr>
          <w:color w:val="FF0000"/>
          <w:sz w:val="26"/>
          <w:szCs w:val="26"/>
          <w:lang w:val="vi-VN"/>
        </w:rPr>
        <w:t xml:space="preserve">: </w:t>
      </w:r>
      <w:r w:rsidRPr="00037CC6">
        <w:rPr>
          <w:color w:val="FF0000"/>
          <w:sz w:val="26"/>
          <w:szCs w:val="26"/>
        </w:rPr>
        <w:t xml:space="preserve">Mua sắm </w:t>
      </w:r>
      <w:r>
        <w:rPr>
          <w:color w:val="FF0000"/>
          <w:sz w:val="26"/>
          <w:szCs w:val="26"/>
        </w:rPr>
        <w:t>pallet nhựa</w:t>
      </w:r>
      <w:r w:rsidRPr="00037CC6">
        <w:rPr>
          <w:color w:val="FF0000"/>
          <w:sz w:val="26"/>
          <w:szCs w:val="26"/>
        </w:rPr>
        <w:t>.</w:t>
      </w:r>
    </w:p>
    <w:bookmarkEnd w:id="0"/>
    <w:p w:rsidR="00B81777" w:rsidRPr="00AE172C" w:rsidRDefault="00B81777" w:rsidP="00B81777">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B81777" w:rsidRPr="00AE172C" w:rsidRDefault="00B81777" w:rsidP="00B81777">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B81777" w:rsidRPr="00AE172C" w:rsidRDefault="00B81777" w:rsidP="00B81777">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Pr>
          <w:spacing w:val="-4"/>
          <w:sz w:val="26"/>
          <w:szCs w:val="26"/>
          <w:lang w:val="vi-VN"/>
        </w:rPr>
        <w:t>30 ngày</w:t>
      </w:r>
      <w:r w:rsidRPr="00AE172C">
        <w:rPr>
          <w:color w:val="0000FF"/>
          <w:spacing w:val="-4"/>
          <w:sz w:val="26"/>
          <w:szCs w:val="26"/>
          <w:lang w:val="nl-NL"/>
        </w:rPr>
        <w:t>.</w:t>
      </w:r>
    </w:p>
    <w:p w:rsidR="00B81777" w:rsidRPr="00AE172C" w:rsidRDefault="00B81777" w:rsidP="00B81777">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vật tư</w:t>
      </w:r>
      <w:r w:rsidRPr="00AE172C">
        <w:rPr>
          <w:spacing w:val="-4"/>
          <w:sz w:val="26"/>
          <w:szCs w:val="26"/>
          <w:lang w:val="nl-NL"/>
        </w:rPr>
        <w:t xml:space="preserve"> </w:t>
      </w:r>
      <w:r>
        <w:rPr>
          <w:spacing w:val="-4"/>
          <w:sz w:val="26"/>
          <w:szCs w:val="26"/>
          <w:lang w:val="nl-NL"/>
        </w:rPr>
        <w:t xml:space="preserve">nhà máy chế biến Long Hòa, Bến Súc, Phú Bình - </w:t>
      </w:r>
      <w:r w:rsidRPr="00AE172C">
        <w:rPr>
          <w:spacing w:val="-4"/>
          <w:sz w:val="26"/>
          <w:szCs w:val="26"/>
          <w:lang w:val="nl-NL"/>
        </w:rPr>
        <w:t>Công ty TNHH MTV Cao su Dầu Tiếng.</w:t>
      </w:r>
    </w:p>
    <w:p w:rsidR="00B81777" w:rsidRPr="00AE172C" w:rsidRDefault="00B81777" w:rsidP="00B81777">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B81777" w:rsidRPr="00AE172C" w:rsidRDefault="00B81777" w:rsidP="00B81777">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B81777" w:rsidRPr="00AE172C" w:rsidRDefault="00B81777" w:rsidP="00B81777">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B81777" w:rsidRPr="00AE172C" w:rsidRDefault="00B81777" w:rsidP="00B81777">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B81777" w:rsidRPr="00AE172C" w:rsidRDefault="00B81777" w:rsidP="00B81777">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B81777" w:rsidRPr="00AE172C" w:rsidRDefault="00B81777" w:rsidP="00B81777">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B81777" w:rsidRPr="00AE172C" w:rsidRDefault="00B81777" w:rsidP="00B81777">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B81777" w:rsidRPr="00AE172C" w:rsidRDefault="00B81777" w:rsidP="00B81777">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B81777" w:rsidRPr="00AE172C" w:rsidRDefault="00B81777" w:rsidP="00B81777">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B81777" w:rsidRPr="00F76767" w:rsidRDefault="00B81777" w:rsidP="00B81777">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B81777" w:rsidRDefault="00B81777" w:rsidP="00B81777">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B81777" w:rsidRPr="002D716C" w:rsidRDefault="00B81777" w:rsidP="00B81777">
      <w:pPr>
        <w:autoSpaceDE w:val="0"/>
        <w:autoSpaceDN w:val="0"/>
        <w:adjustRightInd w:val="0"/>
        <w:spacing w:before="120"/>
        <w:ind w:right="43"/>
        <w:rPr>
          <w:sz w:val="26"/>
          <w:szCs w:val="26"/>
        </w:rPr>
      </w:pPr>
    </w:p>
    <w:p w:rsidR="00B81777" w:rsidRPr="00F76767" w:rsidRDefault="00B81777" w:rsidP="00B81777">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B81777" w:rsidRPr="00B81777" w:rsidRDefault="00B81777" w:rsidP="00B81777">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B81777" w:rsidRPr="00B81777" w:rsidRDefault="00B81777" w:rsidP="00B81777">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B81777" w:rsidTr="00F11BE9">
        <w:trPr>
          <w:tblHeader/>
        </w:trPr>
        <w:tc>
          <w:tcPr>
            <w:tcW w:w="725" w:type="dxa"/>
            <w:vAlign w:val="center"/>
          </w:tcPr>
          <w:p w:rsidR="00B81777" w:rsidRDefault="00B81777" w:rsidP="00F11BE9">
            <w:pPr>
              <w:rPr>
                <w:b/>
                <w:sz w:val="26"/>
                <w:szCs w:val="26"/>
                <w:lang w:val="vi-VN"/>
              </w:rPr>
            </w:pPr>
            <w:r>
              <w:rPr>
                <w:b/>
                <w:sz w:val="26"/>
                <w:szCs w:val="26"/>
              </w:rPr>
              <w:lastRenderedPageBreak/>
              <w:t>S</w:t>
            </w:r>
            <w:r>
              <w:rPr>
                <w:b/>
                <w:sz w:val="26"/>
                <w:szCs w:val="26"/>
                <w:lang w:val="vi-VN"/>
              </w:rPr>
              <w:t>TT</w:t>
            </w:r>
          </w:p>
        </w:tc>
        <w:tc>
          <w:tcPr>
            <w:tcW w:w="2536" w:type="dxa"/>
            <w:vAlign w:val="center"/>
          </w:tcPr>
          <w:p w:rsidR="00B81777" w:rsidRDefault="00B81777" w:rsidP="00F11BE9">
            <w:pPr>
              <w:jc w:val="center"/>
              <w:rPr>
                <w:b/>
                <w:sz w:val="26"/>
                <w:szCs w:val="26"/>
              </w:rPr>
            </w:pPr>
            <w:r>
              <w:rPr>
                <w:b/>
                <w:sz w:val="26"/>
                <w:szCs w:val="26"/>
              </w:rPr>
              <w:t>Hạng mục</w:t>
            </w:r>
          </w:p>
        </w:tc>
        <w:tc>
          <w:tcPr>
            <w:tcW w:w="6804" w:type="dxa"/>
            <w:vAlign w:val="center"/>
          </w:tcPr>
          <w:p w:rsidR="00B81777" w:rsidRDefault="00B81777" w:rsidP="00F11BE9">
            <w:pPr>
              <w:jc w:val="center"/>
              <w:rPr>
                <w:b/>
                <w:sz w:val="26"/>
                <w:szCs w:val="26"/>
              </w:rPr>
            </w:pPr>
            <w:r>
              <w:rPr>
                <w:b/>
                <w:sz w:val="26"/>
                <w:szCs w:val="26"/>
              </w:rPr>
              <w:t>Đặc tính kỹ thuật</w:t>
            </w:r>
          </w:p>
        </w:tc>
      </w:tr>
      <w:tr w:rsidR="00B81777" w:rsidRPr="00D16387" w:rsidTr="00F11BE9">
        <w:trPr>
          <w:trHeight w:val="1223"/>
        </w:trPr>
        <w:tc>
          <w:tcPr>
            <w:tcW w:w="725" w:type="dxa"/>
          </w:tcPr>
          <w:p w:rsidR="00B81777" w:rsidRPr="007416EF" w:rsidRDefault="00B81777" w:rsidP="00F11BE9">
            <w:pPr>
              <w:jc w:val="center"/>
              <w:rPr>
                <w:sz w:val="26"/>
                <w:szCs w:val="26"/>
                <w:lang w:val="en-GB"/>
              </w:rPr>
            </w:pPr>
            <w:r>
              <w:rPr>
                <w:sz w:val="26"/>
                <w:szCs w:val="26"/>
                <w:lang w:val="en-GB"/>
              </w:rPr>
              <w:t>1</w:t>
            </w:r>
          </w:p>
        </w:tc>
        <w:tc>
          <w:tcPr>
            <w:tcW w:w="2536" w:type="dxa"/>
          </w:tcPr>
          <w:p w:rsidR="00B81777" w:rsidRPr="00A967A8" w:rsidRDefault="00B81777" w:rsidP="00F11BE9">
            <w:pPr>
              <w:rPr>
                <w:sz w:val="26"/>
                <w:szCs w:val="26"/>
                <w:lang w:val="en-GB"/>
              </w:rPr>
            </w:pPr>
            <w:r>
              <w:rPr>
                <w:sz w:val="26"/>
                <w:szCs w:val="26"/>
                <w:lang w:val="en-GB"/>
              </w:rPr>
              <w:t>Pallet nhựa</w:t>
            </w:r>
          </w:p>
          <w:p w:rsidR="00B81777" w:rsidRDefault="00B81777" w:rsidP="00F11BE9">
            <w:pPr>
              <w:widowControl w:val="0"/>
              <w:suppressAutoHyphens/>
              <w:rPr>
                <w:bCs/>
                <w:sz w:val="26"/>
                <w:szCs w:val="26"/>
              </w:rPr>
            </w:pPr>
          </w:p>
        </w:tc>
        <w:tc>
          <w:tcPr>
            <w:tcW w:w="6804" w:type="dxa"/>
          </w:tcPr>
          <w:p w:rsidR="00B81777" w:rsidRPr="002916F4" w:rsidRDefault="00B81777" w:rsidP="00F11BE9">
            <w:pPr>
              <w:rPr>
                <w:color w:val="000000"/>
                <w:sz w:val="26"/>
                <w:szCs w:val="26"/>
              </w:rPr>
            </w:pPr>
            <w:r w:rsidRPr="002916F4">
              <w:rPr>
                <w:color w:val="000000"/>
                <w:sz w:val="26"/>
                <w:szCs w:val="26"/>
              </w:rPr>
              <w:t>-</w:t>
            </w:r>
            <w:r w:rsidRPr="002916F4">
              <w:rPr>
                <w:color w:val="000000"/>
                <w:sz w:val="26"/>
                <w:szCs w:val="26"/>
                <w:lang w:val="vi-VN"/>
              </w:rPr>
              <w:t xml:space="preserve"> </w:t>
            </w:r>
            <w:r w:rsidRPr="002916F4">
              <w:rPr>
                <w:color w:val="000000"/>
                <w:sz w:val="26"/>
                <w:szCs w:val="26"/>
              </w:rPr>
              <w:t>Mặt hàng: Pallet nhựa</w:t>
            </w:r>
          </w:p>
          <w:p w:rsidR="00B81777" w:rsidRPr="002916F4" w:rsidRDefault="00B81777" w:rsidP="00F11BE9">
            <w:pPr>
              <w:rPr>
                <w:color w:val="000000"/>
                <w:sz w:val="26"/>
                <w:szCs w:val="26"/>
              </w:rPr>
            </w:pPr>
            <w:r w:rsidRPr="002916F4">
              <w:rPr>
                <w:color w:val="000000"/>
                <w:sz w:val="26"/>
                <w:szCs w:val="26"/>
              </w:rPr>
              <w:t xml:space="preserve">- Vật liệu: 100%  nhựa PP </w:t>
            </w:r>
          </w:p>
          <w:p w:rsidR="00B81777" w:rsidRPr="002916F4" w:rsidRDefault="00B81777" w:rsidP="00F11BE9">
            <w:pPr>
              <w:rPr>
                <w:color w:val="000000"/>
                <w:sz w:val="26"/>
                <w:szCs w:val="26"/>
              </w:rPr>
            </w:pPr>
            <w:r w:rsidRPr="002916F4">
              <w:rPr>
                <w:color w:val="000000"/>
                <w:sz w:val="26"/>
                <w:szCs w:val="26"/>
              </w:rPr>
              <w:t>- Màu sắc: Màu đen.</w:t>
            </w:r>
          </w:p>
          <w:p w:rsidR="00B81777" w:rsidRPr="002916F4" w:rsidRDefault="00B81777" w:rsidP="00F11BE9">
            <w:pPr>
              <w:tabs>
                <w:tab w:val="left" w:pos="4860"/>
                <w:tab w:val="left" w:pos="5220"/>
              </w:tabs>
              <w:rPr>
                <w:color w:val="000000"/>
                <w:sz w:val="26"/>
                <w:szCs w:val="26"/>
              </w:rPr>
            </w:pPr>
            <w:r w:rsidRPr="002916F4">
              <w:rPr>
                <w:color w:val="000000"/>
                <w:sz w:val="26"/>
                <w:szCs w:val="26"/>
              </w:rPr>
              <w:t xml:space="preserve">- Kích thước:  </w:t>
            </w:r>
          </w:p>
          <w:p w:rsidR="00B81777" w:rsidRPr="002916F4" w:rsidRDefault="00B81777" w:rsidP="00F11BE9">
            <w:pPr>
              <w:tabs>
                <w:tab w:val="left" w:pos="4860"/>
                <w:tab w:val="left" w:pos="5220"/>
              </w:tabs>
              <w:rPr>
                <w:color w:val="000000"/>
                <w:sz w:val="26"/>
                <w:szCs w:val="26"/>
              </w:rPr>
            </w:pPr>
            <w:r w:rsidRPr="002916F4">
              <w:rPr>
                <w:color w:val="000000"/>
                <w:sz w:val="26"/>
                <w:szCs w:val="26"/>
              </w:rPr>
              <w:t>+ Chiều dài từ 1420 mm đến 1425mm.</w:t>
            </w:r>
          </w:p>
          <w:p w:rsidR="00B81777" w:rsidRPr="002916F4" w:rsidRDefault="00B81777" w:rsidP="00F11BE9">
            <w:pPr>
              <w:tabs>
                <w:tab w:val="left" w:pos="4860"/>
                <w:tab w:val="left" w:pos="5220"/>
              </w:tabs>
              <w:rPr>
                <w:color w:val="000000"/>
                <w:sz w:val="26"/>
                <w:szCs w:val="26"/>
              </w:rPr>
            </w:pPr>
            <w:r w:rsidRPr="002916F4">
              <w:rPr>
                <w:color w:val="000000"/>
                <w:sz w:val="26"/>
                <w:szCs w:val="26"/>
              </w:rPr>
              <w:t>+ Chiều rộng từ 1120 mm đến 1125 mm.</w:t>
            </w:r>
          </w:p>
          <w:p w:rsidR="00B81777" w:rsidRPr="002916F4" w:rsidRDefault="00B81777" w:rsidP="00F11BE9">
            <w:pPr>
              <w:tabs>
                <w:tab w:val="left" w:pos="4860"/>
                <w:tab w:val="left" w:pos="5220"/>
              </w:tabs>
              <w:rPr>
                <w:color w:val="000000"/>
                <w:sz w:val="26"/>
                <w:szCs w:val="26"/>
              </w:rPr>
            </w:pPr>
            <w:r w:rsidRPr="002916F4">
              <w:rPr>
                <w:color w:val="000000"/>
                <w:sz w:val="26"/>
                <w:szCs w:val="26"/>
              </w:rPr>
              <w:t>+ Chiều cao từ 128 mm đến 150 mm.</w:t>
            </w:r>
          </w:p>
          <w:p w:rsidR="00B81777" w:rsidRPr="002916F4" w:rsidRDefault="00B81777" w:rsidP="00F11BE9">
            <w:pPr>
              <w:rPr>
                <w:color w:val="000000"/>
                <w:sz w:val="26"/>
                <w:szCs w:val="26"/>
              </w:rPr>
            </w:pPr>
            <w:r w:rsidRPr="002916F4">
              <w:rPr>
                <w:color w:val="000000"/>
                <w:sz w:val="26"/>
                <w:szCs w:val="26"/>
              </w:rPr>
              <w:t>- Cân nặng: Từ 11kg/cái đến 13,7 kg/cái (+- 1kg).</w:t>
            </w:r>
          </w:p>
          <w:p w:rsidR="00B81777" w:rsidRPr="002916F4" w:rsidRDefault="00B81777" w:rsidP="00F11BE9">
            <w:pPr>
              <w:rPr>
                <w:color w:val="000000"/>
                <w:sz w:val="26"/>
                <w:szCs w:val="26"/>
              </w:rPr>
            </w:pPr>
            <w:r w:rsidRPr="002916F4">
              <w:rPr>
                <w:color w:val="000000"/>
                <w:sz w:val="26"/>
                <w:szCs w:val="26"/>
              </w:rPr>
              <w:t>- Tải trọng tĩnh: Từ 4.500 kg đến 5.300 kg.</w:t>
            </w:r>
          </w:p>
          <w:p w:rsidR="00B81777" w:rsidRPr="002916F4" w:rsidRDefault="00B81777" w:rsidP="00F11BE9">
            <w:pPr>
              <w:rPr>
                <w:color w:val="000000"/>
                <w:sz w:val="26"/>
                <w:szCs w:val="26"/>
              </w:rPr>
            </w:pPr>
            <w:r w:rsidRPr="002916F4">
              <w:rPr>
                <w:color w:val="000000"/>
                <w:sz w:val="26"/>
                <w:szCs w:val="26"/>
              </w:rPr>
              <w:t>- Tải trọng động: Từ 1.350 kg đến 1.500 kg.</w:t>
            </w:r>
          </w:p>
          <w:p w:rsidR="00B81777" w:rsidRPr="002916F4" w:rsidRDefault="00B81777" w:rsidP="00F11BE9">
            <w:pPr>
              <w:rPr>
                <w:color w:val="000000"/>
                <w:sz w:val="26"/>
                <w:szCs w:val="26"/>
              </w:rPr>
            </w:pPr>
            <w:r w:rsidRPr="002916F4">
              <w:rPr>
                <w:color w:val="000000"/>
                <w:sz w:val="26"/>
                <w:szCs w:val="26"/>
              </w:rPr>
              <w:t>- Số đường nâng: 4 đường, 1 mặt sử dụng, mặt trên dạng lưới.</w:t>
            </w:r>
          </w:p>
          <w:p w:rsidR="00B81777" w:rsidRPr="00F83726" w:rsidRDefault="00B81777" w:rsidP="00F11BE9">
            <w:pPr>
              <w:rPr>
                <w:color w:val="000000"/>
                <w:sz w:val="26"/>
                <w:szCs w:val="26"/>
                <w:lang w:val="en-GB"/>
              </w:rPr>
            </w:pPr>
            <w:r w:rsidRPr="002916F4">
              <w:rPr>
                <w:color w:val="000000"/>
                <w:sz w:val="26"/>
                <w:szCs w:val="26"/>
                <w:lang w:val="vi-VN"/>
              </w:rPr>
              <w:t xml:space="preserve">- Giao hàng tại kho </w:t>
            </w:r>
            <w:r w:rsidRPr="002916F4">
              <w:rPr>
                <w:color w:val="000000"/>
                <w:sz w:val="26"/>
                <w:szCs w:val="26"/>
                <w:lang w:val="en-GB"/>
              </w:rPr>
              <w:t xml:space="preserve">nhà máy chế biến Long Hòa, Bến Súc, Phú Bình - </w:t>
            </w:r>
            <w:r w:rsidRPr="002916F4">
              <w:rPr>
                <w:color w:val="000000"/>
                <w:sz w:val="26"/>
                <w:szCs w:val="26"/>
                <w:lang w:val="vi-VN"/>
              </w:rPr>
              <w:t>Công ty TNHH MTV Cao su Dầu Tiếng</w:t>
            </w:r>
            <w:r w:rsidRPr="002916F4">
              <w:rPr>
                <w:color w:val="000000"/>
                <w:sz w:val="26"/>
                <w:szCs w:val="26"/>
                <w:lang w:val="en-GB"/>
              </w:rPr>
              <w:t>.</w:t>
            </w:r>
          </w:p>
        </w:tc>
      </w:tr>
    </w:tbl>
    <w:p w:rsidR="00B81777" w:rsidRPr="00EE47C0" w:rsidRDefault="00B81777" w:rsidP="00B81777">
      <w:pPr>
        <w:pStyle w:val="ListParagraph"/>
        <w:spacing w:before="120" w:after="120"/>
        <w:ind w:left="0"/>
        <w:rPr>
          <w:b/>
          <w:sz w:val="26"/>
          <w:szCs w:val="26"/>
          <w:lang w:val="en-GB"/>
        </w:rPr>
      </w:pPr>
    </w:p>
    <w:p w:rsidR="00B81777" w:rsidRPr="00EE47C0" w:rsidRDefault="00B81777" w:rsidP="00B81777">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B81777" w:rsidRPr="00F76767" w:rsidRDefault="00B81777" w:rsidP="00B81777">
      <w:pPr>
        <w:ind w:right="43" w:firstLine="709"/>
        <w:rPr>
          <w:sz w:val="26"/>
          <w:szCs w:val="26"/>
        </w:rPr>
      </w:pPr>
      <w:r w:rsidRPr="00F76767">
        <w:rPr>
          <w:b/>
          <w:bCs/>
          <w:sz w:val="26"/>
          <w:szCs w:val="26"/>
        </w:rPr>
        <w:t>3. Ki</w:t>
      </w:r>
      <w:r w:rsidRPr="00F76767">
        <w:rPr>
          <w:b/>
          <w:bCs/>
          <w:sz w:val="26"/>
          <w:szCs w:val="26"/>
          <w:lang w:val="vi-VN"/>
        </w:rPr>
        <w:t>ểm tra và thử nghiệm</w:t>
      </w:r>
    </w:p>
    <w:p w:rsidR="00B81777" w:rsidRPr="00957DC5" w:rsidRDefault="00B81777" w:rsidP="00B81777">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B81777" w:rsidRPr="00D925B7" w:rsidRDefault="00B81777" w:rsidP="00B81777">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B81777" w:rsidRPr="00E07688" w:rsidRDefault="00B81777" w:rsidP="00B81777">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w:t>
      </w:r>
      <w:r>
        <w:rPr>
          <w:color w:val="000000"/>
          <w:sz w:val="26"/>
          <w:szCs w:val="26"/>
        </w:rPr>
        <w:t xml:space="preserve">ghiệm thu, có đầy đủ các chữ ký </w:t>
      </w:r>
      <w:r w:rsidRPr="00D925B7">
        <w:rPr>
          <w:color w:val="000000"/>
          <w:sz w:val="26"/>
          <w:szCs w:val="26"/>
        </w:rPr>
        <w:t>của các bên để làm cơ sở</w:t>
      </w:r>
      <w:r w:rsidRPr="00D925B7">
        <w:rPr>
          <w:color w:val="000000"/>
          <w:sz w:val="26"/>
          <w:szCs w:val="26"/>
        </w:rPr>
        <w:br/>
        <w:t>thanh toán.</w:t>
      </w:r>
    </w:p>
    <w:p w:rsidR="00B81777" w:rsidRPr="00E07688" w:rsidRDefault="00B81777" w:rsidP="00B81777">
      <w:pPr>
        <w:rPr>
          <w:sz w:val="26"/>
          <w:szCs w:val="26"/>
          <w:lang w:val="pl-PL"/>
        </w:rPr>
      </w:pPr>
      <w:r>
        <w:rPr>
          <w:sz w:val="26"/>
          <w:szCs w:val="26"/>
          <w:lang w:val="pl-PL"/>
        </w:rPr>
        <w:t xml:space="preserve">       </w:t>
      </w:r>
      <w:r w:rsidRPr="00457ED7">
        <w:rPr>
          <w:b/>
          <w:sz w:val="26"/>
          <w:szCs w:val="26"/>
          <w:lang w:val="pl-PL"/>
        </w:rPr>
        <w:t>-</w:t>
      </w:r>
      <w:r>
        <w:rPr>
          <w:sz w:val="26"/>
          <w:szCs w:val="26"/>
          <w:lang w:val="pl-PL"/>
        </w:rPr>
        <w:t xml:space="preserve">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tỷ lệ hoạt chất Ethephon</w:t>
      </w:r>
      <w:r w:rsidRPr="00E07688">
        <w:rPr>
          <w:sz w:val="26"/>
          <w:szCs w:val="26"/>
          <w:lang w:val="pl-PL" w:eastAsia="vi-VN"/>
        </w:rPr>
        <w:t xml:space="preserve"> </w:t>
      </w:r>
      <w:r w:rsidRPr="00E07688">
        <w:rPr>
          <w:sz w:val="26"/>
          <w:szCs w:val="26"/>
          <w:lang w:val="pl-PL"/>
        </w:rPr>
        <w:t>(Chi phí kiểm định do nhà thầu chịu).</w:t>
      </w:r>
    </w:p>
    <w:p w:rsidR="00B81777" w:rsidRPr="00F76767" w:rsidRDefault="00B81777" w:rsidP="00B81777">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B81777" w:rsidRPr="00F76767" w:rsidRDefault="00B81777" w:rsidP="00B81777">
      <w:pPr>
        <w:spacing w:after="200" w:line="276" w:lineRule="auto"/>
        <w:ind w:firstLine="709"/>
        <w:jc w:val="left"/>
        <w:rPr>
          <w:i/>
          <w:iCs/>
          <w:sz w:val="26"/>
          <w:szCs w:val="26"/>
        </w:rPr>
      </w:pPr>
    </w:p>
    <w:p w:rsidR="00B81777" w:rsidRDefault="00B81777" w:rsidP="00C21545">
      <w:pPr>
        <w:widowControl w:val="0"/>
        <w:spacing w:before="120" w:after="120" w:line="264" w:lineRule="auto"/>
        <w:jc w:val="center"/>
        <w:outlineLvl w:val="1"/>
        <w:rPr>
          <w:b/>
          <w:sz w:val="28"/>
          <w:szCs w:val="28"/>
          <w:lang w:val="nl-NL"/>
        </w:rPr>
      </w:pPr>
    </w:p>
    <w:p w:rsidR="00B81777" w:rsidRDefault="00B81777" w:rsidP="00C21545">
      <w:pPr>
        <w:widowControl w:val="0"/>
        <w:spacing w:before="120" w:after="120" w:line="264" w:lineRule="auto"/>
        <w:jc w:val="center"/>
        <w:outlineLvl w:val="1"/>
        <w:rPr>
          <w:b/>
          <w:sz w:val="28"/>
          <w:szCs w:val="28"/>
          <w:lang w:val="nl-NL"/>
        </w:rPr>
      </w:pPr>
    </w:p>
    <w:p w:rsidR="00B81777" w:rsidRDefault="00B81777" w:rsidP="00C21545">
      <w:pPr>
        <w:widowControl w:val="0"/>
        <w:spacing w:before="120" w:after="120" w:line="264" w:lineRule="auto"/>
        <w:jc w:val="center"/>
        <w:outlineLvl w:val="1"/>
        <w:rPr>
          <w:b/>
          <w:sz w:val="28"/>
          <w:szCs w:val="28"/>
          <w:lang w:val="nl-NL"/>
        </w:rPr>
      </w:pPr>
    </w:p>
    <w:p w:rsidR="00A170F3" w:rsidRDefault="00A170F3" w:rsidP="00C21545">
      <w:pPr>
        <w:widowControl w:val="0"/>
        <w:spacing w:before="120" w:after="120" w:line="264" w:lineRule="auto"/>
        <w:jc w:val="center"/>
        <w:outlineLvl w:val="1"/>
        <w:rPr>
          <w:b/>
          <w:sz w:val="28"/>
          <w:szCs w:val="28"/>
          <w:lang w:val="nl-NL"/>
        </w:rPr>
      </w:pPr>
    </w:p>
    <w:sectPr w:rsidR="00A170F3"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2A6" w:rsidRDefault="005062A6" w:rsidP="0005772F">
      <w:r>
        <w:separator/>
      </w:r>
    </w:p>
  </w:endnote>
  <w:endnote w:type="continuationSeparator" w:id="1">
    <w:p w:rsidR="005062A6" w:rsidRDefault="005062A6"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2A6" w:rsidRDefault="005062A6" w:rsidP="0005772F">
      <w:r>
        <w:separator/>
      </w:r>
    </w:p>
  </w:footnote>
  <w:footnote w:type="continuationSeparator" w:id="1">
    <w:p w:rsidR="005062A6" w:rsidRDefault="005062A6"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97282"/>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391C"/>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59A"/>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7BD"/>
    <w:rsid w:val="00446D77"/>
    <w:rsid w:val="00446DB0"/>
    <w:rsid w:val="00450B2B"/>
    <w:rsid w:val="00457ED7"/>
    <w:rsid w:val="0046598C"/>
    <w:rsid w:val="00466233"/>
    <w:rsid w:val="00466827"/>
    <w:rsid w:val="00466CE4"/>
    <w:rsid w:val="0047020A"/>
    <w:rsid w:val="00473595"/>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062A6"/>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7A8"/>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5CB9"/>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170F3"/>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2B24"/>
    <w:rsid w:val="00B75860"/>
    <w:rsid w:val="00B77709"/>
    <w:rsid w:val="00B81777"/>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069"/>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17F48"/>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2C6A"/>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111</cp:revision>
  <cp:lastPrinted>2022-10-21T00:05:00Z</cp:lastPrinted>
  <dcterms:created xsi:type="dcterms:W3CDTF">2022-06-06T07:25:00Z</dcterms:created>
  <dcterms:modified xsi:type="dcterms:W3CDTF">2026-01-09T06:48:00Z</dcterms:modified>
</cp:coreProperties>
</file>