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77777777" w:rsidR="0023244A" w:rsidRPr="00460CAA" w:rsidRDefault="0023244A" w:rsidP="00911947">
      <w:pPr>
        <w:widowControl w:val="0"/>
        <w:spacing w:before="120"/>
        <w:jc w:val="center"/>
        <w:rPr>
          <w:b/>
          <w:sz w:val="26"/>
          <w:szCs w:val="26"/>
        </w:rPr>
      </w:pPr>
      <w:r w:rsidRPr="00460CAA">
        <w:rPr>
          <w:b/>
          <w:sz w:val="26"/>
          <w:szCs w:val="26"/>
        </w:rPr>
        <w:t>Chương V. YÊU CẦU VỀ KỸ THUẬT</w:t>
      </w:r>
      <w:r w:rsidRPr="00460CAA">
        <w:rPr>
          <w:rStyle w:val="FootnoteReference"/>
          <w:b/>
          <w:sz w:val="26"/>
          <w:szCs w:val="26"/>
        </w:rPr>
        <w:footnoteReference w:customMarkFollows="1" w:id="1"/>
        <w:t>1</w:t>
      </w:r>
    </w:p>
    <w:p w14:paraId="1F25B3A4" w14:textId="77777777" w:rsidR="0023244A" w:rsidRPr="00460CAA" w:rsidRDefault="0023244A" w:rsidP="00CD2810">
      <w:pPr>
        <w:widowControl w:val="0"/>
        <w:autoSpaceDE w:val="0"/>
        <w:autoSpaceDN w:val="0"/>
        <w:adjustRightInd w:val="0"/>
        <w:spacing w:before="120"/>
        <w:ind w:right="-14" w:firstLine="567"/>
        <w:jc w:val="both"/>
        <w:rPr>
          <w:sz w:val="26"/>
          <w:szCs w:val="26"/>
        </w:rPr>
      </w:pPr>
      <w:r w:rsidRPr="00460CAA">
        <w:rPr>
          <w:b/>
          <w:bCs/>
          <w:sz w:val="26"/>
          <w:szCs w:val="26"/>
        </w:rPr>
        <w:t>I. Giới thiệu về gói thầu</w:t>
      </w:r>
    </w:p>
    <w:p w14:paraId="04694C7C" w14:textId="77777777" w:rsidR="0023244A" w:rsidRPr="00460CAA" w:rsidRDefault="0023244A" w:rsidP="00A63C9C">
      <w:pPr>
        <w:widowControl w:val="0"/>
        <w:autoSpaceDE w:val="0"/>
        <w:autoSpaceDN w:val="0"/>
        <w:adjustRightInd w:val="0"/>
        <w:spacing w:before="120" w:after="120"/>
        <w:ind w:right="-14" w:firstLine="562"/>
        <w:jc w:val="both"/>
        <w:rPr>
          <w:sz w:val="26"/>
          <w:szCs w:val="26"/>
        </w:rPr>
      </w:pPr>
      <w:r w:rsidRPr="00460CAA">
        <w:rPr>
          <w:b/>
          <w:sz w:val="26"/>
          <w:szCs w:val="26"/>
        </w:rPr>
        <w:t>1. Phạm vi công việc của gói thầu</w:t>
      </w:r>
      <w:r w:rsidRPr="00460CAA">
        <w:rPr>
          <w:sz w:val="26"/>
          <w:szCs w:val="26"/>
        </w:rPr>
        <w:t>.</w:t>
      </w:r>
    </w:p>
    <w:p w14:paraId="658A4147" w14:textId="77777777" w:rsidR="00A82EEC" w:rsidRPr="00A82EEC" w:rsidRDefault="00A82EEC" w:rsidP="00A82EEC">
      <w:pPr>
        <w:widowControl w:val="0"/>
        <w:tabs>
          <w:tab w:val="left" w:pos="567"/>
        </w:tabs>
        <w:spacing w:line="360" w:lineRule="exact"/>
        <w:ind w:firstLine="567"/>
        <w:jc w:val="both"/>
        <w:rPr>
          <w:spacing w:val="-4"/>
          <w:sz w:val="28"/>
          <w:szCs w:val="28"/>
          <w:shd w:val="clear" w:color="auto" w:fill="FFFFFF"/>
        </w:rPr>
      </w:pPr>
      <w:r w:rsidRPr="00A82EEC">
        <w:rPr>
          <w:spacing w:val="-4"/>
          <w:sz w:val="28"/>
          <w:szCs w:val="28"/>
          <w:shd w:val="clear" w:color="auto" w:fill="FFFFFF"/>
        </w:rPr>
        <w:t>Tổng chiều dài tuyến kênh sửa chữa và xây mới khoảng L = 3320,70m.</w:t>
      </w:r>
    </w:p>
    <w:p w14:paraId="03F739BB" w14:textId="77777777" w:rsidR="00A82EEC" w:rsidRPr="00A82EEC" w:rsidRDefault="00A82EEC" w:rsidP="00A82EEC">
      <w:pPr>
        <w:widowControl w:val="0"/>
        <w:tabs>
          <w:tab w:val="left" w:pos="567"/>
        </w:tabs>
        <w:spacing w:line="360" w:lineRule="exact"/>
        <w:ind w:firstLine="567"/>
        <w:jc w:val="both"/>
        <w:rPr>
          <w:spacing w:val="-4"/>
          <w:sz w:val="28"/>
          <w:szCs w:val="28"/>
          <w:shd w:val="clear" w:color="auto" w:fill="FFFFFF"/>
        </w:rPr>
      </w:pPr>
      <w:r w:rsidRPr="00A82EEC">
        <w:rPr>
          <w:spacing w:val="-4"/>
          <w:sz w:val="28"/>
          <w:szCs w:val="28"/>
          <w:shd w:val="clear" w:color="auto" w:fill="FFFFFF"/>
        </w:rPr>
        <w:t xml:space="preserve">Trong đó: </w:t>
      </w:r>
    </w:p>
    <w:p w14:paraId="3E6E74DB" w14:textId="3DDA4C2A" w:rsidR="00A82EEC" w:rsidRPr="00A82EEC" w:rsidRDefault="00A82EEC" w:rsidP="00A82EEC">
      <w:pPr>
        <w:widowControl w:val="0"/>
        <w:tabs>
          <w:tab w:val="left" w:pos="567"/>
        </w:tabs>
        <w:spacing w:line="360" w:lineRule="exact"/>
        <w:ind w:firstLine="567"/>
        <w:jc w:val="both"/>
        <w:rPr>
          <w:spacing w:val="-4"/>
          <w:sz w:val="28"/>
          <w:szCs w:val="28"/>
          <w:shd w:val="clear" w:color="auto" w:fill="FFFFFF"/>
        </w:rPr>
      </w:pPr>
      <w:r w:rsidRPr="00A82EEC">
        <w:rPr>
          <w:spacing w:val="-4"/>
          <w:sz w:val="28"/>
          <w:szCs w:val="28"/>
          <w:shd w:val="clear" w:color="auto" w:fill="FFFFFF"/>
        </w:rPr>
        <w:t>Đoạn kênh sửa chữa, nâng cấp chiều dài khoảng L = 3164,70m. Mặt cắt</w:t>
      </w:r>
      <w:r>
        <w:rPr>
          <w:spacing w:val="-4"/>
          <w:sz w:val="28"/>
          <w:szCs w:val="28"/>
          <w:shd w:val="clear" w:color="auto" w:fill="FFFFFF"/>
        </w:rPr>
        <w:t xml:space="preserve"> kênh sau khi sửa chữa khoảng bxh = (0,6 x</w:t>
      </w:r>
      <w:r w:rsidRPr="00A82EEC">
        <w:rPr>
          <w:spacing w:val="-4"/>
          <w:sz w:val="28"/>
          <w:szCs w:val="28"/>
          <w:shd w:val="clear" w:color="auto" w:fill="FFFFFF"/>
        </w:rPr>
        <w:t>0,8)m.</w:t>
      </w:r>
    </w:p>
    <w:p w14:paraId="2E85B8B2" w14:textId="6BC088F9" w:rsidR="00A82EEC" w:rsidRPr="00A82EEC" w:rsidRDefault="00A82EEC" w:rsidP="00A82EEC">
      <w:pPr>
        <w:widowControl w:val="0"/>
        <w:tabs>
          <w:tab w:val="left" w:pos="567"/>
        </w:tabs>
        <w:spacing w:line="360" w:lineRule="exact"/>
        <w:ind w:firstLine="567"/>
        <w:jc w:val="both"/>
        <w:rPr>
          <w:spacing w:val="-4"/>
          <w:sz w:val="28"/>
          <w:szCs w:val="28"/>
          <w:shd w:val="clear" w:color="auto" w:fill="FFFFFF"/>
        </w:rPr>
      </w:pPr>
      <w:r w:rsidRPr="00A82EEC">
        <w:rPr>
          <w:spacing w:val="-4"/>
          <w:sz w:val="28"/>
          <w:szCs w:val="28"/>
          <w:shd w:val="clear" w:color="auto" w:fill="FFFFFF"/>
        </w:rPr>
        <w:t>Đoạn kênh xây mới kéo dài chiều dài khoảng L = 156m. Kênh xây mặt cắt hình chữ nhật k</w:t>
      </w:r>
      <w:r>
        <w:rPr>
          <w:spacing w:val="-4"/>
          <w:sz w:val="28"/>
          <w:szCs w:val="28"/>
          <w:shd w:val="clear" w:color="auto" w:fill="FFFFFF"/>
        </w:rPr>
        <w:t>hoảng bxh = (0,35 x</w:t>
      </w:r>
      <w:r w:rsidRPr="00A82EEC">
        <w:rPr>
          <w:spacing w:val="-4"/>
          <w:sz w:val="28"/>
          <w:szCs w:val="28"/>
          <w:shd w:val="clear" w:color="auto" w:fill="FFFFFF"/>
        </w:rPr>
        <w:t>0,4)m.</w:t>
      </w:r>
    </w:p>
    <w:p w14:paraId="5B0B54E9" w14:textId="25FAB587" w:rsidR="00A82EEC" w:rsidRPr="00A82EEC" w:rsidRDefault="00A82EEC" w:rsidP="00A82EEC">
      <w:pPr>
        <w:widowControl w:val="0"/>
        <w:tabs>
          <w:tab w:val="left" w:pos="567"/>
        </w:tabs>
        <w:spacing w:line="360" w:lineRule="exact"/>
        <w:ind w:firstLine="567"/>
        <w:jc w:val="both"/>
        <w:rPr>
          <w:spacing w:val="-4"/>
          <w:sz w:val="28"/>
          <w:szCs w:val="28"/>
          <w:shd w:val="clear" w:color="auto" w:fill="FFFFFF"/>
        </w:rPr>
      </w:pPr>
      <w:r w:rsidRPr="00A82EEC">
        <w:rPr>
          <w:spacing w:val="-4"/>
          <w:sz w:val="28"/>
          <w:szCs w:val="28"/>
          <w:shd w:val="clear" w:color="auto" w:fill="FFFFFF"/>
        </w:rPr>
        <w:t>Đáy kênh bằng bê tông M150 dày 15cm, phía dưới lót bê tông M100 dày 5cm. Xây 2 bờ kênh bằng gạch chỉ dày 22 cm vữa xi măng M75. Bên ngoài trát vữa xi măng M100 dày 1,5cm. Dọc theo tuyến kênh 10m bố trí 1 khớp nối giấy dầu tẩm nhự</w:t>
      </w:r>
      <w:r>
        <w:rPr>
          <w:spacing w:val="-4"/>
          <w:sz w:val="28"/>
          <w:szCs w:val="28"/>
          <w:shd w:val="clear" w:color="auto" w:fill="FFFFFF"/>
        </w:rPr>
        <w:t xml:space="preserve">a đường 2 lớp. Bờ kênh đắp đất </w:t>
      </w:r>
      <w:r w:rsidRPr="00A82EEC">
        <w:rPr>
          <w:spacing w:val="-4"/>
          <w:sz w:val="28"/>
          <w:szCs w:val="28"/>
          <w:shd w:val="clear" w:color="auto" w:fill="FFFFFF"/>
        </w:rPr>
        <w:t>k=1,55 t/m3...</w:t>
      </w:r>
    </w:p>
    <w:p w14:paraId="5F008C32" w14:textId="5CC55D16" w:rsidR="004A039C" w:rsidRDefault="00A82EEC" w:rsidP="00A82EEC">
      <w:pPr>
        <w:widowControl w:val="0"/>
        <w:tabs>
          <w:tab w:val="left" w:pos="567"/>
        </w:tabs>
        <w:spacing w:line="360" w:lineRule="exact"/>
        <w:ind w:firstLine="567"/>
        <w:jc w:val="both"/>
        <w:rPr>
          <w:rFonts w:cs="Arial"/>
          <w:sz w:val="28"/>
          <w:szCs w:val="28"/>
        </w:rPr>
      </w:pPr>
      <w:r w:rsidRPr="00A82EEC">
        <w:rPr>
          <w:spacing w:val="-4"/>
          <w:sz w:val="28"/>
          <w:szCs w:val="28"/>
          <w:shd w:val="clear" w:color="auto" w:fill="FFFFFF"/>
        </w:rPr>
        <w:t>* Các công trình trên kênh: Cống bản, cửa chia nước, cầu máng, các công trình trên kênh và các hạng mục khác...</w:t>
      </w:r>
    </w:p>
    <w:p w14:paraId="28E510B0" w14:textId="49D5BA68" w:rsidR="0023244A" w:rsidRPr="00460CAA" w:rsidRDefault="00475FC2" w:rsidP="004A039C">
      <w:pPr>
        <w:widowControl w:val="0"/>
        <w:tabs>
          <w:tab w:val="left" w:pos="567"/>
        </w:tabs>
        <w:spacing w:line="360" w:lineRule="exact"/>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A82EEC">
        <w:rPr>
          <w:sz w:val="26"/>
          <w:szCs w:val="26"/>
        </w:rPr>
        <w:t>21</w:t>
      </w:r>
      <w:r w:rsidRPr="00460CAA">
        <w:rPr>
          <w:sz w:val="26"/>
          <w:szCs w:val="26"/>
        </w:rPr>
        <w:t>0</w:t>
      </w:r>
      <w:r w:rsidR="00F12207" w:rsidRPr="00460CAA">
        <w:rPr>
          <w:sz w:val="26"/>
          <w:szCs w:val="26"/>
        </w:rPr>
        <w:t xml:space="preserve"> ngày.</w:t>
      </w:r>
    </w:p>
    <w:p w14:paraId="76BDFFBC" w14:textId="77777777" w:rsidR="0023244A" w:rsidRPr="00460CAA" w:rsidRDefault="0023244A" w:rsidP="00CD2810">
      <w:pPr>
        <w:widowControl w:val="0"/>
        <w:spacing w:before="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0057CB">
      <w:pPr>
        <w:widowControl w:val="0"/>
        <w:tabs>
          <w:tab w:val="left" w:pos="851"/>
        </w:tabs>
        <w:spacing w:line="340" w:lineRule="exact"/>
        <w:ind w:firstLine="567"/>
        <w:rPr>
          <w:b/>
          <w:bCs/>
          <w:spacing w:val="2"/>
          <w:sz w:val="26"/>
          <w:szCs w:val="26"/>
        </w:rPr>
      </w:pPr>
      <w:r w:rsidRPr="00460CAA">
        <w:rPr>
          <w:b/>
          <w:bCs/>
          <w:spacing w:val="2"/>
          <w:sz w:val="26"/>
          <w:szCs w:val="26"/>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236"/>
        <w:gridCol w:w="2342"/>
      </w:tblGrid>
      <w:tr w:rsidR="000057CB" w:rsidRPr="00460CAA" w14:paraId="0F7A8AAA" w14:textId="77777777" w:rsidTr="00604A9E">
        <w:trPr>
          <w:cantSplit/>
          <w:trHeight w:val="470"/>
          <w:tblHeader/>
        </w:trPr>
        <w:tc>
          <w:tcPr>
            <w:tcW w:w="382" w:type="pct"/>
            <w:shd w:val="clear" w:color="auto" w:fill="auto"/>
            <w:vAlign w:val="center"/>
          </w:tcPr>
          <w:p w14:paraId="53DFB7C5" w14:textId="77777777" w:rsidR="000057CB" w:rsidRPr="00460CAA" w:rsidRDefault="000057CB" w:rsidP="00604A9E">
            <w:pPr>
              <w:widowControl w:val="0"/>
              <w:spacing w:before="40" w:after="40"/>
              <w:rPr>
                <w:b/>
                <w:bCs/>
                <w:sz w:val="26"/>
                <w:szCs w:val="26"/>
                <w:specVanish/>
              </w:rPr>
            </w:pPr>
            <w:r w:rsidRPr="00460CAA">
              <w:rPr>
                <w:b/>
                <w:bCs/>
                <w:sz w:val="26"/>
                <w:szCs w:val="26"/>
                <w:specVanish/>
              </w:rPr>
              <w:t>TT</w:t>
            </w:r>
          </w:p>
        </w:tc>
        <w:tc>
          <w:tcPr>
            <w:tcW w:w="3357" w:type="pct"/>
            <w:shd w:val="clear" w:color="auto" w:fill="auto"/>
            <w:vAlign w:val="center"/>
          </w:tcPr>
          <w:p w14:paraId="4899E964" w14:textId="77777777" w:rsidR="000057CB" w:rsidRPr="00460CAA" w:rsidRDefault="000057CB" w:rsidP="00604A9E">
            <w:pPr>
              <w:widowControl w:val="0"/>
              <w:tabs>
                <w:tab w:val="left" w:pos="142"/>
              </w:tabs>
              <w:spacing w:before="40" w:after="40"/>
              <w:ind w:left="142"/>
              <w:jc w:val="center"/>
              <w:rPr>
                <w:b/>
                <w:bCs/>
                <w:sz w:val="26"/>
                <w:szCs w:val="26"/>
                <w:specVanish/>
              </w:rPr>
            </w:pPr>
            <w:r w:rsidRPr="00460CAA">
              <w:rPr>
                <w:b/>
                <w:bCs/>
                <w:sz w:val="26"/>
                <w:szCs w:val="26"/>
                <w:specVanish/>
              </w:rPr>
              <w:t>Tên tiêu chuẩn</w:t>
            </w:r>
          </w:p>
        </w:tc>
        <w:tc>
          <w:tcPr>
            <w:tcW w:w="1261" w:type="pct"/>
            <w:shd w:val="clear" w:color="auto" w:fill="auto"/>
            <w:vAlign w:val="center"/>
          </w:tcPr>
          <w:p w14:paraId="539B7F96" w14:textId="77777777" w:rsidR="000057CB" w:rsidRPr="00460CAA" w:rsidRDefault="000057CB" w:rsidP="00604A9E">
            <w:pPr>
              <w:widowControl w:val="0"/>
              <w:spacing w:before="40" w:after="40"/>
              <w:ind w:left="52"/>
              <w:jc w:val="center"/>
              <w:rPr>
                <w:b/>
                <w:bCs/>
                <w:sz w:val="26"/>
                <w:szCs w:val="26"/>
                <w:specVanish/>
              </w:rPr>
            </w:pPr>
            <w:r w:rsidRPr="00460CAA">
              <w:rPr>
                <w:b/>
                <w:bCs/>
                <w:sz w:val="26"/>
                <w:szCs w:val="26"/>
                <w:specVanish/>
              </w:rPr>
              <w:t>Mã hiệu</w:t>
            </w:r>
          </w:p>
        </w:tc>
      </w:tr>
      <w:tr w:rsidR="000057CB" w:rsidRPr="00460CAA" w14:paraId="22EB041C" w14:textId="77777777" w:rsidTr="00604A9E">
        <w:trPr>
          <w:cantSplit/>
        </w:trPr>
        <w:tc>
          <w:tcPr>
            <w:tcW w:w="382" w:type="pct"/>
            <w:shd w:val="clear" w:color="auto" w:fill="auto"/>
            <w:vAlign w:val="center"/>
          </w:tcPr>
          <w:p w14:paraId="377AB299" w14:textId="1B416AB8" w:rsidR="000057CB" w:rsidRPr="00460CAA" w:rsidRDefault="001F382F" w:rsidP="00604A9E">
            <w:pPr>
              <w:widowControl w:val="0"/>
              <w:spacing w:before="40" w:after="40"/>
              <w:jc w:val="center"/>
              <w:rPr>
                <w:sz w:val="26"/>
                <w:szCs w:val="26"/>
                <w:specVanish/>
              </w:rPr>
            </w:pPr>
            <w:r>
              <w:rPr>
                <w:sz w:val="26"/>
                <w:szCs w:val="26"/>
              </w:rPr>
              <w:t>1</w:t>
            </w:r>
          </w:p>
        </w:tc>
        <w:tc>
          <w:tcPr>
            <w:tcW w:w="3357" w:type="pct"/>
            <w:shd w:val="clear" w:color="auto" w:fill="auto"/>
          </w:tcPr>
          <w:p w14:paraId="79227756" w14:textId="77777777" w:rsidR="000057CB" w:rsidRPr="00460CAA" w:rsidDel="00D247C8" w:rsidRDefault="000057CB" w:rsidP="00E12E03">
            <w:pPr>
              <w:widowControl w:val="0"/>
              <w:tabs>
                <w:tab w:val="left" w:pos="142"/>
              </w:tabs>
              <w:spacing w:before="40" w:after="40"/>
              <w:rPr>
                <w:sz w:val="26"/>
                <w:szCs w:val="26"/>
                <w:specVanish/>
              </w:rPr>
            </w:pPr>
            <w:r w:rsidRPr="00460CAA">
              <w:rPr>
                <w:sz w:val="26"/>
                <w:szCs w:val="26"/>
                <w:specVanish/>
              </w:rPr>
              <w:t>Khảo sát cho xây dựng – Nguyên tắc cơ bản</w:t>
            </w:r>
          </w:p>
        </w:tc>
        <w:tc>
          <w:tcPr>
            <w:tcW w:w="1261" w:type="pct"/>
            <w:shd w:val="clear" w:color="auto" w:fill="auto"/>
            <w:vAlign w:val="center"/>
          </w:tcPr>
          <w:p w14:paraId="3A4923B1" w14:textId="77777777" w:rsidR="000057CB" w:rsidRPr="00460CAA" w:rsidDel="00D247C8"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TCVN 4419 :1987</w:t>
            </w:r>
          </w:p>
        </w:tc>
      </w:tr>
      <w:tr w:rsidR="000057CB" w:rsidRPr="00460CAA" w14:paraId="7B7BFF5C" w14:textId="77777777" w:rsidTr="00604A9E">
        <w:trPr>
          <w:cantSplit/>
          <w:trHeight w:val="430"/>
        </w:trPr>
        <w:tc>
          <w:tcPr>
            <w:tcW w:w="382" w:type="pct"/>
            <w:shd w:val="clear" w:color="auto" w:fill="auto"/>
            <w:vAlign w:val="center"/>
          </w:tcPr>
          <w:p w14:paraId="2D09729A" w14:textId="3D54C596" w:rsidR="000057CB" w:rsidRPr="00460CAA" w:rsidRDefault="001F382F" w:rsidP="00604A9E">
            <w:pPr>
              <w:widowControl w:val="0"/>
              <w:spacing w:before="40" w:after="40"/>
              <w:jc w:val="center"/>
              <w:rPr>
                <w:sz w:val="26"/>
                <w:szCs w:val="26"/>
                <w:specVanish/>
              </w:rPr>
            </w:pPr>
            <w:r>
              <w:rPr>
                <w:sz w:val="26"/>
                <w:szCs w:val="26"/>
              </w:rPr>
              <w:t>2</w:t>
            </w:r>
          </w:p>
        </w:tc>
        <w:tc>
          <w:tcPr>
            <w:tcW w:w="3357" w:type="pct"/>
            <w:shd w:val="clear" w:color="auto" w:fill="auto"/>
          </w:tcPr>
          <w:p w14:paraId="5E7E3BE9"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Công tác trắc địa trong xây dựng công trình – Yêu cầu chung</w:t>
            </w:r>
          </w:p>
        </w:tc>
        <w:tc>
          <w:tcPr>
            <w:tcW w:w="1261" w:type="pct"/>
            <w:shd w:val="clear" w:color="auto" w:fill="auto"/>
            <w:vAlign w:val="center"/>
          </w:tcPr>
          <w:p w14:paraId="2BCD3BCD"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TCVN 9398:2012</w:t>
            </w:r>
          </w:p>
        </w:tc>
      </w:tr>
      <w:tr w:rsidR="000057CB" w:rsidRPr="00460CAA" w14:paraId="7AC2B16A" w14:textId="77777777" w:rsidTr="00604A9E">
        <w:trPr>
          <w:cantSplit/>
        </w:trPr>
        <w:tc>
          <w:tcPr>
            <w:tcW w:w="382" w:type="pct"/>
            <w:shd w:val="clear" w:color="auto" w:fill="auto"/>
            <w:vAlign w:val="center"/>
          </w:tcPr>
          <w:p w14:paraId="5F006F18" w14:textId="6E66940A" w:rsidR="000057CB" w:rsidRPr="00460CAA" w:rsidRDefault="001F382F" w:rsidP="00604A9E">
            <w:pPr>
              <w:widowControl w:val="0"/>
              <w:spacing w:before="40" w:after="40"/>
              <w:jc w:val="center"/>
              <w:rPr>
                <w:sz w:val="26"/>
                <w:szCs w:val="26"/>
              </w:rPr>
            </w:pPr>
            <w:r>
              <w:rPr>
                <w:sz w:val="26"/>
                <w:szCs w:val="26"/>
              </w:rPr>
              <w:t>3</w:t>
            </w:r>
          </w:p>
        </w:tc>
        <w:tc>
          <w:tcPr>
            <w:tcW w:w="3357" w:type="pct"/>
            <w:shd w:val="clear" w:color="auto" w:fill="auto"/>
          </w:tcPr>
          <w:p w14:paraId="2EB2E388"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 xml:space="preserve">Tiêu chuẩn kỹ thuật đo và xử lý số liệu GPS trong trắc địa công trình </w:t>
            </w:r>
          </w:p>
        </w:tc>
        <w:tc>
          <w:tcPr>
            <w:tcW w:w="1261" w:type="pct"/>
            <w:shd w:val="clear" w:color="auto" w:fill="auto"/>
            <w:vAlign w:val="center"/>
          </w:tcPr>
          <w:p w14:paraId="1FCF9CE5" w14:textId="77777777" w:rsidR="000057CB" w:rsidRPr="00460CAA" w:rsidRDefault="000057CB" w:rsidP="00604A9E">
            <w:pPr>
              <w:widowControl w:val="0"/>
              <w:tabs>
                <w:tab w:val="left" w:pos="0"/>
              </w:tabs>
              <w:spacing w:before="40" w:after="40"/>
              <w:jc w:val="center"/>
              <w:rPr>
                <w:sz w:val="26"/>
                <w:szCs w:val="26"/>
                <w:lang w:val="pt-BR"/>
                <w:specVanish/>
              </w:rPr>
            </w:pPr>
            <w:r w:rsidRPr="00460CAA">
              <w:rPr>
                <w:sz w:val="26"/>
                <w:szCs w:val="26"/>
                <w:lang w:val="fr-FR"/>
                <w:specVanish/>
              </w:rPr>
              <w:t>TCVN 9401:2012</w:t>
            </w:r>
          </w:p>
        </w:tc>
      </w:tr>
      <w:tr w:rsidR="000057CB" w:rsidRPr="00460CAA" w14:paraId="6383C0FE" w14:textId="77777777" w:rsidTr="00604A9E">
        <w:trPr>
          <w:cantSplit/>
        </w:trPr>
        <w:tc>
          <w:tcPr>
            <w:tcW w:w="382" w:type="pct"/>
            <w:shd w:val="clear" w:color="auto" w:fill="auto"/>
            <w:vAlign w:val="center"/>
          </w:tcPr>
          <w:p w14:paraId="1A1D2081" w14:textId="68D1E040" w:rsidR="000057CB" w:rsidRPr="00460CAA" w:rsidRDefault="001F382F" w:rsidP="00604A9E">
            <w:pPr>
              <w:widowControl w:val="0"/>
              <w:spacing w:before="40" w:after="40"/>
              <w:jc w:val="center"/>
              <w:rPr>
                <w:sz w:val="26"/>
                <w:szCs w:val="26"/>
              </w:rPr>
            </w:pPr>
            <w:r>
              <w:rPr>
                <w:sz w:val="26"/>
                <w:szCs w:val="26"/>
              </w:rPr>
              <w:t>4</w:t>
            </w:r>
          </w:p>
        </w:tc>
        <w:tc>
          <w:tcPr>
            <w:tcW w:w="3357" w:type="pct"/>
            <w:shd w:val="clear" w:color="auto" w:fill="auto"/>
          </w:tcPr>
          <w:p w14:paraId="6A74A50A"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tọa độ </w:t>
            </w:r>
          </w:p>
        </w:tc>
        <w:tc>
          <w:tcPr>
            <w:tcW w:w="1261" w:type="pct"/>
            <w:shd w:val="clear" w:color="auto" w:fill="auto"/>
            <w:vAlign w:val="center"/>
          </w:tcPr>
          <w:p w14:paraId="17EC68F8"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04: 2009/BTNMT</w:t>
            </w:r>
          </w:p>
        </w:tc>
      </w:tr>
      <w:tr w:rsidR="000057CB" w:rsidRPr="00460CAA" w14:paraId="7BA021F1" w14:textId="77777777" w:rsidTr="00604A9E">
        <w:trPr>
          <w:cantSplit/>
        </w:trPr>
        <w:tc>
          <w:tcPr>
            <w:tcW w:w="382" w:type="pct"/>
            <w:shd w:val="clear" w:color="auto" w:fill="auto"/>
            <w:vAlign w:val="center"/>
          </w:tcPr>
          <w:p w14:paraId="508FB460" w14:textId="293F8D56" w:rsidR="000057CB" w:rsidRPr="00460CAA" w:rsidRDefault="001F382F" w:rsidP="00604A9E">
            <w:pPr>
              <w:widowControl w:val="0"/>
              <w:spacing w:before="40" w:after="40"/>
              <w:jc w:val="center"/>
              <w:rPr>
                <w:sz w:val="26"/>
                <w:szCs w:val="26"/>
              </w:rPr>
            </w:pPr>
            <w:r>
              <w:rPr>
                <w:sz w:val="26"/>
                <w:szCs w:val="26"/>
              </w:rPr>
              <w:t>5</w:t>
            </w:r>
          </w:p>
        </w:tc>
        <w:tc>
          <w:tcPr>
            <w:tcW w:w="3357" w:type="pct"/>
            <w:shd w:val="clear" w:color="auto" w:fill="auto"/>
          </w:tcPr>
          <w:p w14:paraId="3407BA7E"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độ cao </w:t>
            </w:r>
          </w:p>
        </w:tc>
        <w:tc>
          <w:tcPr>
            <w:tcW w:w="1261" w:type="pct"/>
            <w:shd w:val="clear" w:color="auto" w:fill="auto"/>
            <w:vAlign w:val="center"/>
          </w:tcPr>
          <w:p w14:paraId="278A31AB"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11: 2008/BTNMT</w:t>
            </w:r>
          </w:p>
        </w:tc>
      </w:tr>
      <w:tr w:rsidR="00440127" w:rsidRPr="00460CAA" w14:paraId="2D393CA9" w14:textId="77777777" w:rsidTr="00604A9E">
        <w:trPr>
          <w:cantSplit/>
        </w:trPr>
        <w:tc>
          <w:tcPr>
            <w:tcW w:w="382" w:type="pct"/>
            <w:shd w:val="clear" w:color="auto" w:fill="auto"/>
            <w:vAlign w:val="center"/>
          </w:tcPr>
          <w:p w14:paraId="53312A2A" w14:textId="42AAC103" w:rsidR="00440127" w:rsidRPr="00460CAA" w:rsidRDefault="001F382F" w:rsidP="00460CAA">
            <w:pPr>
              <w:widowControl w:val="0"/>
              <w:spacing w:before="40" w:after="40"/>
              <w:jc w:val="center"/>
              <w:rPr>
                <w:sz w:val="26"/>
                <w:szCs w:val="26"/>
              </w:rPr>
            </w:pPr>
            <w:r>
              <w:rPr>
                <w:sz w:val="26"/>
                <w:szCs w:val="26"/>
              </w:rPr>
              <w:t>6</w:t>
            </w:r>
          </w:p>
        </w:tc>
        <w:tc>
          <w:tcPr>
            <w:tcW w:w="3357" w:type="pct"/>
            <w:shd w:val="clear" w:color="auto" w:fill="auto"/>
            <w:vAlign w:val="center"/>
          </w:tcPr>
          <w:p w14:paraId="202B6440" w14:textId="09C0F045" w:rsidR="00440127" w:rsidRPr="00460CAA" w:rsidRDefault="00440127" w:rsidP="00E12E03">
            <w:pPr>
              <w:widowControl w:val="0"/>
              <w:tabs>
                <w:tab w:val="left" w:pos="142"/>
              </w:tabs>
              <w:spacing w:before="40" w:after="40"/>
              <w:rPr>
                <w:sz w:val="26"/>
                <w:szCs w:val="26"/>
              </w:rPr>
            </w:pPr>
            <w:r w:rsidRPr="00460CAA">
              <w:rPr>
                <w:sz w:val="26"/>
                <w:szCs w:val="26"/>
              </w:rPr>
              <w:t>Công tác đất – Thi công và nghiệm thu</w:t>
            </w:r>
          </w:p>
        </w:tc>
        <w:tc>
          <w:tcPr>
            <w:tcW w:w="1261" w:type="pct"/>
            <w:shd w:val="clear" w:color="auto" w:fill="auto"/>
            <w:vAlign w:val="center"/>
          </w:tcPr>
          <w:p w14:paraId="3BB1C0AB" w14:textId="65EF80A6" w:rsidR="00440127" w:rsidRPr="00460CAA" w:rsidRDefault="00440127" w:rsidP="00604A9E">
            <w:pPr>
              <w:widowControl w:val="0"/>
              <w:tabs>
                <w:tab w:val="left" w:pos="142"/>
              </w:tabs>
              <w:spacing w:before="40" w:after="40"/>
              <w:ind w:left="142"/>
              <w:jc w:val="center"/>
              <w:rPr>
                <w:sz w:val="26"/>
                <w:szCs w:val="26"/>
              </w:rPr>
            </w:pPr>
            <w:r w:rsidRPr="00460CAA">
              <w:rPr>
                <w:sz w:val="26"/>
                <w:szCs w:val="26"/>
              </w:rPr>
              <w:t>TCVN 4447:2012</w:t>
            </w:r>
          </w:p>
        </w:tc>
      </w:tr>
      <w:tr w:rsidR="000057CB" w:rsidRPr="00460CAA" w14:paraId="2422EEE3" w14:textId="77777777" w:rsidTr="00604A9E">
        <w:trPr>
          <w:cantSplit/>
        </w:trPr>
        <w:tc>
          <w:tcPr>
            <w:tcW w:w="382" w:type="pct"/>
            <w:shd w:val="clear" w:color="auto" w:fill="auto"/>
            <w:vAlign w:val="center"/>
          </w:tcPr>
          <w:p w14:paraId="6563EAD7" w14:textId="51908D79" w:rsidR="000057CB" w:rsidRPr="00460CAA" w:rsidRDefault="001F382F" w:rsidP="00604A9E">
            <w:pPr>
              <w:widowControl w:val="0"/>
              <w:spacing w:before="40" w:after="40"/>
              <w:jc w:val="center"/>
              <w:rPr>
                <w:sz w:val="26"/>
                <w:szCs w:val="26"/>
                <w:specVanish/>
              </w:rPr>
            </w:pPr>
            <w:r>
              <w:rPr>
                <w:sz w:val="26"/>
                <w:szCs w:val="26"/>
              </w:rPr>
              <w:t>7</w:t>
            </w:r>
          </w:p>
        </w:tc>
        <w:tc>
          <w:tcPr>
            <w:tcW w:w="3357" w:type="pct"/>
            <w:shd w:val="clear" w:color="auto" w:fill="auto"/>
            <w:vAlign w:val="center"/>
          </w:tcPr>
          <w:p w14:paraId="453539A2" w14:textId="77777777" w:rsidR="000057CB" w:rsidRPr="00460CAA" w:rsidRDefault="000057CB" w:rsidP="00E12E03">
            <w:pPr>
              <w:widowControl w:val="0"/>
              <w:tabs>
                <w:tab w:val="left" w:pos="142"/>
              </w:tabs>
              <w:spacing w:before="40" w:after="40"/>
              <w:rPr>
                <w:sz w:val="26"/>
                <w:szCs w:val="26"/>
              </w:rPr>
            </w:pPr>
            <w:r w:rsidRPr="00460CAA">
              <w:rPr>
                <w:sz w:val="26"/>
                <w:szCs w:val="26"/>
                <w:specVanish/>
              </w:rPr>
              <w:t>Kết cấu bê tông  và BTCT – Tiêu chuẩn thiết kế</w:t>
            </w:r>
          </w:p>
        </w:tc>
        <w:tc>
          <w:tcPr>
            <w:tcW w:w="1261" w:type="pct"/>
            <w:shd w:val="clear" w:color="auto" w:fill="auto"/>
            <w:vAlign w:val="center"/>
          </w:tcPr>
          <w:p w14:paraId="25F0DB89" w14:textId="7F07C620" w:rsidR="000057CB" w:rsidRPr="00460CAA" w:rsidRDefault="000057CB" w:rsidP="00604A9E">
            <w:pPr>
              <w:widowControl w:val="0"/>
              <w:tabs>
                <w:tab w:val="left" w:pos="142"/>
              </w:tabs>
              <w:spacing w:before="40" w:after="40"/>
              <w:ind w:left="142"/>
              <w:jc w:val="center"/>
              <w:rPr>
                <w:sz w:val="26"/>
                <w:szCs w:val="26"/>
              </w:rPr>
            </w:pPr>
            <w:r w:rsidRPr="00460CAA">
              <w:rPr>
                <w:sz w:val="26"/>
                <w:szCs w:val="26"/>
                <w:specVanish/>
              </w:rPr>
              <w:t>TCVN 5574:201</w:t>
            </w:r>
            <w:r w:rsidR="007D6800" w:rsidRPr="00460CAA">
              <w:rPr>
                <w:sz w:val="26"/>
                <w:szCs w:val="26"/>
              </w:rPr>
              <w:t>8</w:t>
            </w:r>
          </w:p>
        </w:tc>
      </w:tr>
      <w:tr w:rsidR="000057CB" w:rsidRPr="00460CAA" w14:paraId="18BBE850" w14:textId="77777777" w:rsidTr="00604A9E">
        <w:trPr>
          <w:cantSplit/>
        </w:trPr>
        <w:tc>
          <w:tcPr>
            <w:tcW w:w="382" w:type="pct"/>
            <w:shd w:val="clear" w:color="auto" w:fill="auto"/>
            <w:vAlign w:val="center"/>
          </w:tcPr>
          <w:p w14:paraId="6B334551" w14:textId="0811DC13" w:rsidR="000057CB" w:rsidRPr="00460CAA" w:rsidRDefault="001F382F" w:rsidP="00604A9E">
            <w:pPr>
              <w:widowControl w:val="0"/>
              <w:spacing w:before="40" w:after="40"/>
              <w:jc w:val="center"/>
              <w:rPr>
                <w:sz w:val="26"/>
                <w:szCs w:val="26"/>
                <w:specVanish/>
              </w:rPr>
            </w:pPr>
            <w:r>
              <w:rPr>
                <w:sz w:val="26"/>
                <w:szCs w:val="26"/>
              </w:rPr>
              <w:t>8</w:t>
            </w:r>
          </w:p>
        </w:tc>
        <w:tc>
          <w:tcPr>
            <w:tcW w:w="3357" w:type="pct"/>
            <w:shd w:val="clear" w:color="auto" w:fill="auto"/>
            <w:vAlign w:val="center"/>
          </w:tcPr>
          <w:p w14:paraId="28F71FE0"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 xml:space="preserve">Kết cấu thép – Tiêu chuẩn thiết kế </w:t>
            </w:r>
          </w:p>
        </w:tc>
        <w:tc>
          <w:tcPr>
            <w:tcW w:w="1261" w:type="pct"/>
            <w:shd w:val="clear" w:color="auto" w:fill="auto"/>
            <w:vAlign w:val="center"/>
          </w:tcPr>
          <w:p w14:paraId="2B8E9A23" w14:textId="50B60213" w:rsidR="000057CB" w:rsidRPr="00460CAA" w:rsidRDefault="000057CB" w:rsidP="00604A9E">
            <w:pPr>
              <w:widowControl w:val="0"/>
              <w:tabs>
                <w:tab w:val="left" w:pos="142"/>
              </w:tabs>
              <w:spacing w:before="40" w:after="40"/>
              <w:ind w:left="142"/>
              <w:jc w:val="center"/>
              <w:rPr>
                <w:sz w:val="26"/>
                <w:szCs w:val="26"/>
                <w:specVanish/>
              </w:rPr>
            </w:pPr>
            <w:r w:rsidRPr="00460CAA">
              <w:rPr>
                <w:sz w:val="26"/>
                <w:szCs w:val="26"/>
                <w:specVanish/>
              </w:rPr>
              <w:t>TCVN 55</w:t>
            </w:r>
            <w:r w:rsidR="007D6800" w:rsidRPr="00460CAA">
              <w:rPr>
                <w:sz w:val="26"/>
                <w:szCs w:val="26"/>
              </w:rPr>
              <w:t>7</w:t>
            </w:r>
            <w:r w:rsidRPr="00460CAA">
              <w:rPr>
                <w:sz w:val="26"/>
                <w:szCs w:val="26"/>
                <w:specVanish/>
              </w:rPr>
              <w:t>5:2012</w:t>
            </w:r>
          </w:p>
        </w:tc>
      </w:tr>
      <w:tr w:rsidR="000057CB" w:rsidRPr="00460CAA" w14:paraId="0DB79700" w14:textId="77777777" w:rsidTr="00604A9E">
        <w:trPr>
          <w:cantSplit/>
        </w:trPr>
        <w:tc>
          <w:tcPr>
            <w:tcW w:w="382" w:type="pct"/>
            <w:shd w:val="clear" w:color="auto" w:fill="auto"/>
            <w:vAlign w:val="center"/>
          </w:tcPr>
          <w:p w14:paraId="7BCC165B" w14:textId="6623881E" w:rsidR="000057CB" w:rsidRPr="00460CAA" w:rsidRDefault="001F382F" w:rsidP="00604A9E">
            <w:pPr>
              <w:widowControl w:val="0"/>
              <w:spacing w:before="40" w:after="40"/>
              <w:jc w:val="center"/>
              <w:rPr>
                <w:sz w:val="26"/>
                <w:szCs w:val="26"/>
                <w:specVanish/>
              </w:rPr>
            </w:pPr>
            <w:r>
              <w:rPr>
                <w:sz w:val="26"/>
                <w:szCs w:val="26"/>
              </w:rPr>
              <w:t>9</w:t>
            </w:r>
          </w:p>
        </w:tc>
        <w:tc>
          <w:tcPr>
            <w:tcW w:w="3357" w:type="pct"/>
            <w:shd w:val="clear" w:color="auto" w:fill="auto"/>
            <w:vAlign w:val="center"/>
          </w:tcPr>
          <w:p w14:paraId="5F82A455" w14:textId="69B5881F" w:rsidR="000057CB" w:rsidRPr="00460CAA" w:rsidRDefault="000057CB" w:rsidP="00E12E03">
            <w:pPr>
              <w:widowControl w:val="0"/>
              <w:tabs>
                <w:tab w:val="left" w:pos="142"/>
              </w:tabs>
              <w:spacing w:before="40" w:after="40"/>
              <w:rPr>
                <w:sz w:val="26"/>
                <w:szCs w:val="26"/>
                <w:specVanish/>
              </w:rPr>
            </w:pPr>
            <w:r w:rsidRPr="00460CAA">
              <w:rPr>
                <w:sz w:val="26"/>
                <w:szCs w:val="26"/>
                <w:specVanish/>
              </w:rPr>
              <w:t>Kết cấu gạch đá và gạch</w:t>
            </w:r>
            <w:r w:rsidR="00E12E03">
              <w:rPr>
                <w:sz w:val="26"/>
                <w:szCs w:val="26"/>
              </w:rPr>
              <w:t xml:space="preserve"> đá cốt thép – Tiêu chuẩn thiết </w:t>
            </w:r>
            <w:r w:rsidRPr="00460CAA">
              <w:rPr>
                <w:sz w:val="26"/>
                <w:szCs w:val="26"/>
                <w:specVanish/>
              </w:rPr>
              <w:t>kế</w:t>
            </w:r>
          </w:p>
        </w:tc>
        <w:tc>
          <w:tcPr>
            <w:tcW w:w="1261" w:type="pct"/>
            <w:shd w:val="clear" w:color="auto" w:fill="auto"/>
            <w:vAlign w:val="center"/>
          </w:tcPr>
          <w:p w14:paraId="31E733B6" w14:textId="77777777" w:rsidR="000057CB" w:rsidRPr="00460CAA" w:rsidRDefault="000057CB" w:rsidP="00604A9E">
            <w:pPr>
              <w:widowControl w:val="0"/>
              <w:tabs>
                <w:tab w:val="left" w:pos="142"/>
              </w:tabs>
              <w:spacing w:before="40" w:after="40"/>
              <w:ind w:left="142"/>
              <w:jc w:val="center"/>
              <w:rPr>
                <w:sz w:val="26"/>
                <w:szCs w:val="26"/>
                <w:specVanish/>
              </w:rPr>
            </w:pPr>
            <w:r w:rsidRPr="00460CAA">
              <w:rPr>
                <w:sz w:val="26"/>
                <w:szCs w:val="26"/>
                <w:specVanish/>
              </w:rPr>
              <w:t>TCVN 5573:2011</w:t>
            </w:r>
          </w:p>
        </w:tc>
      </w:tr>
      <w:tr w:rsidR="007D6800" w:rsidRPr="00460CAA" w14:paraId="3508CDD3" w14:textId="77777777" w:rsidTr="00604A9E">
        <w:trPr>
          <w:cantSplit/>
        </w:trPr>
        <w:tc>
          <w:tcPr>
            <w:tcW w:w="382" w:type="pct"/>
            <w:shd w:val="clear" w:color="auto" w:fill="auto"/>
            <w:vAlign w:val="center"/>
          </w:tcPr>
          <w:p w14:paraId="1E05CBE4" w14:textId="6C4EFC3D" w:rsidR="007D6800" w:rsidRPr="00460CAA" w:rsidRDefault="001F382F" w:rsidP="00604A9E">
            <w:pPr>
              <w:widowControl w:val="0"/>
              <w:spacing w:before="40" w:after="40"/>
              <w:jc w:val="center"/>
              <w:rPr>
                <w:sz w:val="26"/>
                <w:szCs w:val="26"/>
              </w:rPr>
            </w:pPr>
            <w:r>
              <w:rPr>
                <w:sz w:val="26"/>
                <w:szCs w:val="26"/>
              </w:rPr>
              <w:t>10</w:t>
            </w:r>
          </w:p>
        </w:tc>
        <w:tc>
          <w:tcPr>
            <w:tcW w:w="3357" w:type="pct"/>
            <w:shd w:val="clear" w:color="auto" w:fill="auto"/>
            <w:vAlign w:val="center"/>
          </w:tcPr>
          <w:p w14:paraId="5F6BA3AC" w14:textId="2DCCDF5C" w:rsidR="007D6800" w:rsidRPr="00460CAA" w:rsidRDefault="007D6800" w:rsidP="00E12E03">
            <w:pPr>
              <w:widowControl w:val="0"/>
              <w:tabs>
                <w:tab w:val="left" w:pos="142"/>
              </w:tabs>
              <w:spacing w:before="40" w:after="40"/>
              <w:rPr>
                <w:sz w:val="26"/>
                <w:szCs w:val="26"/>
              </w:rPr>
            </w:pPr>
            <w:r w:rsidRPr="00460CAA">
              <w:rPr>
                <w:sz w:val="26"/>
                <w:szCs w:val="26"/>
                <w:specVanish/>
              </w:rPr>
              <w:t>Thoát nước mạng lưới bên ngoài và công trình - Tiêu chuẩn thiết kế</w:t>
            </w:r>
          </w:p>
        </w:tc>
        <w:tc>
          <w:tcPr>
            <w:tcW w:w="1261" w:type="pct"/>
            <w:shd w:val="clear" w:color="auto" w:fill="auto"/>
            <w:vAlign w:val="center"/>
          </w:tcPr>
          <w:p w14:paraId="3F72E004" w14:textId="53AB36CB" w:rsidR="007D6800" w:rsidRPr="00460CAA" w:rsidRDefault="007D6800" w:rsidP="00604A9E">
            <w:pPr>
              <w:widowControl w:val="0"/>
              <w:spacing w:before="40" w:after="40"/>
              <w:ind w:left="52"/>
              <w:jc w:val="center"/>
              <w:rPr>
                <w:sz w:val="26"/>
                <w:szCs w:val="26"/>
              </w:rPr>
            </w:pPr>
            <w:r w:rsidRPr="00460CAA">
              <w:rPr>
                <w:sz w:val="26"/>
                <w:szCs w:val="26"/>
                <w:specVanish/>
              </w:rPr>
              <w:t>TCVN 7957 - 2023</w:t>
            </w:r>
          </w:p>
        </w:tc>
      </w:tr>
      <w:tr w:rsidR="007D6800" w:rsidRPr="00460CAA" w14:paraId="273DE1A5" w14:textId="77777777" w:rsidTr="00604A9E">
        <w:trPr>
          <w:cantSplit/>
        </w:trPr>
        <w:tc>
          <w:tcPr>
            <w:tcW w:w="382" w:type="pct"/>
            <w:shd w:val="clear" w:color="auto" w:fill="auto"/>
            <w:vAlign w:val="center"/>
          </w:tcPr>
          <w:p w14:paraId="75E14E7F" w14:textId="17C1C63A" w:rsidR="007D6800" w:rsidRPr="00460CAA" w:rsidRDefault="001F382F" w:rsidP="00604A9E">
            <w:pPr>
              <w:widowControl w:val="0"/>
              <w:spacing w:before="40" w:after="40"/>
              <w:jc w:val="center"/>
              <w:rPr>
                <w:sz w:val="26"/>
                <w:szCs w:val="26"/>
              </w:rPr>
            </w:pPr>
            <w:r>
              <w:rPr>
                <w:sz w:val="26"/>
                <w:szCs w:val="26"/>
              </w:rPr>
              <w:t>11</w:t>
            </w:r>
          </w:p>
        </w:tc>
        <w:tc>
          <w:tcPr>
            <w:tcW w:w="3357" w:type="pct"/>
            <w:shd w:val="clear" w:color="auto" w:fill="auto"/>
            <w:vAlign w:val="center"/>
          </w:tcPr>
          <w:p w14:paraId="5F8D5665" w14:textId="0C063FB3" w:rsidR="007D6800" w:rsidRPr="00460CAA" w:rsidRDefault="007D6800" w:rsidP="00E12E03">
            <w:pPr>
              <w:widowControl w:val="0"/>
              <w:tabs>
                <w:tab w:val="left" w:pos="142"/>
              </w:tabs>
              <w:spacing w:before="40" w:after="40"/>
              <w:rPr>
                <w:sz w:val="26"/>
                <w:szCs w:val="26"/>
              </w:rPr>
            </w:pPr>
            <w:r w:rsidRPr="00460CAA">
              <w:rPr>
                <w:sz w:val="26"/>
                <w:szCs w:val="26"/>
                <w:specVanish/>
              </w:rPr>
              <w:t>Tiêu chuẩn về tổ chức giao thông và bố trí phòng hộ khi thi công trên đường bộ đang khai thác</w:t>
            </w:r>
          </w:p>
        </w:tc>
        <w:tc>
          <w:tcPr>
            <w:tcW w:w="1261" w:type="pct"/>
            <w:shd w:val="clear" w:color="auto" w:fill="auto"/>
            <w:vAlign w:val="center"/>
          </w:tcPr>
          <w:p w14:paraId="4C384F0F" w14:textId="773D0B39" w:rsidR="007D6800" w:rsidRPr="00460CAA" w:rsidRDefault="007D6800" w:rsidP="00604A9E">
            <w:pPr>
              <w:widowControl w:val="0"/>
              <w:spacing w:before="40" w:after="40"/>
              <w:ind w:left="52"/>
              <w:jc w:val="center"/>
              <w:rPr>
                <w:sz w:val="26"/>
                <w:szCs w:val="26"/>
                <w:specVanish/>
              </w:rPr>
            </w:pPr>
            <w:r w:rsidRPr="00460CAA">
              <w:rPr>
                <w:sz w:val="26"/>
                <w:szCs w:val="26"/>
                <w:specVanish/>
              </w:rPr>
              <w:t>TCCS 14:2016/TCĐBVN</w:t>
            </w:r>
          </w:p>
        </w:tc>
      </w:tr>
      <w:tr w:rsidR="000057CB" w:rsidRPr="00460CAA" w14:paraId="7595FDE0" w14:textId="77777777" w:rsidTr="00604A9E">
        <w:trPr>
          <w:cantSplit/>
        </w:trPr>
        <w:tc>
          <w:tcPr>
            <w:tcW w:w="382" w:type="pct"/>
            <w:shd w:val="clear" w:color="auto" w:fill="auto"/>
            <w:vAlign w:val="center"/>
          </w:tcPr>
          <w:p w14:paraId="4A6D8520" w14:textId="01BCB589" w:rsidR="000057CB" w:rsidRPr="00460CAA" w:rsidRDefault="00586BE0" w:rsidP="00604A9E">
            <w:pPr>
              <w:widowControl w:val="0"/>
              <w:spacing w:before="40" w:after="20"/>
              <w:jc w:val="center"/>
              <w:rPr>
                <w:sz w:val="26"/>
                <w:szCs w:val="26"/>
                <w:specVanish/>
              </w:rPr>
            </w:pPr>
            <w:r>
              <w:rPr>
                <w:sz w:val="26"/>
                <w:szCs w:val="26"/>
              </w:rPr>
              <w:t>12</w:t>
            </w:r>
          </w:p>
        </w:tc>
        <w:tc>
          <w:tcPr>
            <w:tcW w:w="3357" w:type="pct"/>
            <w:shd w:val="clear" w:color="auto" w:fill="auto"/>
            <w:vAlign w:val="center"/>
          </w:tcPr>
          <w:p w14:paraId="66990526" w14:textId="77777777" w:rsidR="000057CB" w:rsidRPr="00460CAA" w:rsidRDefault="000057CB" w:rsidP="00604A9E">
            <w:pPr>
              <w:widowControl w:val="0"/>
              <w:spacing w:before="40" w:after="20"/>
              <w:rPr>
                <w:sz w:val="26"/>
                <w:szCs w:val="26"/>
                <w:specVanish/>
              </w:rPr>
            </w:pPr>
            <w:r w:rsidRPr="00460CAA">
              <w:rPr>
                <w:sz w:val="26"/>
                <w:szCs w:val="26"/>
              </w:rPr>
              <w:t>Các tiêu chuẩn, quy chuẩn hiện hành khác có liên quan</w:t>
            </w:r>
          </w:p>
        </w:tc>
        <w:tc>
          <w:tcPr>
            <w:tcW w:w="1261" w:type="pct"/>
            <w:shd w:val="clear" w:color="auto" w:fill="auto"/>
            <w:vAlign w:val="center"/>
          </w:tcPr>
          <w:p w14:paraId="17676B8F" w14:textId="77777777" w:rsidR="000057CB" w:rsidRPr="00460CAA" w:rsidRDefault="000057CB" w:rsidP="00604A9E">
            <w:pPr>
              <w:widowControl w:val="0"/>
              <w:spacing w:before="40" w:after="20"/>
              <w:rPr>
                <w:sz w:val="26"/>
                <w:szCs w:val="26"/>
                <w:specVanish/>
              </w:rPr>
            </w:pPr>
          </w:p>
        </w:tc>
      </w:tr>
    </w:tbl>
    <w:p w14:paraId="16396BAB" w14:textId="77777777" w:rsidR="0089613B" w:rsidRPr="00460CAA" w:rsidRDefault="0089613B" w:rsidP="00A63C9C">
      <w:pPr>
        <w:widowControl w:val="0"/>
        <w:tabs>
          <w:tab w:val="left" w:pos="851"/>
        </w:tabs>
        <w:spacing w:line="340" w:lineRule="exact"/>
        <w:jc w:val="both"/>
        <w:rPr>
          <w:b/>
          <w:bCs/>
          <w:sz w:val="26"/>
          <w:szCs w:val="26"/>
          <w:lang w:val="nl-NL"/>
        </w:rPr>
      </w:pPr>
      <w:r w:rsidRPr="00460CAA">
        <w:rPr>
          <w:b/>
          <w:noProof/>
          <w:spacing w:val="-2"/>
          <w:sz w:val="26"/>
          <w:szCs w:val="26"/>
        </w:rPr>
        <w:lastRenderedPageBreak/>
        <w:t xml:space="preserve">         </w:t>
      </w:r>
      <w:r w:rsidRPr="00460CAA">
        <w:rPr>
          <w:b/>
          <w:bCs/>
          <w:sz w:val="26"/>
          <w:szCs w:val="26"/>
          <w:lang w:val="nl-NL"/>
        </w:rPr>
        <w:t>2. Yêu cầu về tổ chức kỹ thuật thi công, giám sát;</w:t>
      </w:r>
    </w:p>
    <w:p w14:paraId="33E44B2D" w14:textId="4A495176" w:rsidR="000057CB" w:rsidRPr="00460CAA" w:rsidRDefault="00101375" w:rsidP="00101375">
      <w:pPr>
        <w:spacing w:line="340" w:lineRule="exact"/>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101375">
      <w:pPr>
        <w:spacing w:line="340" w:lineRule="exact"/>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101375">
      <w:pPr>
        <w:widowControl w:val="0"/>
        <w:spacing w:line="340" w:lineRule="exact"/>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a&gt; Thiết kế bố trí tổng mặt bằng thi công đảm bảo phù hợp cho từng giai đoạn:</w:t>
      </w:r>
    </w:p>
    <w:p w14:paraId="6831AC6B"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460CAA" w:rsidRDefault="000057CB" w:rsidP="000057CB">
      <w:pPr>
        <w:widowControl w:val="0"/>
        <w:spacing w:line="340" w:lineRule="exact"/>
        <w:ind w:firstLine="567"/>
        <w:rPr>
          <w:sz w:val="26"/>
          <w:szCs w:val="26"/>
          <w:lang w:val="nl-NL"/>
        </w:rPr>
      </w:pPr>
      <w:r w:rsidRPr="00460CAA">
        <w:rPr>
          <w:spacing w:val="-4"/>
          <w:sz w:val="26"/>
          <w:szCs w:val="26"/>
          <w:lang w:val="nl-NL"/>
        </w:rPr>
        <w:t xml:space="preserve">b&gt; </w:t>
      </w:r>
      <w:r w:rsidRPr="00460CAA">
        <w:rPr>
          <w:sz w:val="26"/>
          <w:szCs w:val="26"/>
          <w:lang w:val="nl-NL"/>
        </w:rPr>
        <w:t>Phương án lựa chọn máy móc thiết bị thi công:</w:t>
      </w:r>
    </w:p>
    <w:p w14:paraId="4905467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c&gt; Giải pháp lựa chọn nguồn cung cấp đấu nối mạng lưới điện, nước phục vụ thi công:</w:t>
      </w:r>
    </w:p>
    <w:p w14:paraId="20D76B58"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0057CB">
      <w:pPr>
        <w:widowControl w:val="0"/>
        <w:spacing w:line="340" w:lineRule="exact"/>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Các công tác xây lắp chủ yếu, quan trọng và có kỹ thuật phức tạp yêu cầu nhà thầu phải tiến hành lập biện pháp thi công chi tiết nhằm đảm bảo chất lượng, kỹ mỹ </w:t>
      </w:r>
      <w:r w:rsidRPr="00460CAA">
        <w:rPr>
          <w:sz w:val="26"/>
          <w:szCs w:val="26"/>
          <w:lang w:val="nl-NL"/>
        </w:rPr>
        <w:lastRenderedPageBreak/>
        <w:t>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35E7EC48" w:rsidR="000057CB" w:rsidRPr="00460CAA" w:rsidRDefault="007F30CA" w:rsidP="00A82EEC">
            <w:pPr>
              <w:widowControl w:val="0"/>
              <w:spacing w:line="340" w:lineRule="exact"/>
              <w:rPr>
                <w:i/>
                <w:sz w:val="26"/>
                <w:szCs w:val="26"/>
                <w:lang w:val="nl-NL"/>
              </w:rPr>
            </w:pPr>
            <w:r>
              <w:rPr>
                <w:i/>
                <w:sz w:val="26"/>
                <w:szCs w:val="26"/>
                <w:lang w:val="nl-NL"/>
              </w:rPr>
              <w:t xml:space="preserve">+ Biện pháp thi công </w:t>
            </w:r>
            <w:r w:rsidR="00A82EEC">
              <w:rPr>
                <w:i/>
                <w:sz w:val="26"/>
                <w:szCs w:val="26"/>
                <w:lang w:val="nl-NL"/>
              </w:rPr>
              <w:t>công tác đào, đắp kênh mương</w:t>
            </w:r>
          </w:p>
        </w:tc>
      </w:tr>
      <w:tr w:rsidR="000057CB" w:rsidRPr="00460CAA"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0ECEE9A0" w:rsidR="000057CB" w:rsidRPr="00460CAA" w:rsidRDefault="00A82EEC" w:rsidP="00604A9E">
            <w:pPr>
              <w:widowControl w:val="0"/>
              <w:spacing w:line="340" w:lineRule="exact"/>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460CAA" w:rsidRDefault="000057CB" w:rsidP="00604A9E">
            <w:pPr>
              <w:widowControl w:val="0"/>
              <w:spacing w:line="340" w:lineRule="exact"/>
              <w:rPr>
                <w:i/>
                <w:sz w:val="26"/>
                <w:szCs w:val="26"/>
                <w:lang w:val="nl-NL"/>
              </w:rPr>
            </w:pPr>
            <w:r w:rsidRPr="00460CAA">
              <w:rPr>
                <w:i/>
                <w:sz w:val="26"/>
                <w:szCs w:val="26"/>
                <w:lang w:val="nl-NL"/>
              </w:rPr>
              <w:t>+ Biện pháp thi công phần xây, trát</w:t>
            </w:r>
          </w:p>
        </w:tc>
      </w:tr>
      <w:tr w:rsidR="00101375" w:rsidRPr="00460CAA"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113EFA21" w:rsidR="00101375" w:rsidRPr="00460CAA" w:rsidRDefault="00A82EEC" w:rsidP="00604A9E">
            <w:pPr>
              <w:widowControl w:val="0"/>
              <w:spacing w:line="340" w:lineRule="exact"/>
              <w:jc w:val="center"/>
              <w:rPr>
                <w:sz w:val="26"/>
                <w:szCs w:val="26"/>
                <w:lang w:val="nl-NL"/>
              </w:rPr>
            </w:pPr>
            <w:r>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1BC1F171" w14:textId="1B52F9D6" w:rsidR="00101375" w:rsidRPr="00460CAA" w:rsidRDefault="00101375" w:rsidP="00586BE0">
            <w:pPr>
              <w:widowControl w:val="0"/>
              <w:spacing w:line="340" w:lineRule="exact"/>
              <w:rPr>
                <w:i/>
                <w:sz w:val="26"/>
                <w:szCs w:val="26"/>
                <w:lang w:val="nl-NL"/>
              </w:rPr>
            </w:pPr>
            <w:r w:rsidRPr="00460CAA">
              <w:rPr>
                <w:i/>
                <w:sz w:val="26"/>
                <w:szCs w:val="26"/>
                <w:lang w:val="nl-NL"/>
              </w:rPr>
              <w:t xml:space="preserve">+ Biện pháp thi công </w:t>
            </w:r>
            <w:r w:rsidR="00586BE0">
              <w:rPr>
                <w:i/>
                <w:sz w:val="26"/>
                <w:szCs w:val="26"/>
                <w:lang w:val="nl-NL"/>
              </w:rPr>
              <w:t>đập dâng nước</w:t>
            </w:r>
          </w:p>
        </w:tc>
      </w:tr>
      <w:tr w:rsidR="004A039C" w:rsidRPr="00460CAA" w14:paraId="7FBAF747" w14:textId="77777777" w:rsidTr="00E80BEA">
        <w:tc>
          <w:tcPr>
            <w:tcW w:w="1130" w:type="dxa"/>
            <w:tcBorders>
              <w:top w:val="single" w:sz="4" w:space="0" w:color="auto"/>
              <w:left w:val="double" w:sz="4" w:space="0" w:color="auto"/>
              <w:bottom w:val="single" w:sz="4" w:space="0" w:color="auto"/>
              <w:right w:val="single" w:sz="4" w:space="0" w:color="auto"/>
            </w:tcBorders>
            <w:vAlign w:val="center"/>
          </w:tcPr>
          <w:p w14:paraId="472C3DE3" w14:textId="1D51EA2E" w:rsidR="004A039C" w:rsidRPr="00460CAA" w:rsidRDefault="00A82EEC" w:rsidP="00E80BEA">
            <w:pPr>
              <w:widowControl w:val="0"/>
              <w:spacing w:line="340" w:lineRule="exact"/>
              <w:jc w:val="center"/>
              <w:rPr>
                <w:sz w:val="26"/>
                <w:szCs w:val="26"/>
                <w:lang w:val="nl-NL"/>
              </w:rPr>
            </w:pPr>
            <w:r>
              <w:rPr>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074F13E5" w14:textId="32CD383D" w:rsidR="004A039C" w:rsidRPr="00460CAA" w:rsidRDefault="004A039C" w:rsidP="00A82EEC">
            <w:pPr>
              <w:widowControl w:val="0"/>
              <w:spacing w:line="340" w:lineRule="exact"/>
              <w:rPr>
                <w:i/>
                <w:sz w:val="26"/>
                <w:szCs w:val="26"/>
                <w:lang w:val="nl-NL"/>
              </w:rPr>
            </w:pPr>
            <w:r w:rsidRPr="00460CAA">
              <w:rPr>
                <w:i/>
                <w:sz w:val="26"/>
                <w:szCs w:val="26"/>
                <w:lang w:val="nl-NL"/>
              </w:rPr>
              <w:t xml:space="preserve">+ Biện pháp thi công </w:t>
            </w:r>
            <w:r w:rsidR="00A82EEC">
              <w:rPr>
                <w:i/>
                <w:sz w:val="26"/>
                <w:szCs w:val="26"/>
                <w:lang w:val="nl-NL"/>
              </w:rPr>
              <w:t>xây cống bản</w:t>
            </w:r>
          </w:p>
        </w:tc>
      </w:tr>
      <w:tr w:rsidR="000057CB" w:rsidRPr="00460CAA"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73CB7BF2" w:rsidR="000057CB" w:rsidRPr="00460CAA" w:rsidRDefault="00A82EEC" w:rsidP="00604A9E">
            <w:pPr>
              <w:widowControl w:val="0"/>
              <w:spacing w:line="340" w:lineRule="exact"/>
              <w:jc w:val="center"/>
              <w:rPr>
                <w:sz w:val="26"/>
                <w:szCs w:val="26"/>
                <w:lang w:val="nl-NL"/>
              </w:rPr>
            </w:pPr>
            <w:r>
              <w:rPr>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7B6D2777" w14:textId="11304229" w:rsidR="000057CB" w:rsidRPr="00460CAA" w:rsidRDefault="000057CB" w:rsidP="00A82EEC">
            <w:pPr>
              <w:widowControl w:val="0"/>
              <w:spacing w:line="340" w:lineRule="exact"/>
              <w:rPr>
                <w:i/>
                <w:sz w:val="26"/>
                <w:szCs w:val="26"/>
                <w:lang w:val="nl-NL"/>
              </w:rPr>
            </w:pPr>
            <w:r w:rsidRPr="00460CAA">
              <w:rPr>
                <w:i/>
                <w:sz w:val="26"/>
                <w:szCs w:val="26"/>
                <w:lang w:val="nl-NL"/>
              </w:rPr>
              <w:t xml:space="preserve">+ Biện pháp thi công </w:t>
            </w:r>
            <w:r w:rsidR="00A82EEC">
              <w:rPr>
                <w:i/>
                <w:sz w:val="26"/>
                <w:szCs w:val="26"/>
                <w:lang w:val="nl-NL"/>
              </w:rPr>
              <w:t>cầu máng</w:t>
            </w:r>
          </w:p>
        </w:tc>
      </w:tr>
    </w:tbl>
    <w:p w14:paraId="1FC0FBD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0057CB">
      <w:pPr>
        <w:widowControl w:val="0"/>
        <w:spacing w:line="340" w:lineRule="exact"/>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0057CB">
      <w:pPr>
        <w:widowControl w:val="0"/>
        <w:spacing w:line="340" w:lineRule="exact"/>
        <w:ind w:left="851" w:hanging="131"/>
        <w:rPr>
          <w:bCs/>
          <w:sz w:val="26"/>
          <w:szCs w:val="26"/>
          <w:lang w:val="nl-NL"/>
        </w:rPr>
      </w:pPr>
      <w:r w:rsidRPr="00460CAA">
        <w:rPr>
          <w:bCs/>
          <w:sz w:val="26"/>
          <w:szCs w:val="26"/>
          <w:lang w:val="nl-NL"/>
        </w:rPr>
        <w:t>- Các biện pháp kiểm tra đạt hiệu quả.</w:t>
      </w:r>
    </w:p>
    <w:p w14:paraId="6D1908BF" w14:textId="77777777" w:rsidR="000057CB" w:rsidRPr="00460CAA" w:rsidRDefault="000057CB" w:rsidP="000057CB">
      <w:pPr>
        <w:widowControl w:val="0"/>
        <w:spacing w:line="340" w:lineRule="exact"/>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F76D12">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604A9E">
            <w:pPr>
              <w:widowControl w:val="0"/>
              <w:spacing w:line="340" w:lineRule="exact"/>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lastRenderedPageBreak/>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BF5F16">
            <w:pPr>
              <w:widowControl w:val="0"/>
              <w:spacing w:line="340" w:lineRule="exact"/>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BF5F16">
            <w:pPr>
              <w:widowControl w:val="0"/>
              <w:spacing w:line="340" w:lineRule="exact"/>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604A9E">
            <w:pPr>
              <w:widowControl w:val="0"/>
              <w:spacing w:line="340" w:lineRule="exact"/>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.5 Thuyết minh phương án quản lý chất lượng thi công</w:t>
      </w:r>
    </w:p>
    <w:p w14:paraId="67B436A9"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604A9E">
            <w:pPr>
              <w:widowControl w:val="0"/>
              <w:spacing w:line="340" w:lineRule="exact"/>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604A9E">
            <w:pPr>
              <w:widowControl w:val="0"/>
              <w:spacing w:line="340" w:lineRule="exact"/>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604A9E">
            <w:pPr>
              <w:widowControl w:val="0"/>
              <w:spacing w:line="340" w:lineRule="exact"/>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604A9E">
            <w:pPr>
              <w:widowControl w:val="0"/>
              <w:spacing w:line="340" w:lineRule="exact"/>
              <w:rPr>
                <w:i/>
                <w:sz w:val="26"/>
                <w:szCs w:val="26"/>
                <w:lang w:val="nl-NL"/>
              </w:rPr>
            </w:pPr>
            <w:r w:rsidRPr="00460CAA">
              <w:rPr>
                <w:i/>
                <w:sz w:val="26"/>
                <w:szCs w:val="26"/>
                <w:lang w:val="nl-NL"/>
              </w:rPr>
              <w:t>Nêu danh mục các công việc và quy trình kiểm tra chất lượng của những 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0057CB">
      <w:pPr>
        <w:widowControl w:val="0"/>
        <w:spacing w:line="340" w:lineRule="exact"/>
        <w:ind w:firstLine="567"/>
        <w:rPr>
          <w:spacing w:val="-6"/>
          <w:sz w:val="26"/>
          <w:szCs w:val="26"/>
          <w:lang w:val="nl-NL"/>
        </w:rPr>
      </w:pPr>
      <w:r w:rsidRPr="00E12E03">
        <w:rPr>
          <w:spacing w:val="-6"/>
          <w:sz w:val="26"/>
          <w:szCs w:val="26"/>
          <w:lang w:val="nl-NL"/>
        </w:rPr>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0057CB">
      <w:pPr>
        <w:widowControl w:val="0"/>
        <w:spacing w:line="340" w:lineRule="exact"/>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8878E7">
      <w:pPr>
        <w:widowControl w:val="0"/>
        <w:tabs>
          <w:tab w:val="left" w:pos="851"/>
        </w:tabs>
        <w:spacing w:line="340" w:lineRule="exact"/>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8878E7">
      <w:pPr>
        <w:tabs>
          <w:tab w:val="left" w:pos="436"/>
        </w:tabs>
        <w:spacing w:line="340" w:lineRule="exact"/>
        <w:ind w:right="11" w:firstLine="567"/>
        <w:jc w:val="both"/>
        <w:rPr>
          <w:sz w:val="26"/>
          <w:szCs w:val="26"/>
          <w:lang w:val="pl-PL"/>
        </w:rPr>
      </w:pPr>
      <w:r w:rsidRPr="00522A79">
        <w:rPr>
          <w:sz w:val="26"/>
          <w:szCs w:val="26"/>
          <w:lang w:val="pl-PL"/>
        </w:rPr>
        <w:t>- Yêu cầu của một số loại vật tư chính:</w:t>
      </w:r>
    </w:p>
    <w:p w14:paraId="68EEADE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lastRenderedPageBreak/>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33:2006 : Cấp nước, mạng lưới đường ống và công trình.</w:t>
      </w:r>
    </w:p>
    <w:p w14:paraId="7D3B6060" w14:textId="77777777" w:rsidR="008878E7" w:rsidRPr="00522A79" w:rsidRDefault="008878E7" w:rsidP="008878E7">
      <w:pPr>
        <w:spacing w:line="340" w:lineRule="exact"/>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8878E7">
      <w:pPr>
        <w:spacing w:line="340" w:lineRule="exact"/>
        <w:ind w:firstLine="567"/>
        <w:jc w:val="both"/>
        <w:rPr>
          <w:i/>
          <w:iCs/>
          <w:sz w:val="26"/>
          <w:szCs w:val="26"/>
        </w:rPr>
      </w:pPr>
      <w:r w:rsidRPr="00522A79">
        <w:rPr>
          <w:i/>
          <w:iCs/>
          <w:sz w:val="26"/>
          <w:szCs w:val="26"/>
        </w:rPr>
        <w:t>- Cát:</w:t>
      </w:r>
    </w:p>
    <w:p w14:paraId="2DE2C16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8878E7">
      <w:pPr>
        <w:pStyle w:val="111"/>
        <w:spacing w:before="0" w:after="0" w:line="340" w:lineRule="exact"/>
        <w:ind w:firstLine="567"/>
        <w:rPr>
          <w:rFonts w:ascii="Times New Roman" w:hAnsi="Times New Roman"/>
          <w:szCs w:val="26"/>
        </w:rPr>
      </w:pPr>
      <w:r w:rsidRPr="00522A79">
        <w:rPr>
          <w:rFonts w:ascii="Times New Roman" w:hAnsi="Times New Roman"/>
          <w:color w:val="auto"/>
          <w:szCs w:val="26"/>
        </w:rPr>
        <w:t>+ Cát đen chỉ được dùng cho vữa mác thấp, không dùng cát đen cho khối xây dưới  mực nước và nước ăn mòn.</w:t>
      </w:r>
    </w:p>
    <w:p w14:paraId="5E9F9D44" w14:textId="77777777" w:rsidR="008878E7" w:rsidRPr="00522A79" w:rsidRDefault="008878E7" w:rsidP="008878E7">
      <w:pPr>
        <w:spacing w:line="340" w:lineRule="exact"/>
        <w:ind w:firstLine="567"/>
        <w:jc w:val="both"/>
        <w:rPr>
          <w:i/>
          <w:iCs/>
          <w:sz w:val="26"/>
          <w:szCs w:val="26"/>
        </w:rPr>
      </w:pPr>
      <w:r w:rsidRPr="00522A79">
        <w:rPr>
          <w:i/>
          <w:iCs/>
          <w:sz w:val="26"/>
          <w:szCs w:val="26"/>
        </w:rPr>
        <w:t>- Đá dăm:</w:t>
      </w:r>
    </w:p>
    <w:p w14:paraId="2C61266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8878E7">
      <w:pPr>
        <w:spacing w:line="340" w:lineRule="exact"/>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8878E7">
      <w:pPr>
        <w:spacing w:line="340" w:lineRule="exact"/>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lastRenderedPageBreak/>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8878E7">
      <w:pPr>
        <w:spacing w:line="340" w:lineRule="exact"/>
        <w:ind w:firstLine="567"/>
        <w:jc w:val="both"/>
        <w:rPr>
          <w:i/>
          <w:iCs/>
          <w:sz w:val="26"/>
          <w:szCs w:val="26"/>
        </w:rPr>
      </w:pPr>
      <w:r w:rsidRPr="00522A79">
        <w:rPr>
          <w:i/>
          <w:iCs/>
          <w:sz w:val="26"/>
          <w:szCs w:val="26"/>
        </w:rPr>
        <w:t>- Lưu kho cốt liệu:</w:t>
      </w:r>
    </w:p>
    <w:p w14:paraId="5EDCE56E"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Tỷ lệ nước - xi măng theo trọng lượng.</w:t>
      </w:r>
    </w:p>
    <w:p w14:paraId="51A0EF9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quy định cho hỗn hợp bê tông khi thi công.</w:t>
      </w:r>
    </w:p>
    <w:p w14:paraId="2613E2D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Đối với kết cấu mái, dầm có khẩu độ lớn và cao, đơn vị thi công phải lập biện pháp chi tiết thông qua Chủ đầu tư, đảm bảo độ chắc chắn, an toàn của hệ thống các thanh chống cốt pha đà giáo, tránh biến dạng trong quá trình đổ bê tông.</w:t>
      </w:r>
    </w:p>
    <w:p w14:paraId="7B0E00E1"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8878E7">
      <w:pPr>
        <w:spacing w:line="340" w:lineRule="exact"/>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Việc thử nghiệm cốt thép được làm tại một phòng thí nghiệm đã được chấp nhận.</w:t>
      </w:r>
    </w:p>
    <w:p w14:paraId="3CA479CA"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604A9E">
            <w:pPr>
              <w:spacing w:line="340" w:lineRule="exact"/>
              <w:jc w:val="both"/>
              <w:rPr>
                <w:sz w:val="26"/>
                <w:szCs w:val="26"/>
              </w:rPr>
            </w:pPr>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604A9E">
            <w:pPr>
              <w:spacing w:line="340" w:lineRule="exact"/>
              <w:jc w:val="both"/>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604A9E">
            <w:pPr>
              <w:spacing w:line="340" w:lineRule="exact"/>
              <w:jc w:val="both"/>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604A9E">
            <w:pPr>
              <w:spacing w:line="340" w:lineRule="exact"/>
              <w:jc w:val="both"/>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604A9E">
            <w:pPr>
              <w:spacing w:line="340" w:lineRule="exact"/>
              <w:jc w:val="both"/>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604A9E">
            <w:pPr>
              <w:spacing w:line="340" w:lineRule="exact"/>
              <w:jc w:val="both"/>
              <w:rPr>
                <w:sz w:val="26"/>
                <w:szCs w:val="26"/>
              </w:rPr>
            </w:pPr>
            <w:r w:rsidRPr="00522A79">
              <w:rPr>
                <w:sz w:val="26"/>
                <w:szCs w:val="26"/>
              </w:rPr>
              <w:t>Số chứng chỉ thử nghiệm</w:t>
            </w:r>
          </w:p>
        </w:tc>
      </w:tr>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604A9E">
            <w:pPr>
              <w:spacing w:line="340" w:lineRule="exact"/>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604A9E">
            <w:pPr>
              <w:spacing w:line="340" w:lineRule="exact"/>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604A9E">
            <w:pPr>
              <w:spacing w:line="340" w:lineRule="exact"/>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604A9E">
            <w:pPr>
              <w:spacing w:line="340" w:lineRule="exact"/>
              <w:jc w:val="both"/>
              <w:rPr>
                <w:sz w:val="26"/>
                <w:szCs w:val="26"/>
              </w:rPr>
            </w:pPr>
          </w:p>
          <w:p w14:paraId="25D6D618" w14:textId="77777777" w:rsidR="008878E7" w:rsidRPr="00522A79" w:rsidRDefault="008878E7" w:rsidP="00604A9E">
            <w:pPr>
              <w:spacing w:line="340" w:lineRule="exact"/>
              <w:jc w:val="both"/>
              <w:rPr>
                <w:sz w:val="26"/>
                <w:szCs w:val="26"/>
              </w:rPr>
            </w:pPr>
          </w:p>
        </w:tc>
      </w:tr>
    </w:tbl>
    <w:p w14:paraId="5B46AB8C"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Hình dạng.</w:t>
      </w:r>
    </w:p>
    <w:p w14:paraId="6A200783"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w:t>
      </w:r>
    </w:p>
    <w:p w14:paraId="69CD2C6A"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E874FF">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E874FF">
      <w:pPr>
        <w:spacing w:line="340" w:lineRule="exact"/>
        <w:ind w:firstLine="567"/>
        <w:jc w:val="both"/>
        <w:rPr>
          <w:i/>
          <w:iCs/>
          <w:sz w:val="26"/>
          <w:szCs w:val="26"/>
        </w:rPr>
      </w:pPr>
      <w:r w:rsidRPr="00522A79">
        <w:rPr>
          <w:i/>
          <w:iCs/>
          <w:sz w:val="26"/>
          <w:szCs w:val="26"/>
        </w:rPr>
        <w:t>- Lưu kho và làm sạch:</w:t>
      </w:r>
    </w:p>
    <w:p w14:paraId="5750975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8878E7">
      <w:pPr>
        <w:widowControl w:val="0"/>
        <w:tabs>
          <w:tab w:val="left" w:pos="851"/>
        </w:tabs>
        <w:spacing w:line="340" w:lineRule="exact"/>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8878E7">
      <w:pPr>
        <w:spacing w:line="340" w:lineRule="exact"/>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8878E7">
      <w:pPr>
        <w:spacing w:line="340" w:lineRule="exact"/>
        <w:ind w:firstLine="720"/>
        <w:jc w:val="both"/>
        <w:rPr>
          <w:sz w:val="26"/>
          <w:szCs w:val="26"/>
          <w:lang w:val="pl-PL"/>
        </w:rPr>
      </w:pPr>
      <w:r w:rsidRPr="00522A79">
        <w:rPr>
          <w:sz w:val="26"/>
          <w:szCs w:val="26"/>
          <w:lang w:val="pl-PL"/>
        </w:rPr>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8878E7">
      <w:pPr>
        <w:spacing w:line="340" w:lineRule="exact"/>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8878E7">
      <w:pPr>
        <w:widowControl w:val="0"/>
        <w:tabs>
          <w:tab w:val="left" w:pos="851"/>
        </w:tabs>
        <w:spacing w:line="340" w:lineRule="exact"/>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8878E7">
      <w:pPr>
        <w:widowControl w:val="0"/>
        <w:tabs>
          <w:tab w:val="left" w:pos="851"/>
        </w:tabs>
        <w:spacing w:line="340" w:lineRule="exact"/>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lastRenderedPageBreak/>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8878E7">
      <w:pPr>
        <w:tabs>
          <w:tab w:val="left" w:pos="851"/>
        </w:tabs>
        <w:spacing w:line="320" w:lineRule="exact"/>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E874FF">
      <w:pPr>
        <w:spacing w:line="320" w:lineRule="exact"/>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E874FF">
      <w:pPr>
        <w:spacing w:line="320" w:lineRule="exact"/>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8878E7">
      <w:pPr>
        <w:spacing w:line="320" w:lineRule="exact"/>
        <w:ind w:firstLine="567"/>
        <w:jc w:val="both"/>
        <w:rPr>
          <w:sz w:val="26"/>
          <w:szCs w:val="26"/>
          <w:lang w:val="pl-PL"/>
        </w:rPr>
      </w:pPr>
      <w:r w:rsidRPr="00522A79">
        <w:rPr>
          <w:sz w:val="26"/>
          <w:szCs w:val="26"/>
          <w:lang w:val="pl-PL"/>
        </w:rPr>
        <w:t>Nhà thầu phải có đầy đủ biện pháp đảm bảo chất lượng thi công cho công trình về kỹ thuật, thí nghiệm.</w:t>
      </w:r>
    </w:p>
    <w:p w14:paraId="7B9C956C" w14:textId="7FFFB7EC" w:rsidR="008878E7" w:rsidRDefault="008878E7" w:rsidP="008878E7">
      <w:pPr>
        <w:spacing w:line="320" w:lineRule="exact"/>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0057CB">
      <w:pPr>
        <w:widowControl w:val="0"/>
        <w:spacing w:line="340" w:lineRule="exact"/>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bookmarkStart w:id="0" w:name="_GoBack"/>
      <w:bookmarkEnd w:id="0"/>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AAA0" w14:textId="77777777" w:rsidR="004257D9" w:rsidRDefault="004257D9" w:rsidP="0023244A">
      <w:r>
        <w:separator/>
      </w:r>
    </w:p>
  </w:endnote>
  <w:endnote w:type="continuationSeparator" w:id="0">
    <w:p w14:paraId="1F7EB703" w14:textId="77777777" w:rsidR="004257D9" w:rsidRDefault="004257D9"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3F13E" w14:textId="77777777" w:rsidR="004257D9" w:rsidRDefault="004257D9" w:rsidP="0023244A">
      <w:r>
        <w:separator/>
      </w:r>
    </w:p>
  </w:footnote>
  <w:footnote w:type="continuationSeparator" w:id="0">
    <w:p w14:paraId="22A5EE54" w14:textId="77777777" w:rsidR="004257D9" w:rsidRDefault="004257D9" w:rsidP="0023244A">
      <w:r>
        <w:continuationSeparator/>
      </w:r>
    </w:p>
  </w:footnote>
  <w:footnote w:id="1">
    <w:p w14:paraId="6F61EF57" w14:textId="77777777" w:rsidR="00604A9E" w:rsidRDefault="00604A9E"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CAA"/>
    <w:rsid w:val="000F2EE4"/>
    <w:rsid w:val="000F47F7"/>
    <w:rsid w:val="00101375"/>
    <w:rsid w:val="00115A54"/>
    <w:rsid w:val="00115EBA"/>
    <w:rsid w:val="001161E5"/>
    <w:rsid w:val="001421DF"/>
    <w:rsid w:val="00160846"/>
    <w:rsid w:val="00160BF3"/>
    <w:rsid w:val="00177307"/>
    <w:rsid w:val="00177654"/>
    <w:rsid w:val="001812AC"/>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A2CF0"/>
    <w:rsid w:val="003B2512"/>
    <w:rsid w:val="003C4FC7"/>
    <w:rsid w:val="003D5488"/>
    <w:rsid w:val="003F7A32"/>
    <w:rsid w:val="004011E2"/>
    <w:rsid w:val="004257D9"/>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86BE0"/>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7F30CA"/>
    <w:rsid w:val="00805F6A"/>
    <w:rsid w:val="00806E6F"/>
    <w:rsid w:val="00812209"/>
    <w:rsid w:val="00813D68"/>
    <w:rsid w:val="008163BC"/>
    <w:rsid w:val="00830B00"/>
    <w:rsid w:val="008363DA"/>
    <w:rsid w:val="00836C56"/>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67EB2"/>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82EEC"/>
    <w:rsid w:val="00AB2B54"/>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D2810"/>
    <w:rsid w:val="00CE2140"/>
    <w:rsid w:val="00CE445A"/>
    <w:rsid w:val="00CE4A5B"/>
    <w:rsid w:val="00CF03D6"/>
    <w:rsid w:val="00CF100E"/>
    <w:rsid w:val="00CF2FE8"/>
    <w:rsid w:val="00CF7338"/>
    <w:rsid w:val="00CF7498"/>
    <w:rsid w:val="00D60405"/>
    <w:rsid w:val="00DB7B80"/>
    <w:rsid w:val="00DC4451"/>
    <w:rsid w:val="00DE1032"/>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9</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THUYBEO</cp:lastModifiedBy>
  <cp:revision>227</cp:revision>
  <dcterms:created xsi:type="dcterms:W3CDTF">2019-03-30T08:54:00Z</dcterms:created>
  <dcterms:modified xsi:type="dcterms:W3CDTF">2026-01-19T06:47:00Z</dcterms:modified>
</cp:coreProperties>
</file>