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5F55" w14:textId="77777777" w:rsidR="00465D9B" w:rsidRPr="00465D9B" w:rsidRDefault="00465D9B" w:rsidP="00465D9B">
      <w:pPr>
        <w:widowControl w:val="0"/>
        <w:spacing w:before="120" w:after="120" w:line="264" w:lineRule="auto"/>
        <w:jc w:val="center"/>
        <w:outlineLvl w:val="1"/>
        <w:rPr>
          <w:sz w:val="28"/>
          <w:szCs w:val="28"/>
        </w:rPr>
      </w:pPr>
      <w:r w:rsidRPr="00465D9B">
        <w:rPr>
          <w:b/>
          <w:sz w:val="28"/>
          <w:szCs w:val="28"/>
        </w:rPr>
        <w:t>Chương V. YÊU CẦU VỀ KỸ THUẬT</w:t>
      </w:r>
    </w:p>
    <w:p w14:paraId="2A8C27CE" w14:textId="77777777" w:rsidR="00465D9B" w:rsidRPr="00465D9B" w:rsidRDefault="00465D9B" w:rsidP="00465D9B">
      <w:pPr>
        <w:pStyle w:val="Subtitle"/>
        <w:rPr>
          <w:rFonts w:ascii="Times New Roman" w:hAnsi="Times New Roman" w:cs="Times New Roman"/>
        </w:rPr>
      </w:pPr>
    </w:p>
    <w:p w14:paraId="5DDFE133" w14:textId="77777777" w:rsidR="00465D9B" w:rsidRPr="00465D9B" w:rsidRDefault="00465D9B" w:rsidP="00465D9B">
      <w:pPr>
        <w:pStyle w:val="SectionVIHeader"/>
        <w:widowControl w:val="0"/>
        <w:spacing w:after="120" w:line="264" w:lineRule="auto"/>
        <w:ind w:firstLine="709"/>
        <w:jc w:val="both"/>
        <w:rPr>
          <w:sz w:val="28"/>
          <w:szCs w:val="28"/>
        </w:rPr>
      </w:pPr>
      <w:r w:rsidRPr="00465D9B">
        <w:rPr>
          <w:sz w:val="28"/>
          <w:szCs w:val="28"/>
        </w:rPr>
        <w:t>Mục 1. Yêu cầu về kỹ thuật</w:t>
      </w:r>
    </w:p>
    <w:p w14:paraId="70CF59C9" w14:textId="77777777" w:rsidR="00465D9B" w:rsidRPr="00465D9B" w:rsidRDefault="00465D9B" w:rsidP="00465D9B">
      <w:pPr>
        <w:widowControl w:val="0"/>
        <w:spacing w:before="120" w:after="120" w:line="264" w:lineRule="auto"/>
        <w:ind w:firstLine="709"/>
        <w:rPr>
          <w:b/>
          <w:i/>
          <w:sz w:val="28"/>
          <w:szCs w:val="28"/>
        </w:rPr>
      </w:pPr>
      <w:r w:rsidRPr="00465D9B">
        <w:rPr>
          <w:b/>
          <w:i/>
          <w:sz w:val="28"/>
          <w:szCs w:val="28"/>
        </w:rPr>
        <w:t>1.1. Giới thiệu chung về dự toán mua sắm, gói thầu</w:t>
      </w:r>
    </w:p>
    <w:p w14:paraId="5DB46250" w14:textId="77777777" w:rsidR="00465D9B" w:rsidRPr="00465D9B" w:rsidRDefault="00465D9B" w:rsidP="00465D9B">
      <w:pPr>
        <w:widowControl w:val="0"/>
        <w:spacing w:after="120"/>
        <w:ind w:firstLine="709"/>
        <w:rPr>
          <w:iCs/>
          <w:sz w:val="28"/>
          <w:szCs w:val="28"/>
        </w:rPr>
      </w:pPr>
      <w:bookmarkStart w:id="0" w:name="_Hlk154743134"/>
      <w:r w:rsidRPr="00465D9B">
        <w:rPr>
          <w:iCs/>
          <w:sz w:val="28"/>
          <w:szCs w:val="28"/>
        </w:rPr>
        <w:t>- Tên Chủ đầu tư: Bệnh viện đa khoa tỉnh Lâm Đồng;</w:t>
      </w:r>
    </w:p>
    <w:p w14:paraId="6C2C7F49" w14:textId="77777777" w:rsidR="00465D9B" w:rsidRPr="00465D9B" w:rsidRDefault="00465D9B" w:rsidP="00465D9B">
      <w:pPr>
        <w:widowControl w:val="0"/>
        <w:spacing w:after="120"/>
        <w:ind w:firstLine="709"/>
        <w:rPr>
          <w:iCs/>
          <w:sz w:val="28"/>
          <w:szCs w:val="28"/>
        </w:rPr>
      </w:pPr>
      <w:r w:rsidRPr="00465D9B">
        <w:rPr>
          <w:iCs/>
          <w:sz w:val="28"/>
          <w:szCs w:val="28"/>
        </w:rPr>
        <w:t>- Tên gói thầu: Mua sắm giường cơ đa năng cho các phòng yêu cầu tại các Khoa thuộc Bệnh viện Đa khoa tỉnh Lâm Đồng</w:t>
      </w:r>
    </w:p>
    <w:p w14:paraId="021C06C3" w14:textId="77777777" w:rsidR="00465D9B" w:rsidRPr="00465D9B" w:rsidRDefault="00465D9B" w:rsidP="00465D9B">
      <w:pPr>
        <w:widowControl w:val="0"/>
        <w:spacing w:after="120"/>
        <w:ind w:firstLine="709"/>
        <w:rPr>
          <w:iCs/>
          <w:sz w:val="28"/>
          <w:szCs w:val="28"/>
        </w:rPr>
      </w:pPr>
      <w:r w:rsidRPr="00465D9B">
        <w:rPr>
          <w:iCs/>
          <w:sz w:val="28"/>
          <w:szCs w:val="28"/>
        </w:rPr>
        <w:t xml:space="preserve">- Dự toán mua sắm: </w:t>
      </w:r>
      <w:r w:rsidRPr="00465D9B">
        <w:rPr>
          <w:sz w:val="28"/>
          <w:szCs w:val="28"/>
        </w:rPr>
        <w:t>Giường cơ đa năng cho các phòng yêu cầu tại các Khoa thuộc Bệnh viện Đa khoa tỉnh Lâm Đồng</w:t>
      </w:r>
      <w:r w:rsidRPr="00465D9B">
        <w:rPr>
          <w:iCs/>
          <w:sz w:val="28"/>
          <w:szCs w:val="28"/>
        </w:rPr>
        <w:t>;</w:t>
      </w:r>
    </w:p>
    <w:p w14:paraId="083C2868" w14:textId="77777777" w:rsidR="00465D9B" w:rsidRPr="00465D9B" w:rsidRDefault="00465D9B" w:rsidP="00465D9B">
      <w:pPr>
        <w:widowControl w:val="0"/>
        <w:spacing w:after="120"/>
        <w:ind w:firstLine="709"/>
        <w:rPr>
          <w:iCs/>
          <w:sz w:val="28"/>
          <w:szCs w:val="28"/>
        </w:rPr>
      </w:pPr>
      <w:r w:rsidRPr="00465D9B">
        <w:rPr>
          <w:iCs/>
          <w:sz w:val="28"/>
          <w:szCs w:val="28"/>
        </w:rPr>
        <w:t>- Địa điểm thực hiện: Bệnh viện đa khoa tỉnh Lâm Đồng; địa chỉ: Số 01 Phạm Ngọc Thạch, phường Cam Ly - Đà Lạt, Lâm Đồng;</w:t>
      </w:r>
    </w:p>
    <w:p w14:paraId="06E6CECA" w14:textId="77777777" w:rsidR="00465D9B" w:rsidRPr="00465D9B" w:rsidRDefault="00465D9B" w:rsidP="00465D9B">
      <w:pPr>
        <w:widowControl w:val="0"/>
        <w:spacing w:after="120"/>
        <w:ind w:firstLine="709"/>
        <w:rPr>
          <w:iCs/>
          <w:sz w:val="28"/>
          <w:szCs w:val="28"/>
        </w:rPr>
      </w:pPr>
      <w:r w:rsidRPr="00465D9B">
        <w:rPr>
          <w:iCs/>
          <w:sz w:val="28"/>
          <w:szCs w:val="28"/>
        </w:rPr>
        <w:t xml:space="preserve">- Nguồn vốn: </w:t>
      </w:r>
      <w:r w:rsidRPr="00465D9B">
        <w:rPr>
          <w:sz w:val="28"/>
          <w:szCs w:val="28"/>
          <w:lang w:val="es-ES"/>
        </w:rPr>
        <w:t>Nguồn thu dịch vụ khám chữa bệnh theo yêu cầu của Bệnh viện Đa khoa tỉnh Lâm Đồng, dự kiến thu năm 2026</w:t>
      </w:r>
      <w:r w:rsidRPr="00465D9B">
        <w:rPr>
          <w:iCs/>
          <w:sz w:val="28"/>
          <w:szCs w:val="28"/>
        </w:rPr>
        <w:t>;</w:t>
      </w:r>
    </w:p>
    <w:p w14:paraId="5F97DDE8" w14:textId="77777777" w:rsidR="00465D9B" w:rsidRPr="00465D9B" w:rsidRDefault="00465D9B" w:rsidP="00465D9B">
      <w:pPr>
        <w:widowControl w:val="0"/>
        <w:spacing w:after="120"/>
        <w:ind w:firstLine="709"/>
        <w:rPr>
          <w:iCs/>
          <w:sz w:val="28"/>
          <w:szCs w:val="28"/>
        </w:rPr>
      </w:pPr>
      <w:r w:rsidRPr="00465D9B">
        <w:rPr>
          <w:iCs/>
          <w:sz w:val="28"/>
          <w:szCs w:val="28"/>
        </w:rPr>
        <w:t>- Hình thức lựa chọn nhà thầu: Chào hàng cạnh tranh trong nước qua Hệ thống mạng đấu thầu quốc gia;</w:t>
      </w:r>
    </w:p>
    <w:p w14:paraId="6029099D" w14:textId="77777777" w:rsidR="00465D9B" w:rsidRPr="00465D9B" w:rsidRDefault="00465D9B" w:rsidP="00465D9B">
      <w:pPr>
        <w:widowControl w:val="0"/>
        <w:spacing w:after="120"/>
        <w:ind w:firstLine="709"/>
        <w:rPr>
          <w:iCs/>
          <w:sz w:val="28"/>
          <w:szCs w:val="28"/>
        </w:rPr>
      </w:pPr>
      <w:r w:rsidRPr="00465D9B">
        <w:rPr>
          <w:iCs/>
          <w:sz w:val="28"/>
          <w:szCs w:val="28"/>
        </w:rPr>
        <w:t>- Phương thức lựa chọn nhà thầu: Một giai đoạn, một túi hồ sơ;</w:t>
      </w:r>
    </w:p>
    <w:p w14:paraId="2162BA68" w14:textId="77777777" w:rsidR="00465D9B" w:rsidRPr="00465D9B" w:rsidRDefault="00465D9B" w:rsidP="00465D9B">
      <w:pPr>
        <w:widowControl w:val="0"/>
        <w:spacing w:after="120"/>
        <w:ind w:firstLine="709"/>
        <w:rPr>
          <w:iCs/>
          <w:sz w:val="28"/>
          <w:szCs w:val="28"/>
        </w:rPr>
      </w:pPr>
      <w:r w:rsidRPr="00465D9B">
        <w:rPr>
          <w:iCs/>
          <w:sz w:val="28"/>
          <w:szCs w:val="28"/>
        </w:rPr>
        <w:t>- Thời gian tổ chức lựa chọn nhà thầu: 45 ngày;</w:t>
      </w:r>
    </w:p>
    <w:p w14:paraId="6395F09C" w14:textId="77777777" w:rsidR="00465D9B" w:rsidRPr="00465D9B" w:rsidRDefault="00465D9B" w:rsidP="00465D9B">
      <w:pPr>
        <w:widowControl w:val="0"/>
        <w:spacing w:after="120"/>
        <w:ind w:firstLine="709"/>
        <w:rPr>
          <w:iCs/>
          <w:sz w:val="28"/>
          <w:szCs w:val="28"/>
        </w:rPr>
      </w:pPr>
      <w:r w:rsidRPr="00465D9B">
        <w:rPr>
          <w:iCs/>
          <w:sz w:val="28"/>
          <w:szCs w:val="28"/>
        </w:rPr>
        <w:t>- Thời gian bắt đầu tổ chức lựa chọn nhà thầu: Quý I/2026;</w:t>
      </w:r>
    </w:p>
    <w:p w14:paraId="0A3C7FCB" w14:textId="77777777" w:rsidR="00465D9B" w:rsidRPr="00465D9B" w:rsidRDefault="00465D9B" w:rsidP="00465D9B">
      <w:pPr>
        <w:widowControl w:val="0"/>
        <w:spacing w:after="120"/>
        <w:ind w:firstLine="709"/>
        <w:rPr>
          <w:iCs/>
          <w:sz w:val="28"/>
          <w:szCs w:val="28"/>
        </w:rPr>
      </w:pPr>
      <w:r w:rsidRPr="00465D9B">
        <w:rPr>
          <w:iCs/>
          <w:sz w:val="28"/>
          <w:szCs w:val="28"/>
        </w:rPr>
        <w:t>- Loại hợp đồng: Trọn gói;</w:t>
      </w:r>
    </w:p>
    <w:p w14:paraId="4DFF5088" w14:textId="77777777" w:rsidR="00465D9B" w:rsidRPr="00465D9B" w:rsidRDefault="00465D9B" w:rsidP="00465D9B">
      <w:pPr>
        <w:widowControl w:val="0"/>
        <w:spacing w:after="120"/>
        <w:ind w:firstLine="709"/>
        <w:rPr>
          <w:iCs/>
          <w:sz w:val="28"/>
          <w:szCs w:val="28"/>
        </w:rPr>
      </w:pPr>
      <w:r w:rsidRPr="00465D9B">
        <w:rPr>
          <w:iCs/>
          <w:sz w:val="28"/>
          <w:szCs w:val="28"/>
        </w:rPr>
        <w:t>- Thời gian thực hiện gói thầu: 45 ngày;</w:t>
      </w:r>
      <w:bookmarkEnd w:id="0"/>
    </w:p>
    <w:p w14:paraId="56C15DAD" w14:textId="77777777" w:rsidR="00465D9B" w:rsidRPr="00465D9B" w:rsidRDefault="00465D9B" w:rsidP="00465D9B">
      <w:pPr>
        <w:widowControl w:val="0"/>
        <w:spacing w:after="120"/>
        <w:ind w:firstLine="709"/>
        <w:rPr>
          <w:iCs/>
          <w:sz w:val="28"/>
          <w:szCs w:val="28"/>
        </w:rPr>
      </w:pPr>
      <w:r w:rsidRPr="00465D9B">
        <w:rPr>
          <w:iCs/>
          <w:sz w:val="28"/>
          <w:szCs w:val="28"/>
        </w:rPr>
        <w:t>- Tùy chọn mua thêm: Không áp dụng.</w:t>
      </w:r>
    </w:p>
    <w:p w14:paraId="5333A1BE" w14:textId="77777777" w:rsidR="00465D9B" w:rsidRPr="00465D9B" w:rsidRDefault="00465D9B" w:rsidP="00465D9B">
      <w:pPr>
        <w:widowControl w:val="0"/>
        <w:spacing w:before="120" w:after="120" w:line="264" w:lineRule="auto"/>
        <w:ind w:firstLine="709"/>
        <w:rPr>
          <w:b/>
          <w:i/>
          <w:sz w:val="28"/>
          <w:szCs w:val="28"/>
        </w:rPr>
      </w:pPr>
      <w:r w:rsidRPr="00465D9B">
        <w:rPr>
          <w:b/>
          <w:i/>
          <w:sz w:val="28"/>
          <w:szCs w:val="28"/>
        </w:rPr>
        <w:t>1.2. Yêu cầu về kỹ thuật</w:t>
      </w:r>
    </w:p>
    <w:p w14:paraId="7ED0E570" w14:textId="77777777" w:rsidR="00465D9B" w:rsidRPr="00465D9B" w:rsidRDefault="00465D9B" w:rsidP="00465D9B">
      <w:pPr>
        <w:ind w:firstLine="709"/>
        <w:rPr>
          <w:b/>
          <w:color w:val="000000" w:themeColor="text1"/>
          <w:sz w:val="28"/>
          <w:szCs w:val="28"/>
          <w:lang w:val="nl-NL"/>
        </w:rPr>
        <w:sectPr w:rsidR="00465D9B" w:rsidRPr="00465D9B" w:rsidSect="00465D9B">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76"/>
        <w:gridCol w:w="751"/>
        <w:gridCol w:w="856"/>
        <w:gridCol w:w="4025"/>
        <w:gridCol w:w="751"/>
        <w:gridCol w:w="1061"/>
        <w:gridCol w:w="673"/>
        <w:gridCol w:w="813"/>
        <w:gridCol w:w="1633"/>
        <w:gridCol w:w="751"/>
        <w:gridCol w:w="856"/>
        <w:gridCol w:w="1029"/>
      </w:tblGrid>
      <w:tr w:rsidR="00465D9B" w:rsidRPr="00465D9B" w14:paraId="200F0B2E" w14:textId="77777777" w:rsidTr="007B2C83">
        <w:trPr>
          <w:trHeight w:val="284"/>
          <w:tblHeader/>
          <w:jc w:val="center"/>
        </w:trPr>
        <w:tc>
          <w:tcPr>
            <w:tcW w:w="7564" w:type="dxa"/>
            <w:gridSpan w:val="5"/>
            <w:shd w:val="clear" w:color="000000" w:fill="FFFFFF"/>
            <w:vAlign w:val="center"/>
          </w:tcPr>
          <w:p w14:paraId="2EFEFDB6" w14:textId="77777777" w:rsidR="00465D9B" w:rsidRPr="00465D9B" w:rsidRDefault="00465D9B" w:rsidP="007B2C83">
            <w:pPr>
              <w:jc w:val="center"/>
              <w:rPr>
                <w:b/>
                <w:bCs/>
                <w:sz w:val="28"/>
                <w:szCs w:val="28"/>
                <w:lang w:val="it-IT"/>
              </w:rPr>
            </w:pPr>
            <w:r w:rsidRPr="00465D9B">
              <w:rPr>
                <w:b/>
                <w:bCs/>
                <w:iCs/>
                <w:sz w:val="28"/>
                <w:szCs w:val="28"/>
                <w:lang w:val="de-DE"/>
              </w:rPr>
              <w:lastRenderedPageBreak/>
              <w:t>Nội dung yêu cầu của HSMT</w:t>
            </w:r>
          </w:p>
        </w:tc>
        <w:tc>
          <w:tcPr>
            <w:tcW w:w="7457" w:type="dxa"/>
            <w:gridSpan w:val="8"/>
            <w:vAlign w:val="center"/>
          </w:tcPr>
          <w:p w14:paraId="07580B0F" w14:textId="77777777" w:rsidR="00465D9B" w:rsidRPr="00465D9B" w:rsidRDefault="00465D9B" w:rsidP="007B2C83">
            <w:pPr>
              <w:jc w:val="center"/>
              <w:rPr>
                <w:b/>
                <w:bCs/>
                <w:sz w:val="28"/>
                <w:szCs w:val="28"/>
                <w:lang w:val="it-IT"/>
              </w:rPr>
            </w:pPr>
            <w:r w:rsidRPr="00465D9B">
              <w:rPr>
                <w:b/>
                <w:bCs/>
                <w:sz w:val="28"/>
                <w:szCs w:val="28"/>
                <w:lang w:val="it-IT"/>
              </w:rPr>
              <w:t>Đáp ứng của HSDT</w:t>
            </w:r>
          </w:p>
          <w:p w14:paraId="57ACED0E" w14:textId="77777777" w:rsidR="00465D9B" w:rsidRPr="00465D9B" w:rsidRDefault="00465D9B" w:rsidP="007B2C83">
            <w:pPr>
              <w:jc w:val="center"/>
              <w:rPr>
                <w:b/>
                <w:bCs/>
                <w:sz w:val="28"/>
                <w:szCs w:val="28"/>
                <w:lang w:val="it-IT"/>
              </w:rPr>
            </w:pPr>
            <w:r w:rsidRPr="00465D9B">
              <w:rPr>
                <w:b/>
                <w:bCs/>
                <w:sz w:val="28"/>
                <w:szCs w:val="28"/>
                <w:lang w:val="it-IT"/>
              </w:rPr>
              <w:t>(Nhà thầu ghi rõ khả năng đáp ứng của hàng hóa chào thầu)</w:t>
            </w:r>
          </w:p>
        </w:tc>
      </w:tr>
      <w:tr w:rsidR="00465D9B" w:rsidRPr="00465D9B" w14:paraId="15BCF719" w14:textId="77777777" w:rsidTr="007B2C83">
        <w:trPr>
          <w:trHeight w:val="1564"/>
          <w:tblHeader/>
          <w:jc w:val="center"/>
        </w:trPr>
        <w:tc>
          <w:tcPr>
            <w:tcW w:w="0" w:type="auto"/>
            <w:tcBorders>
              <w:bottom w:val="single" w:sz="4" w:space="0" w:color="auto"/>
            </w:tcBorders>
            <w:shd w:val="clear" w:color="000000" w:fill="FFFFFF"/>
            <w:vAlign w:val="center"/>
          </w:tcPr>
          <w:p w14:paraId="7C2C960F" w14:textId="77777777" w:rsidR="00465D9B" w:rsidRPr="00465D9B" w:rsidRDefault="00465D9B" w:rsidP="007B2C83">
            <w:pPr>
              <w:jc w:val="center"/>
              <w:rPr>
                <w:b/>
                <w:bCs/>
                <w:sz w:val="28"/>
                <w:szCs w:val="28"/>
              </w:rPr>
            </w:pPr>
            <w:r w:rsidRPr="00465D9B">
              <w:rPr>
                <w:b/>
                <w:bCs/>
                <w:sz w:val="28"/>
                <w:szCs w:val="28"/>
              </w:rPr>
              <w:t>STT</w:t>
            </w:r>
          </w:p>
          <w:p w14:paraId="5585C00C" w14:textId="77777777" w:rsidR="00465D9B" w:rsidRPr="00465D9B" w:rsidRDefault="00465D9B" w:rsidP="007B2C83">
            <w:pPr>
              <w:spacing w:before="60" w:after="60"/>
              <w:ind w:left="-57" w:right="-57"/>
              <w:jc w:val="center"/>
              <w:rPr>
                <w:b/>
                <w:bCs/>
                <w:sz w:val="28"/>
                <w:szCs w:val="28"/>
              </w:rPr>
            </w:pPr>
          </w:p>
        </w:tc>
        <w:tc>
          <w:tcPr>
            <w:tcW w:w="0" w:type="auto"/>
            <w:tcBorders>
              <w:bottom w:val="single" w:sz="4" w:space="0" w:color="auto"/>
            </w:tcBorders>
            <w:vAlign w:val="center"/>
          </w:tcPr>
          <w:p w14:paraId="07257D48" w14:textId="77777777" w:rsidR="00465D9B" w:rsidRPr="00465D9B" w:rsidRDefault="00465D9B" w:rsidP="007B2C83">
            <w:pPr>
              <w:spacing w:before="60" w:after="60"/>
              <w:ind w:left="-57" w:right="-57"/>
              <w:jc w:val="center"/>
              <w:rPr>
                <w:b/>
                <w:bCs/>
                <w:sz w:val="28"/>
                <w:szCs w:val="28"/>
              </w:rPr>
            </w:pPr>
            <w:r w:rsidRPr="00465D9B">
              <w:rPr>
                <w:b/>
                <w:bCs/>
                <w:sz w:val="28"/>
                <w:szCs w:val="28"/>
              </w:rPr>
              <w:t>Tên hàng hóa</w:t>
            </w:r>
          </w:p>
        </w:tc>
        <w:tc>
          <w:tcPr>
            <w:tcW w:w="0" w:type="auto"/>
            <w:tcBorders>
              <w:bottom w:val="single" w:sz="4" w:space="0" w:color="auto"/>
            </w:tcBorders>
            <w:vAlign w:val="center"/>
          </w:tcPr>
          <w:p w14:paraId="4443DC5E" w14:textId="77777777" w:rsidR="00465D9B" w:rsidRPr="00465D9B" w:rsidRDefault="00465D9B" w:rsidP="007B2C83">
            <w:pPr>
              <w:spacing w:before="60" w:after="60"/>
              <w:ind w:left="-57" w:right="-57"/>
              <w:jc w:val="center"/>
              <w:rPr>
                <w:b/>
                <w:bCs/>
                <w:sz w:val="28"/>
                <w:szCs w:val="28"/>
              </w:rPr>
            </w:pPr>
            <w:r w:rsidRPr="00465D9B">
              <w:rPr>
                <w:b/>
                <w:bCs/>
                <w:sz w:val="28"/>
                <w:szCs w:val="28"/>
              </w:rPr>
              <w:t>ĐVT</w:t>
            </w:r>
          </w:p>
        </w:tc>
        <w:tc>
          <w:tcPr>
            <w:tcW w:w="0" w:type="auto"/>
            <w:tcBorders>
              <w:bottom w:val="single" w:sz="4" w:space="0" w:color="auto"/>
            </w:tcBorders>
            <w:vAlign w:val="center"/>
          </w:tcPr>
          <w:p w14:paraId="7A69D83D" w14:textId="77777777" w:rsidR="00465D9B" w:rsidRPr="00465D9B" w:rsidRDefault="00465D9B" w:rsidP="007B2C83">
            <w:pPr>
              <w:spacing w:before="60" w:after="60"/>
              <w:ind w:left="-57" w:right="-57"/>
              <w:jc w:val="center"/>
              <w:rPr>
                <w:b/>
                <w:bCs/>
                <w:sz w:val="28"/>
                <w:szCs w:val="28"/>
              </w:rPr>
            </w:pPr>
            <w:r w:rsidRPr="00465D9B">
              <w:rPr>
                <w:b/>
                <w:bCs/>
                <w:sz w:val="28"/>
                <w:szCs w:val="28"/>
              </w:rPr>
              <w:t>Số lượng</w:t>
            </w:r>
          </w:p>
        </w:tc>
        <w:tc>
          <w:tcPr>
            <w:tcW w:w="4327" w:type="dxa"/>
            <w:tcBorders>
              <w:bottom w:val="single" w:sz="4" w:space="0" w:color="auto"/>
            </w:tcBorders>
            <w:vAlign w:val="center"/>
          </w:tcPr>
          <w:p w14:paraId="4999910C" w14:textId="77777777" w:rsidR="00465D9B" w:rsidRPr="00465D9B" w:rsidRDefault="00465D9B" w:rsidP="007B2C83">
            <w:pPr>
              <w:spacing w:before="60" w:after="60"/>
              <w:ind w:left="-57" w:right="-57"/>
              <w:jc w:val="center"/>
              <w:rPr>
                <w:b/>
                <w:bCs/>
                <w:sz w:val="28"/>
                <w:szCs w:val="28"/>
              </w:rPr>
            </w:pPr>
            <w:r w:rsidRPr="00465D9B">
              <w:rPr>
                <w:b/>
                <w:bCs/>
                <w:sz w:val="28"/>
                <w:szCs w:val="28"/>
              </w:rPr>
              <w:t>Thông số kỹ thuật</w:t>
            </w:r>
          </w:p>
        </w:tc>
        <w:tc>
          <w:tcPr>
            <w:tcW w:w="715" w:type="dxa"/>
            <w:tcBorders>
              <w:bottom w:val="single" w:sz="4" w:space="0" w:color="auto"/>
            </w:tcBorders>
            <w:vAlign w:val="center"/>
          </w:tcPr>
          <w:p w14:paraId="235E60FD" w14:textId="77777777" w:rsidR="00465D9B" w:rsidRPr="00465D9B" w:rsidRDefault="00465D9B" w:rsidP="007B2C83">
            <w:pPr>
              <w:spacing w:before="60" w:after="60"/>
              <w:ind w:left="-57" w:right="-57"/>
              <w:jc w:val="center"/>
              <w:rPr>
                <w:b/>
                <w:bCs/>
                <w:sz w:val="28"/>
                <w:szCs w:val="28"/>
              </w:rPr>
            </w:pPr>
            <w:r w:rsidRPr="00465D9B">
              <w:rPr>
                <w:b/>
                <w:bCs/>
                <w:sz w:val="28"/>
                <w:szCs w:val="28"/>
              </w:rPr>
              <w:t>Tên hàng hóa dự thầu</w:t>
            </w:r>
          </w:p>
        </w:tc>
        <w:tc>
          <w:tcPr>
            <w:tcW w:w="1065" w:type="dxa"/>
            <w:tcBorders>
              <w:bottom w:val="single" w:sz="4" w:space="0" w:color="auto"/>
            </w:tcBorders>
            <w:vAlign w:val="center"/>
          </w:tcPr>
          <w:p w14:paraId="76BB8566" w14:textId="77777777" w:rsidR="00465D9B" w:rsidRPr="00465D9B" w:rsidRDefault="00465D9B" w:rsidP="007B2C83">
            <w:pPr>
              <w:spacing w:before="60" w:after="60"/>
              <w:ind w:left="-57" w:right="-57"/>
              <w:jc w:val="center"/>
              <w:rPr>
                <w:b/>
                <w:bCs/>
                <w:sz w:val="28"/>
                <w:szCs w:val="28"/>
              </w:rPr>
            </w:pPr>
            <w:r w:rsidRPr="00465D9B">
              <w:rPr>
                <w:b/>
                <w:bCs/>
                <w:sz w:val="28"/>
                <w:szCs w:val="28"/>
              </w:rPr>
              <w:t>Tên thương mại</w:t>
            </w:r>
          </w:p>
        </w:tc>
        <w:tc>
          <w:tcPr>
            <w:tcW w:w="0" w:type="auto"/>
            <w:tcBorders>
              <w:bottom w:val="single" w:sz="4" w:space="0" w:color="auto"/>
            </w:tcBorders>
            <w:vAlign w:val="center"/>
          </w:tcPr>
          <w:p w14:paraId="12F9A2CD" w14:textId="77777777" w:rsidR="00465D9B" w:rsidRPr="00465D9B" w:rsidRDefault="00465D9B" w:rsidP="007B2C83">
            <w:pPr>
              <w:spacing w:before="60" w:after="60"/>
              <w:ind w:left="-57" w:right="-57"/>
              <w:jc w:val="center"/>
              <w:rPr>
                <w:b/>
                <w:bCs/>
                <w:sz w:val="28"/>
                <w:szCs w:val="28"/>
              </w:rPr>
            </w:pPr>
            <w:r w:rsidRPr="00465D9B">
              <w:rPr>
                <w:b/>
                <w:bCs/>
                <w:sz w:val="28"/>
                <w:szCs w:val="28"/>
              </w:rPr>
              <w:t>Ký hiệu</w:t>
            </w:r>
          </w:p>
        </w:tc>
        <w:tc>
          <w:tcPr>
            <w:tcW w:w="0" w:type="auto"/>
            <w:tcBorders>
              <w:bottom w:val="single" w:sz="4" w:space="0" w:color="auto"/>
            </w:tcBorders>
            <w:vAlign w:val="center"/>
          </w:tcPr>
          <w:p w14:paraId="0DE758FC" w14:textId="77777777" w:rsidR="00465D9B" w:rsidRPr="00465D9B" w:rsidRDefault="00465D9B" w:rsidP="007B2C83">
            <w:pPr>
              <w:spacing w:before="60" w:after="60"/>
              <w:ind w:left="-57" w:right="-57"/>
              <w:jc w:val="center"/>
              <w:rPr>
                <w:b/>
                <w:bCs/>
                <w:sz w:val="28"/>
                <w:szCs w:val="28"/>
              </w:rPr>
            </w:pPr>
            <w:r w:rsidRPr="00465D9B">
              <w:rPr>
                <w:b/>
                <w:bCs/>
                <w:sz w:val="28"/>
                <w:szCs w:val="28"/>
              </w:rPr>
              <w:t>Hãng SX/ xuất xứ</w:t>
            </w:r>
          </w:p>
        </w:tc>
        <w:tc>
          <w:tcPr>
            <w:tcW w:w="1723" w:type="dxa"/>
            <w:tcBorders>
              <w:bottom w:val="single" w:sz="4" w:space="0" w:color="auto"/>
            </w:tcBorders>
            <w:vAlign w:val="center"/>
          </w:tcPr>
          <w:p w14:paraId="7F4D6C19" w14:textId="77777777" w:rsidR="00465D9B" w:rsidRPr="00465D9B" w:rsidRDefault="00465D9B" w:rsidP="007B2C83">
            <w:pPr>
              <w:spacing w:before="60" w:after="60"/>
              <w:ind w:left="-57" w:right="-57"/>
              <w:jc w:val="center"/>
              <w:rPr>
                <w:b/>
                <w:bCs/>
                <w:sz w:val="28"/>
                <w:szCs w:val="28"/>
              </w:rPr>
            </w:pPr>
            <w:r w:rsidRPr="00465D9B">
              <w:rPr>
                <w:b/>
                <w:bCs/>
                <w:sz w:val="28"/>
                <w:szCs w:val="28"/>
              </w:rPr>
              <w:t>Liệt kê tài liệu về tính hợp lệ của hàng hóa</w:t>
            </w:r>
          </w:p>
        </w:tc>
        <w:tc>
          <w:tcPr>
            <w:tcW w:w="0" w:type="auto"/>
            <w:tcBorders>
              <w:bottom w:val="single" w:sz="4" w:space="0" w:color="auto"/>
            </w:tcBorders>
            <w:vAlign w:val="center"/>
          </w:tcPr>
          <w:p w14:paraId="5838EFE5" w14:textId="77777777" w:rsidR="00465D9B" w:rsidRPr="00465D9B" w:rsidRDefault="00465D9B" w:rsidP="007B2C83">
            <w:pPr>
              <w:spacing w:before="60" w:after="60"/>
              <w:ind w:left="-57" w:right="-57"/>
              <w:jc w:val="center"/>
              <w:rPr>
                <w:b/>
                <w:bCs/>
                <w:sz w:val="28"/>
                <w:szCs w:val="28"/>
              </w:rPr>
            </w:pPr>
            <w:r w:rsidRPr="00465D9B">
              <w:rPr>
                <w:b/>
                <w:bCs/>
                <w:sz w:val="28"/>
                <w:szCs w:val="28"/>
              </w:rPr>
              <w:t>ĐVT</w:t>
            </w:r>
          </w:p>
        </w:tc>
        <w:tc>
          <w:tcPr>
            <w:tcW w:w="0" w:type="auto"/>
            <w:tcBorders>
              <w:bottom w:val="single" w:sz="4" w:space="0" w:color="auto"/>
            </w:tcBorders>
            <w:vAlign w:val="center"/>
          </w:tcPr>
          <w:p w14:paraId="1B5804ED" w14:textId="77777777" w:rsidR="00465D9B" w:rsidRPr="00465D9B" w:rsidRDefault="00465D9B" w:rsidP="007B2C83">
            <w:pPr>
              <w:spacing w:before="60" w:after="60"/>
              <w:ind w:left="-57" w:right="-57"/>
              <w:jc w:val="center"/>
              <w:rPr>
                <w:b/>
                <w:bCs/>
                <w:sz w:val="28"/>
                <w:szCs w:val="28"/>
              </w:rPr>
            </w:pPr>
            <w:r w:rsidRPr="00465D9B">
              <w:rPr>
                <w:b/>
                <w:bCs/>
                <w:sz w:val="28"/>
                <w:szCs w:val="28"/>
              </w:rPr>
              <w:t>Số lượng</w:t>
            </w:r>
          </w:p>
        </w:tc>
        <w:tc>
          <w:tcPr>
            <w:tcW w:w="1038" w:type="dxa"/>
            <w:tcBorders>
              <w:bottom w:val="single" w:sz="4" w:space="0" w:color="auto"/>
            </w:tcBorders>
            <w:vAlign w:val="center"/>
          </w:tcPr>
          <w:p w14:paraId="1AC1BEAF" w14:textId="77777777" w:rsidR="00465D9B" w:rsidRPr="00465D9B" w:rsidRDefault="00465D9B" w:rsidP="007B2C83">
            <w:pPr>
              <w:spacing w:before="60" w:after="60"/>
              <w:ind w:left="-57" w:right="-57"/>
              <w:jc w:val="center"/>
              <w:rPr>
                <w:b/>
                <w:bCs/>
                <w:sz w:val="28"/>
                <w:szCs w:val="28"/>
              </w:rPr>
            </w:pPr>
            <w:r w:rsidRPr="00465D9B">
              <w:rPr>
                <w:b/>
                <w:bCs/>
                <w:sz w:val="28"/>
                <w:szCs w:val="28"/>
              </w:rPr>
              <w:t>Thông số kỹ thuật</w:t>
            </w:r>
          </w:p>
        </w:tc>
      </w:tr>
      <w:tr w:rsidR="00465D9B" w:rsidRPr="00465D9B" w14:paraId="4C5BB885" w14:textId="77777777" w:rsidTr="007B2C83">
        <w:trPr>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14:paraId="0D60446A" w14:textId="77777777" w:rsidR="00465D9B" w:rsidRPr="00465D9B" w:rsidRDefault="00465D9B" w:rsidP="007B2C83">
            <w:pPr>
              <w:jc w:val="center"/>
              <w:rPr>
                <w:sz w:val="28"/>
                <w:szCs w:val="28"/>
              </w:rPr>
            </w:pPr>
            <w:r w:rsidRPr="00465D9B">
              <w:rPr>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tcPr>
          <w:p w14:paraId="412D512D" w14:textId="77777777" w:rsidR="00465D9B" w:rsidRPr="00465D9B" w:rsidRDefault="00465D9B" w:rsidP="007B2C83">
            <w:pPr>
              <w:spacing w:before="60" w:after="60"/>
              <w:jc w:val="center"/>
              <w:rPr>
                <w:sz w:val="28"/>
                <w:szCs w:val="28"/>
              </w:rPr>
            </w:pPr>
            <w:r w:rsidRPr="00465D9B">
              <w:rPr>
                <w:sz w:val="28"/>
                <w:szCs w:val="28"/>
              </w:rPr>
              <w:t>Giường cơ đa năng</w:t>
            </w:r>
          </w:p>
        </w:tc>
        <w:tc>
          <w:tcPr>
            <w:tcW w:w="0" w:type="auto"/>
            <w:tcBorders>
              <w:top w:val="single" w:sz="4" w:space="0" w:color="auto"/>
              <w:left w:val="single" w:sz="4" w:space="0" w:color="auto"/>
              <w:bottom w:val="single" w:sz="4" w:space="0" w:color="auto"/>
              <w:right w:val="single" w:sz="4" w:space="0" w:color="auto"/>
            </w:tcBorders>
            <w:vAlign w:val="center"/>
          </w:tcPr>
          <w:p w14:paraId="02900DCF" w14:textId="77777777" w:rsidR="00465D9B" w:rsidRPr="00465D9B" w:rsidRDefault="00465D9B" w:rsidP="007B2C83">
            <w:pPr>
              <w:spacing w:before="60" w:after="60"/>
              <w:ind w:left="-104" w:right="-108"/>
              <w:jc w:val="center"/>
              <w:rPr>
                <w:sz w:val="28"/>
                <w:szCs w:val="28"/>
              </w:rPr>
            </w:pPr>
            <w:r w:rsidRPr="00465D9B">
              <w:rPr>
                <w:sz w:val="28"/>
                <w:szCs w:val="28"/>
              </w:rPr>
              <w:t>Cái</w:t>
            </w:r>
          </w:p>
        </w:tc>
        <w:tc>
          <w:tcPr>
            <w:tcW w:w="0" w:type="auto"/>
            <w:tcBorders>
              <w:top w:val="single" w:sz="4" w:space="0" w:color="auto"/>
              <w:left w:val="single" w:sz="4" w:space="0" w:color="auto"/>
              <w:bottom w:val="single" w:sz="4" w:space="0" w:color="auto"/>
              <w:right w:val="single" w:sz="4" w:space="0" w:color="auto"/>
            </w:tcBorders>
            <w:vAlign w:val="center"/>
          </w:tcPr>
          <w:p w14:paraId="6B6E653C" w14:textId="77777777" w:rsidR="00465D9B" w:rsidRPr="00465D9B" w:rsidRDefault="00465D9B" w:rsidP="007B2C83">
            <w:pPr>
              <w:spacing w:before="60" w:after="60"/>
              <w:jc w:val="center"/>
              <w:rPr>
                <w:sz w:val="28"/>
                <w:szCs w:val="28"/>
              </w:rPr>
            </w:pPr>
            <w:r w:rsidRPr="00465D9B">
              <w:rPr>
                <w:sz w:val="28"/>
                <w:szCs w:val="28"/>
              </w:rPr>
              <w:t>66</w:t>
            </w:r>
          </w:p>
        </w:tc>
        <w:tc>
          <w:tcPr>
            <w:tcW w:w="4327" w:type="dxa"/>
            <w:tcBorders>
              <w:top w:val="single" w:sz="4" w:space="0" w:color="auto"/>
              <w:left w:val="single" w:sz="4" w:space="0" w:color="auto"/>
              <w:bottom w:val="single" w:sz="4" w:space="0" w:color="auto"/>
              <w:right w:val="single" w:sz="4" w:space="0" w:color="auto"/>
            </w:tcBorders>
            <w:vAlign w:val="center"/>
          </w:tcPr>
          <w:p w14:paraId="052EA0FE" w14:textId="77777777" w:rsidR="00465D9B" w:rsidRPr="00465D9B" w:rsidRDefault="00465D9B" w:rsidP="007B2C83">
            <w:pPr>
              <w:spacing w:line="276" w:lineRule="auto"/>
              <w:contextualSpacing/>
              <w:rPr>
                <w:rFonts w:eastAsia="Calibri"/>
                <w:b/>
                <w:bCs/>
                <w:sz w:val="28"/>
                <w:szCs w:val="28"/>
                <w:shd w:val="clear" w:color="auto" w:fill="FFFFFF"/>
              </w:rPr>
            </w:pPr>
            <w:r w:rsidRPr="00465D9B">
              <w:rPr>
                <w:rFonts w:eastAsia="Calibri"/>
                <w:b/>
                <w:bCs/>
                <w:sz w:val="28"/>
                <w:szCs w:val="28"/>
                <w:shd w:val="clear" w:color="auto" w:fill="FFFFFF"/>
              </w:rPr>
              <w:t>Cấu hình cung cấp:</w:t>
            </w:r>
          </w:p>
          <w:p w14:paraId="68E2F3EE"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Giường có tay quay điều khiển: 01 bộ</w:t>
            </w:r>
          </w:p>
          <w:p w14:paraId="65B4F27C"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Tấm đầu giường và cuối giường có thể tháo rời: 01 bộ</w:t>
            </w:r>
          </w:p>
          <w:p w14:paraId="69C77701"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Bộ 2 thành chắn bên có thể nâng hạ: 01 bộ</w:t>
            </w:r>
          </w:p>
          <w:p w14:paraId="242D5A26"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Bánh xe có khóa: 01 bộ (04 cái/bộ)</w:t>
            </w:r>
          </w:p>
          <w:p w14:paraId="7AE83626"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Nệm giường chống thấm : 01 cái</w:t>
            </w:r>
          </w:p>
          <w:p w14:paraId="3972418C"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Cọc truyền dịch: 02 cái</w:t>
            </w:r>
          </w:p>
          <w:p w14:paraId="6F496781" w14:textId="77777777" w:rsidR="00465D9B" w:rsidRPr="00465D9B" w:rsidRDefault="00465D9B" w:rsidP="007B2C83">
            <w:pPr>
              <w:spacing w:before="10" w:after="10"/>
              <w:rPr>
                <w:b/>
                <w:sz w:val="28"/>
                <w:szCs w:val="28"/>
              </w:rPr>
            </w:pPr>
            <w:r w:rsidRPr="00465D9B">
              <w:rPr>
                <w:rFonts w:eastAsia="Calibri"/>
                <w:sz w:val="28"/>
                <w:szCs w:val="28"/>
                <w:shd w:val="clear" w:color="auto" w:fill="FFFFFF"/>
              </w:rPr>
              <w:t>- Tài liệu hướng dẫn sử dụng tiếng Việt: 02 bộ</w:t>
            </w:r>
          </w:p>
          <w:p w14:paraId="6E14C349" w14:textId="77777777" w:rsidR="00465D9B" w:rsidRPr="00465D9B" w:rsidRDefault="00465D9B" w:rsidP="007B2C83">
            <w:pPr>
              <w:spacing w:before="10" w:after="10"/>
              <w:rPr>
                <w:b/>
                <w:sz w:val="28"/>
                <w:szCs w:val="28"/>
              </w:rPr>
            </w:pPr>
            <w:r w:rsidRPr="00465D9B">
              <w:rPr>
                <w:b/>
                <w:sz w:val="28"/>
                <w:szCs w:val="28"/>
              </w:rPr>
              <w:t>Cấu hình kỹ thuật:</w:t>
            </w:r>
          </w:p>
          <w:p w14:paraId="2D94B870"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rPr>
              <w:t>- Chất liệu: Khung giường làm bằng thép hộp sơn tĩnh điện chống rỉ sét ăn mòn.</w:t>
            </w:r>
          </w:p>
          <w:p w14:paraId="3D747056" w14:textId="1DF92CF0"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lastRenderedPageBreak/>
              <w:t>- Giường có chức năng nâng lưng, nâng gối, điều chỉnh bằng tay quay</w:t>
            </w:r>
            <w:r w:rsidR="009B740E">
              <w:rPr>
                <w:rFonts w:eastAsia="Calibri"/>
                <w:sz w:val="28"/>
                <w:szCs w:val="28"/>
                <w:shd w:val="clear" w:color="auto" w:fill="FFFFFF"/>
              </w:rPr>
              <w:t>.</w:t>
            </w:r>
          </w:p>
          <w:p w14:paraId="3706704E"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Điều chỉnh phần đỡ lưng và đỡ gối bằng tay quay độc lập, có thể xếp gọn khi không sử dụng.</w:t>
            </w:r>
          </w:p>
          <w:p w14:paraId="0D0F2ABE" w14:textId="09ADBCB9" w:rsidR="00465D9B" w:rsidRPr="00465D9B" w:rsidRDefault="00465D9B" w:rsidP="007B2C83">
            <w:pPr>
              <w:spacing w:line="276" w:lineRule="auto"/>
              <w:contextualSpacing/>
              <w:rPr>
                <w:rFonts w:eastAsia="Calibri"/>
                <w:color w:val="FF0000"/>
                <w:sz w:val="28"/>
                <w:szCs w:val="28"/>
                <w:shd w:val="clear" w:color="auto" w:fill="FFFFFF"/>
              </w:rPr>
            </w:pPr>
            <w:r w:rsidRPr="00465D9B">
              <w:rPr>
                <w:rFonts w:eastAsia="Calibri"/>
                <w:sz w:val="28"/>
                <w:szCs w:val="28"/>
                <w:shd w:val="clear" w:color="auto" w:fill="FFFFFF"/>
              </w:rPr>
              <w:t>- Tổng chiều dài (mm): từ 2000 đến 2200 mm</w:t>
            </w:r>
            <w:r w:rsidR="009B740E">
              <w:rPr>
                <w:rFonts w:eastAsia="Calibri"/>
                <w:sz w:val="28"/>
                <w:szCs w:val="28"/>
                <w:shd w:val="clear" w:color="auto" w:fill="FFFFFF"/>
              </w:rPr>
              <w:t>.</w:t>
            </w:r>
          </w:p>
          <w:p w14:paraId="19E77CAA" w14:textId="77777777" w:rsidR="00465D9B" w:rsidRPr="00465D9B" w:rsidRDefault="00465D9B" w:rsidP="007B2C83">
            <w:pPr>
              <w:spacing w:line="276" w:lineRule="auto"/>
              <w:contextualSpacing/>
              <w:rPr>
                <w:rFonts w:eastAsia="Calibri"/>
                <w:color w:val="FF0000"/>
                <w:sz w:val="28"/>
                <w:szCs w:val="28"/>
                <w:shd w:val="clear" w:color="auto" w:fill="FFFFFF"/>
              </w:rPr>
            </w:pPr>
            <w:r w:rsidRPr="00465D9B">
              <w:rPr>
                <w:rFonts w:eastAsia="Calibri"/>
                <w:sz w:val="28"/>
                <w:szCs w:val="28"/>
                <w:shd w:val="clear" w:color="auto" w:fill="FFFFFF"/>
              </w:rPr>
              <w:t>- Tổng chiều rộng khi có thành chắn (mm): từ 800 đến 1000 mm</w:t>
            </w:r>
          </w:p>
          <w:p w14:paraId="60A63DBA" w14:textId="77777777" w:rsid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Tổng chiều cao từ sàn đến mặt giường (mm): 300 đến 700 mm</w:t>
            </w:r>
          </w:p>
          <w:p w14:paraId="3979F830" w14:textId="7B3DB74B" w:rsidR="00C20D64" w:rsidRPr="00465D9B" w:rsidRDefault="00C20D64" w:rsidP="007B2C83">
            <w:pPr>
              <w:spacing w:line="276" w:lineRule="auto"/>
              <w:contextualSpacing/>
              <w:rPr>
                <w:rFonts w:eastAsia="Calibri"/>
                <w:sz w:val="28"/>
                <w:szCs w:val="28"/>
                <w:shd w:val="clear" w:color="auto" w:fill="FFFFFF"/>
              </w:rPr>
            </w:pPr>
            <w:r>
              <w:rPr>
                <w:rFonts w:eastAsia="Calibri"/>
                <w:sz w:val="28"/>
                <w:szCs w:val="28"/>
                <w:shd w:val="clear" w:color="auto" w:fill="FFFFFF"/>
              </w:rPr>
              <w:t>- Nệm giường định hình phù hợp với các chức năng giường, bọc chống thấm và dày ≥ 8cm</w:t>
            </w:r>
            <w:r w:rsidR="009B740E">
              <w:rPr>
                <w:rFonts w:eastAsia="Calibri"/>
                <w:sz w:val="28"/>
                <w:szCs w:val="28"/>
                <w:shd w:val="clear" w:color="auto" w:fill="FFFFFF"/>
              </w:rPr>
              <w:t>.</w:t>
            </w:r>
          </w:p>
          <w:p w14:paraId="649AFCB5"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Tải trọng an toàn: ≥ 150 kg</w:t>
            </w:r>
          </w:p>
          <w:p w14:paraId="28DD9A6D" w14:textId="77777777" w:rsidR="00465D9B" w:rsidRPr="00465D9B" w:rsidRDefault="00465D9B" w:rsidP="007B2C83">
            <w:pPr>
              <w:spacing w:line="276" w:lineRule="auto"/>
              <w:contextualSpacing/>
              <w:rPr>
                <w:rFonts w:eastAsia="Calibri"/>
                <w:sz w:val="28"/>
                <w:szCs w:val="28"/>
                <w:shd w:val="clear" w:color="auto" w:fill="FFFFFF"/>
              </w:rPr>
            </w:pPr>
            <w:r w:rsidRPr="00465D9B">
              <w:rPr>
                <w:rFonts w:eastAsia="Calibri"/>
                <w:sz w:val="28"/>
                <w:szCs w:val="28"/>
                <w:shd w:val="clear" w:color="auto" w:fill="FFFFFF"/>
              </w:rPr>
              <w:t>- Góc nâng lưng: từ 0</w:t>
            </w:r>
            <w:r w:rsidRPr="00465D9B">
              <w:rPr>
                <w:rFonts w:eastAsia="Calibri"/>
                <w:sz w:val="28"/>
                <w:szCs w:val="28"/>
                <w:shd w:val="clear" w:color="auto" w:fill="FFFFFF"/>
                <w:vertAlign w:val="superscript"/>
              </w:rPr>
              <w:t>0</w:t>
            </w:r>
            <w:r w:rsidRPr="00465D9B">
              <w:rPr>
                <w:rFonts w:eastAsia="Calibri"/>
                <w:sz w:val="28"/>
                <w:szCs w:val="28"/>
                <w:shd w:val="clear" w:color="auto" w:fill="FFFFFF"/>
              </w:rPr>
              <w:t xml:space="preserve"> đến ≥ 70</w:t>
            </w:r>
            <w:r w:rsidRPr="00465D9B">
              <w:rPr>
                <w:rFonts w:eastAsia="Calibri"/>
                <w:sz w:val="28"/>
                <w:szCs w:val="28"/>
                <w:shd w:val="clear" w:color="auto" w:fill="FFFFFF"/>
                <w:vertAlign w:val="superscript"/>
              </w:rPr>
              <w:t>0</w:t>
            </w:r>
          </w:p>
          <w:p w14:paraId="587A05F0" w14:textId="77777777" w:rsidR="00465D9B" w:rsidRPr="00465D9B" w:rsidRDefault="00465D9B" w:rsidP="007B2C83">
            <w:pPr>
              <w:spacing w:line="276" w:lineRule="auto"/>
              <w:contextualSpacing/>
              <w:rPr>
                <w:rFonts w:eastAsia="Calibri"/>
                <w:sz w:val="28"/>
                <w:szCs w:val="28"/>
                <w:shd w:val="clear" w:color="auto" w:fill="FFFFFF"/>
                <w:vertAlign w:val="superscript"/>
              </w:rPr>
            </w:pPr>
            <w:r w:rsidRPr="00465D9B">
              <w:rPr>
                <w:rFonts w:eastAsia="Calibri"/>
                <w:sz w:val="28"/>
                <w:szCs w:val="28"/>
                <w:shd w:val="clear" w:color="auto" w:fill="FFFFFF"/>
              </w:rPr>
              <w:lastRenderedPageBreak/>
              <w:t>- Góc nâng gối: 0</w:t>
            </w:r>
            <w:r w:rsidRPr="00465D9B">
              <w:rPr>
                <w:rFonts w:eastAsia="Calibri"/>
                <w:sz w:val="28"/>
                <w:szCs w:val="28"/>
                <w:shd w:val="clear" w:color="auto" w:fill="FFFFFF"/>
                <w:vertAlign w:val="superscript"/>
              </w:rPr>
              <w:t>0</w:t>
            </w:r>
            <w:r w:rsidRPr="00465D9B">
              <w:rPr>
                <w:rFonts w:eastAsia="Calibri"/>
                <w:sz w:val="28"/>
                <w:szCs w:val="28"/>
                <w:shd w:val="clear" w:color="auto" w:fill="FFFFFF"/>
              </w:rPr>
              <w:t xml:space="preserve"> đến ≥ 25</w:t>
            </w:r>
            <w:r w:rsidRPr="00465D9B">
              <w:rPr>
                <w:rFonts w:eastAsia="Calibri"/>
                <w:sz w:val="28"/>
                <w:szCs w:val="28"/>
                <w:shd w:val="clear" w:color="auto" w:fill="FFFFFF"/>
                <w:vertAlign w:val="superscript"/>
              </w:rPr>
              <w:t>0</w:t>
            </w:r>
          </w:p>
          <w:p w14:paraId="5C42A6D2" w14:textId="77777777" w:rsidR="00465D9B" w:rsidRPr="00465D9B" w:rsidRDefault="00465D9B" w:rsidP="007B2C83">
            <w:pPr>
              <w:jc w:val="left"/>
              <w:rPr>
                <w:sz w:val="28"/>
                <w:szCs w:val="28"/>
              </w:rPr>
            </w:pPr>
            <w:r w:rsidRPr="00465D9B">
              <w:rPr>
                <w:rFonts w:eastAsia="Calibri"/>
                <w:sz w:val="28"/>
                <w:szCs w:val="28"/>
                <w:shd w:val="clear" w:color="auto" w:fill="FFFFFF"/>
              </w:rPr>
              <w:t>- Bánh xe có phanh hãm.</w:t>
            </w:r>
          </w:p>
        </w:tc>
        <w:tc>
          <w:tcPr>
            <w:tcW w:w="715" w:type="dxa"/>
            <w:tcBorders>
              <w:top w:val="single" w:sz="4" w:space="0" w:color="auto"/>
              <w:left w:val="single" w:sz="4" w:space="0" w:color="auto"/>
              <w:bottom w:val="single" w:sz="4" w:space="0" w:color="auto"/>
              <w:right w:val="single" w:sz="4" w:space="0" w:color="auto"/>
            </w:tcBorders>
            <w:vAlign w:val="center"/>
          </w:tcPr>
          <w:p w14:paraId="0406AFF1" w14:textId="77777777" w:rsidR="00465D9B" w:rsidRPr="00465D9B" w:rsidRDefault="00465D9B" w:rsidP="007B2C83">
            <w:pPr>
              <w:jc w:val="center"/>
              <w:rPr>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14:paraId="0F986860" w14:textId="77777777" w:rsidR="00465D9B" w:rsidRPr="00465D9B" w:rsidRDefault="00465D9B" w:rsidP="007B2C83">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64E8EAB6" w14:textId="77777777" w:rsidR="00465D9B" w:rsidRPr="00465D9B" w:rsidRDefault="00465D9B" w:rsidP="007B2C83">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6813F07" w14:textId="77777777" w:rsidR="00465D9B" w:rsidRPr="00465D9B" w:rsidRDefault="00465D9B" w:rsidP="007B2C83">
            <w:pPr>
              <w:jc w:val="center"/>
              <w:rPr>
                <w:sz w:val="28"/>
                <w:szCs w:val="28"/>
              </w:rPr>
            </w:pPr>
          </w:p>
        </w:tc>
        <w:tc>
          <w:tcPr>
            <w:tcW w:w="1723" w:type="dxa"/>
            <w:tcBorders>
              <w:top w:val="single" w:sz="4" w:space="0" w:color="auto"/>
              <w:left w:val="single" w:sz="4" w:space="0" w:color="auto"/>
              <w:bottom w:val="single" w:sz="4" w:space="0" w:color="auto"/>
              <w:right w:val="single" w:sz="4" w:space="0" w:color="auto"/>
            </w:tcBorders>
            <w:vAlign w:val="center"/>
          </w:tcPr>
          <w:p w14:paraId="375BD380" w14:textId="77777777" w:rsidR="00465D9B" w:rsidRPr="00465D9B" w:rsidRDefault="00465D9B" w:rsidP="007B2C83">
            <w:pPr>
              <w:spacing w:before="60" w:after="60"/>
              <w:ind w:right="-57"/>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8CD94D0" w14:textId="77777777" w:rsidR="00465D9B" w:rsidRPr="00465D9B" w:rsidRDefault="00465D9B" w:rsidP="007B2C83">
            <w:pPr>
              <w:spacing w:before="60" w:after="60"/>
              <w:ind w:left="-104" w:right="-108"/>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61D2DC0F" w14:textId="77777777" w:rsidR="00465D9B" w:rsidRPr="00465D9B" w:rsidRDefault="00465D9B" w:rsidP="007B2C83">
            <w:pPr>
              <w:spacing w:before="60" w:after="60"/>
              <w:jc w:val="center"/>
              <w:rPr>
                <w:sz w:val="28"/>
                <w:szCs w:val="28"/>
              </w:rPr>
            </w:pPr>
          </w:p>
        </w:tc>
        <w:tc>
          <w:tcPr>
            <w:tcW w:w="1038" w:type="dxa"/>
            <w:tcBorders>
              <w:top w:val="single" w:sz="4" w:space="0" w:color="auto"/>
              <w:left w:val="single" w:sz="4" w:space="0" w:color="auto"/>
              <w:bottom w:val="single" w:sz="4" w:space="0" w:color="auto"/>
              <w:right w:val="single" w:sz="4" w:space="0" w:color="auto"/>
            </w:tcBorders>
            <w:vAlign w:val="center"/>
          </w:tcPr>
          <w:p w14:paraId="715105E3" w14:textId="77777777" w:rsidR="00465D9B" w:rsidRPr="00465D9B" w:rsidRDefault="00465D9B" w:rsidP="007B2C83">
            <w:pPr>
              <w:spacing w:before="120"/>
              <w:jc w:val="center"/>
              <w:rPr>
                <w:iCs/>
                <w:sz w:val="28"/>
                <w:szCs w:val="28"/>
              </w:rPr>
            </w:pPr>
          </w:p>
        </w:tc>
      </w:tr>
    </w:tbl>
    <w:p w14:paraId="75C2A53F" w14:textId="77777777" w:rsidR="00465D9B" w:rsidRPr="00465D9B" w:rsidRDefault="00465D9B" w:rsidP="00465D9B">
      <w:pPr>
        <w:ind w:firstLine="709"/>
        <w:rPr>
          <w:b/>
          <w:color w:val="000000" w:themeColor="text1"/>
          <w:sz w:val="28"/>
          <w:szCs w:val="28"/>
          <w:lang w:val="nl-NL"/>
        </w:rPr>
        <w:sectPr w:rsidR="00465D9B" w:rsidRPr="00465D9B" w:rsidSect="00465D9B">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474A6769" w14:textId="77777777" w:rsidR="00465D9B" w:rsidRPr="00465D9B" w:rsidRDefault="00465D9B" w:rsidP="00465D9B">
      <w:pPr>
        <w:spacing w:before="120" w:after="120" w:line="264" w:lineRule="auto"/>
        <w:ind w:firstLine="709"/>
        <w:rPr>
          <w:bCs/>
          <w:iCs/>
          <w:sz w:val="28"/>
          <w:szCs w:val="28"/>
        </w:rPr>
      </w:pPr>
      <w:r w:rsidRPr="00465D9B">
        <w:rPr>
          <w:b/>
          <w:i/>
          <w:sz w:val="28"/>
          <w:szCs w:val="28"/>
        </w:rPr>
        <w:lastRenderedPageBreak/>
        <w:t xml:space="preserve">1.3. Các yêu cầu khác: </w:t>
      </w:r>
    </w:p>
    <w:p w14:paraId="0C6DF500" w14:textId="77777777" w:rsidR="00465D9B" w:rsidRPr="00465D9B" w:rsidRDefault="00465D9B" w:rsidP="00465D9B">
      <w:pPr>
        <w:pStyle w:val="SectionVIHeader"/>
        <w:spacing w:before="0" w:after="120"/>
        <w:ind w:firstLine="709"/>
        <w:jc w:val="left"/>
        <w:rPr>
          <w:b w:val="0"/>
          <w:sz w:val="28"/>
          <w:szCs w:val="28"/>
          <w:lang w:val="nl-NL"/>
        </w:rPr>
      </w:pPr>
      <w:r w:rsidRPr="00465D9B">
        <w:rPr>
          <w:b w:val="0"/>
          <w:sz w:val="28"/>
          <w:szCs w:val="28"/>
          <w:lang w:val="nl-NL"/>
        </w:rPr>
        <w:t>- Nhà thầu phải nộp các tài liệu (bản Scan):</w:t>
      </w:r>
    </w:p>
    <w:p w14:paraId="715CA9E8" w14:textId="77777777" w:rsidR="00465D9B" w:rsidRPr="00465D9B" w:rsidRDefault="00465D9B" w:rsidP="00465D9B">
      <w:pPr>
        <w:pStyle w:val="SectionVIHeader"/>
        <w:spacing w:before="0" w:after="120"/>
        <w:ind w:firstLine="709"/>
        <w:jc w:val="both"/>
        <w:rPr>
          <w:b w:val="0"/>
          <w:sz w:val="28"/>
          <w:szCs w:val="28"/>
          <w:lang w:val="nl-NL"/>
        </w:rPr>
      </w:pPr>
      <w:r w:rsidRPr="00465D9B">
        <w:rPr>
          <w:b w:val="0"/>
          <w:sz w:val="28"/>
          <w:szCs w:val="28"/>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0AEF303B" w14:textId="77777777" w:rsidR="00465D9B" w:rsidRPr="00465D9B" w:rsidRDefault="00465D9B" w:rsidP="00465D9B">
      <w:pPr>
        <w:pStyle w:val="SectionVIHeader"/>
        <w:spacing w:before="0" w:after="120"/>
        <w:ind w:firstLine="709"/>
        <w:jc w:val="both"/>
        <w:rPr>
          <w:b w:val="0"/>
          <w:sz w:val="28"/>
          <w:szCs w:val="28"/>
          <w:lang w:val="nl-NL"/>
        </w:rPr>
      </w:pPr>
      <w:r w:rsidRPr="00465D9B">
        <w:rPr>
          <w:b w:val="0"/>
          <w:sz w:val="28"/>
          <w:szCs w:val="28"/>
          <w:lang w:val="nl-NL"/>
        </w:rPr>
        <w:t>+ Tài liệu chứng minh tính hợp lệ của hàng hóa theo quy định tại Mục E-CDNT 10.8, Chương II. Bảng dữ liệu đấu thầu/E-HSMT.</w:t>
      </w:r>
    </w:p>
    <w:p w14:paraId="151A0028" w14:textId="77777777" w:rsidR="00465D9B" w:rsidRPr="00465D9B" w:rsidRDefault="00465D9B" w:rsidP="00465D9B">
      <w:pPr>
        <w:spacing w:before="120" w:after="120" w:line="264" w:lineRule="auto"/>
        <w:ind w:right="-1" w:firstLine="709"/>
        <w:rPr>
          <w:sz w:val="28"/>
          <w:szCs w:val="28"/>
          <w:lang w:val="vi-VN"/>
        </w:rPr>
      </w:pPr>
      <w:r w:rsidRPr="00465D9B">
        <w:rPr>
          <w:sz w:val="28"/>
          <w:szCs w:val="28"/>
          <w:lang w:val="nl-NL"/>
        </w:rPr>
        <w:t>-</w:t>
      </w:r>
      <w:r w:rsidRPr="00465D9B">
        <w:rPr>
          <w:color w:val="FF0000"/>
          <w:sz w:val="28"/>
          <w:szCs w:val="28"/>
          <w:lang w:val="nl-NL"/>
        </w:rPr>
        <w:t xml:space="preserve"> </w:t>
      </w:r>
      <w:r w:rsidRPr="00465D9B">
        <w:rPr>
          <w:sz w:val="28"/>
          <w:szCs w:val="28"/>
          <w:lang w:val="vi-VN"/>
        </w:rPr>
        <w:t xml:space="preserve">Dịch vụ liên quan là dịch vụ trọn gói đã bao gồm tất cả các chi phí đảm bảo hàng hóa thiết bị được cung cấp, lắp đặt, chạy thử, vận hành, hướng dẫn sử dụng đạt yêu cầu nghiệm thu đưa vào sử dụng. </w:t>
      </w:r>
    </w:p>
    <w:p w14:paraId="2184C544" w14:textId="77777777" w:rsidR="00465D9B" w:rsidRPr="00465D9B" w:rsidRDefault="00465D9B" w:rsidP="00465D9B">
      <w:pPr>
        <w:spacing w:before="120" w:after="120" w:line="264" w:lineRule="auto"/>
        <w:ind w:right="-1" w:firstLine="709"/>
        <w:rPr>
          <w:sz w:val="28"/>
          <w:szCs w:val="28"/>
        </w:rPr>
      </w:pPr>
      <w:r w:rsidRPr="00465D9B">
        <w:rPr>
          <w:sz w:val="28"/>
          <w:szCs w:val="28"/>
          <w:lang w:val="vi-VN"/>
        </w:rPr>
        <w:t xml:space="preserve">- </w:t>
      </w:r>
      <w:r w:rsidRPr="00465D9B">
        <w:rPr>
          <w:sz w:val="28"/>
          <w:szCs w:val="28"/>
        </w:rPr>
        <w:t>Nhà thầu cam kết: Cung cấp hàng hóa mới 100%, sản xuất từ năm 2025 trở về sau; thời gian bảo hành hàng hóa: ≥ 12 tháng và thực hiện chế độ bảo trì định kỳ tối thiểu mỗi 6 tháng một lần trong thời gian bảo hành.</w:t>
      </w:r>
    </w:p>
    <w:p w14:paraId="7D908729" w14:textId="77777777" w:rsidR="00465D9B" w:rsidRPr="00465D9B" w:rsidRDefault="00465D9B" w:rsidP="00465D9B">
      <w:pPr>
        <w:pStyle w:val="SectionVIHeader"/>
        <w:spacing w:after="120" w:line="264" w:lineRule="auto"/>
        <w:ind w:firstLine="709"/>
        <w:jc w:val="left"/>
        <w:rPr>
          <w:sz w:val="28"/>
          <w:szCs w:val="28"/>
        </w:rPr>
      </w:pPr>
      <w:r w:rsidRPr="00465D9B">
        <w:rPr>
          <w:sz w:val="28"/>
          <w:szCs w:val="28"/>
        </w:rPr>
        <w:t>Mục 2. Bản vẽ</w:t>
      </w:r>
    </w:p>
    <w:p w14:paraId="2C9E1859" w14:textId="77777777" w:rsidR="00465D9B" w:rsidRPr="00465D9B" w:rsidRDefault="00465D9B" w:rsidP="00465D9B">
      <w:pPr>
        <w:pStyle w:val="SectionVIHeader"/>
        <w:spacing w:after="120" w:line="264" w:lineRule="auto"/>
        <w:ind w:firstLine="709"/>
        <w:jc w:val="left"/>
        <w:rPr>
          <w:b w:val="0"/>
          <w:bCs/>
          <w:sz w:val="28"/>
          <w:szCs w:val="28"/>
        </w:rPr>
      </w:pPr>
      <w:r w:rsidRPr="00465D9B">
        <w:rPr>
          <w:b w:val="0"/>
          <w:bCs/>
          <w:sz w:val="28"/>
          <w:szCs w:val="28"/>
        </w:rPr>
        <w:t>Không có bản vẽ</w:t>
      </w:r>
    </w:p>
    <w:p w14:paraId="4818C9E6" w14:textId="77777777" w:rsidR="00465D9B" w:rsidRPr="00465D9B" w:rsidRDefault="00465D9B" w:rsidP="00465D9B">
      <w:pPr>
        <w:pStyle w:val="SectionVIHeader"/>
        <w:widowControl w:val="0"/>
        <w:spacing w:after="120" w:line="264" w:lineRule="auto"/>
        <w:ind w:firstLine="709"/>
        <w:jc w:val="left"/>
        <w:rPr>
          <w:sz w:val="28"/>
          <w:szCs w:val="28"/>
        </w:rPr>
      </w:pPr>
      <w:r w:rsidRPr="00465D9B">
        <w:rPr>
          <w:sz w:val="28"/>
          <w:szCs w:val="28"/>
        </w:rPr>
        <w:t>Mục 3. Kiểm tra và thử nghiệm</w:t>
      </w:r>
    </w:p>
    <w:p w14:paraId="7A0665E7" w14:textId="77777777" w:rsidR="00465D9B" w:rsidRPr="00465D9B" w:rsidRDefault="00465D9B" w:rsidP="00465D9B">
      <w:pPr>
        <w:pStyle w:val="SectionVIHeader"/>
        <w:widowControl w:val="0"/>
        <w:spacing w:before="0" w:after="120"/>
        <w:ind w:firstLine="709"/>
        <w:jc w:val="left"/>
        <w:rPr>
          <w:b w:val="0"/>
          <w:sz w:val="28"/>
          <w:szCs w:val="28"/>
        </w:rPr>
      </w:pPr>
      <w:r w:rsidRPr="00465D9B">
        <w:rPr>
          <w:b w:val="0"/>
          <w:sz w:val="28"/>
          <w:szCs w:val="28"/>
        </w:rPr>
        <w:t>Các kiểm tra và thử nghiệm cần tiến hành gồm có: Quan sát, đối chiếu trực tiếp.</w:t>
      </w:r>
    </w:p>
    <w:p w14:paraId="62803797" w14:textId="77777777" w:rsidR="00465D9B" w:rsidRPr="00465D9B" w:rsidRDefault="00465D9B" w:rsidP="00465D9B">
      <w:pPr>
        <w:spacing w:after="200" w:line="276" w:lineRule="auto"/>
        <w:ind w:firstLine="709"/>
        <w:jc w:val="left"/>
        <w:rPr>
          <w:i/>
          <w:iCs/>
          <w:sz w:val="28"/>
          <w:szCs w:val="28"/>
        </w:rPr>
      </w:pPr>
    </w:p>
    <w:p w14:paraId="6BE1929D" w14:textId="77777777" w:rsidR="00465D9B" w:rsidRPr="00465D9B" w:rsidRDefault="00465D9B" w:rsidP="00465D9B">
      <w:pPr>
        <w:spacing w:after="200" w:line="276" w:lineRule="auto"/>
        <w:ind w:firstLine="709"/>
        <w:jc w:val="left"/>
        <w:rPr>
          <w:i/>
          <w:iCs/>
          <w:sz w:val="28"/>
          <w:szCs w:val="28"/>
        </w:rPr>
      </w:pPr>
    </w:p>
    <w:p w14:paraId="35BD7CCF" w14:textId="77777777" w:rsidR="00F16A75" w:rsidRPr="00465D9B" w:rsidRDefault="00F16A75">
      <w:pPr>
        <w:rPr>
          <w:sz w:val="28"/>
          <w:szCs w:val="28"/>
        </w:rPr>
      </w:pPr>
    </w:p>
    <w:sectPr w:rsidR="00F16A75" w:rsidRPr="00465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9B"/>
    <w:rsid w:val="00065AA9"/>
    <w:rsid w:val="000B3717"/>
    <w:rsid w:val="00465D9B"/>
    <w:rsid w:val="004D4E79"/>
    <w:rsid w:val="00946AE8"/>
    <w:rsid w:val="009B740E"/>
    <w:rsid w:val="00C20D64"/>
    <w:rsid w:val="00F16A75"/>
    <w:rsid w:val="00F7191B"/>
    <w:rsid w:val="00F7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542E"/>
  <w15:chartTrackingRefBased/>
  <w15:docId w15:val="{B64B6C68-73E8-4510-A97D-F9ACEF38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9B"/>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465D9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65D9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65D9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65D9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465D9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465D9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465D9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465D9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465D9B"/>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9B"/>
    <w:rPr>
      <w:rFonts w:eastAsiaTheme="majorEastAsia" w:cstheme="majorBidi"/>
      <w:color w:val="272727" w:themeColor="text1" w:themeTint="D8"/>
    </w:rPr>
  </w:style>
  <w:style w:type="paragraph" w:styleId="Title">
    <w:name w:val="Title"/>
    <w:basedOn w:val="Normal"/>
    <w:next w:val="Normal"/>
    <w:link w:val="TitleChar"/>
    <w:uiPriority w:val="10"/>
    <w:qFormat/>
    <w:rsid w:val="00465D9B"/>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65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65D9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465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9B"/>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465D9B"/>
    <w:rPr>
      <w:i/>
      <w:iCs/>
      <w:color w:val="404040" w:themeColor="text1" w:themeTint="BF"/>
    </w:rPr>
  </w:style>
  <w:style w:type="paragraph" w:styleId="ListParagraph">
    <w:name w:val="List Paragraph"/>
    <w:basedOn w:val="Normal"/>
    <w:uiPriority w:val="34"/>
    <w:qFormat/>
    <w:rsid w:val="00465D9B"/>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465D9B"/>
    <w:rPr>
      <w:i/>
      <w:iCs/>
      <w:color w:val="2F5496" w:themeColor="accent1" w:themeShade="BF"/>
    </w:rPr>
  </w:style>
  <w:style w:type="paragraph" w:styleId="IntenseQuote">
    <w:name w:val="Intense Quote"/>
    <w:basedOn w:val="Normal"/>
    <w:next w:val="Normal"/>
    <w:link w:val="IntenseQuoteChar"/>
    <w:uiPriority w:val="30"/>
    <w:qFormat/>
    <w:rsid w:val="00465D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465D9B"/>
    <w:rPr>
      <w:i/>
      <w:iCs/>
      <w:color w:val="2F5496" w:themeColor="accent1" w:themeShade="BF"/>
    </w:rPr>
  </w:style>
  <w:style w:type="character" w:styleId="IntenseReference">
    <w:name w:val="Intense Reference"/>
    <w:basedOn w:val="DefaultParagraphFont"/>
    <w:uiPriority w:val="32"/>
    <w:qFormat/>
    <w:rsid w:val="00465D9B"/>
    <w:rPr>
      <w:b/>
      <w:bCs/>
      <w:smallCaps/>
      <w:color w:val="2F5496" w:themeColor="accent1" w:themeShade="BF"/>
      <w:spacing w:val="5"/>
    </w:rPr>
  </w:style>
  <w:style w:type="paragraph" w:customStyle="1" w:styleId="SectionVIHeader">
    <w:name w:val="Section VI. Header"/>
    <w:basedOn w:val="Normal"/>
    <w:rsid w:val="00465D9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2</cp:revision>
  <dcterms:created xsi:type="dcterms:W3CDTF">2026-01-21T07:21:00Z</dcterms:created>
  <dcterms:modified xsi:type="dcterms:W3CDTF">2026-01-22T01:21:00Z</dcterms:modified>
</cp:coreProperties>
</file>