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4B" w:rsidRPr="00A407BF" w:rsidRDefault="004E414B" w:rsidP="004E414B">
      <w:pPr>
        <w:pStyle w:val="01"/>
        <w:outlineLvl w:val="0"/>
      </w:pPr>
      <w:r w:rsidRPr="00A407BF">
        <w:t>Chương III. TIÊU CHUẨN ĐÁNH GIÁ E-HSDT</w:t>
      </w:r>
    </w:p>
    <w:p w:rsidR="004E414B" w:rsidRPr="00A407BF" w:rsidRDefault="004E414B" w:rsidP="004E414B">
      <w:pPr>
        <w:spacing w:before="60" w:after="60"/>
        <w:ind w:firstLine="567"/>
        <w:rPr>
          <w:b/>
          <w:bCs/>
          <w:noProof/>
          <w:sz w:val="28"/>
          <w:szCs w:val="28"/>
          <w:lang w:val="vi-VN"/>
        </w:rPr>
      </w:pPr>
    </w:p>
    <w:p w:rsidR="004E414B" w:rsidRPr="00A407BF" w:rsidRDefault="004E414B" w:rsidP="004E414B">
      <w:pPr>
        <w:spacing w:before="120" w:after="120"/>
        <w:ind w:firstLine="709"/>
        <w:outlineLvl w:val="1"/>
        <w:rPr>
          <w:b/>
          <w:sz w:val="28"/>
          <w:szCs w:val="28"/>
          <w:lang w:val="vi-VN"/>
        </w:rPr>
      </w:pPr>
      <w:r w:rsidRPr="00A407BF">
        <w:rPr>
          <w:b/>
          <w:sz w:val="28"/>
          <w:szCs w:val="28"/>
          <w:lang w:val="vi-VN"/>
        </w:rPr>
        <w:t>Mục 1. Đánh giá tính hợp lệ của E-HSDT</w:t>
      </w:r>
    </w:p>
    <w:p w:rsidR="004E414B" w:rsidRPr="00A407BF" w:rsidRDefault="004E414B" w:rsidP="004E414B">
      <w:pPr>
        <w:spacing w:before="120" w:after="120"/>
        <w:ind w:firstLine="709"/>
        <w:rPr>
          <w:sz w:val="28"/>
          <w:szCs w:val="28"/>
          <w:lang w:val="vi-VN"/>
        </w:rPr>
      </w:pPr>
      <w:r w:rsidRPr="00A407BF">
        <w:rPr>
          <w:sz w:val="28"/>
          <w:szCs w:val="28"/>
          <w:lang w:val="vi-VN"/>
        </w:rPr>
        <w:t>E-HSDT của nhà thầu được đánh giá là hợp lệ khi đáp ứng đầy đủ các nội dung sau đây:</w:t>
      </w:r>
    </w:p>
    <w:p w:rsidR="004E414B" w:rsidRPr="00A407BF" w:rsidRDefault="004E414B" w:rsidP="004E414B">
      <w:pPr>
        <w:widowControl w:val="0"/>
        <w:spacing w:before="120" w:after="120" w:line="264" w:lineRule="auto"/>
        <w:ind w:firstLine="709"/>
        <w:rPr>
          <w:sz w:val="28"/>
          <w:szCs w:val="28"/>
          <w:lang w:val="vi-VN"/>
        </w:rPr>
      </w:pPr>
      <w:r w:rsidRPr="00A407BF">
        <w:rPr>
          <w:spacing w:val="2"/>
          <w:sz w:val="28"/>
          <w:szCs w:val="28"/>
          <w:lang w:val="vi-VN"/>
        </w:rPr>
        <w:t xml:space="preserve">1. </w:t>
      </w:r>
      <w:r w:rsidRPr="00A407BF">
        <w:rPr>
          <w:sz w:val="28"/>
          <w:szCs w:val="28"/>
          <w:lang w:val="vi-VN"/>
        </w:rPr>
        <w:t>Có bảo đảm dự thầu</w:t>
      </w:r>
      <w:r w:rsidRPr="00A407BF">
        <w:rPr>
          <w:rStyle w:val="FootnoteReference"/>
          <w:sz w:val="28"/>
          <w:szCs w:val="28"/>
          <w:lang w:val="es-ES"/>
        </w:rPr>
        <w:footnoteReference w:id="1"/>
      </w:r>
      <w:r w:rsidRPr="00A407BF">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4E414B" w:rsidRPr="00A407BF" w:rsidRDefault="004E414B" w:rsidP="004E414B">
      <w:pPr>
        <w:widowControl w:val="0"/>
        <w:spacing w:before="120" w:after="120" w:line="264" w:lineRule="auto"/>
        <w:ind w:firstLine="709"/>
        <w:rPr>
          <w:strike/>
          <w:sz w:val="28"/>
          <w:szCs w:val="28"/>
          <w:lang w:val="vi-VN"/>
        </w:rPr>
      </w:pPr>
      <w:r w:rsidRPr="00A407BF">
        <w:rPr>
          <w:sz w:val="28"/>
          <w:szCs w:val="28"/>
          <w:lang w:val="vi-VN"/>
        </w:rPr>
        <w:t xml:space="preserve">Đối với gói thầu có giá trị bảo đảm dự thầu </w:t>
      </w:r>
      <w:r w:rsidRPr="00A407BF">
        <w:rPr>
          <w:sz w:val="28"/>
          <w:szCs w:val="28"/>
          <w:lang w:val="pl-PL"/>
        </w:rPr>
        <w:t>nhỏ hơn 5</w:t>
      </w:r>
      <w:r w:rsidRPr="00A407BF">
        <w:rPr>
          <w:sz w:val="28"/>
          <w:szCs w:val="28"/>
          <w:lang w:val="vi-VN"/>
        </w:rPr>
        <w:t>0 triệu đồng, nhà thầu có cam kết trong đơn dự thầu theo quy định tại Mục 18.8 E-CDNT.</w:t>
      </w:r>
    </w:p>
    <w:p w:rsidR="004E414B" w:rsidRPr="00A407BF" w:rsidRDefault="004E414B" w:rsidP="004E414B">
      <w:pPr>
        <w:spacing w:before="120" w:after="120"/>
        <w:ind w:firstLine="709"/>
        <w:rPr>
          <w:sz w:val="28"/>
          <w:szCs w:val="28"/>
          <w:lang w:val="sv-SE"/>
        </w:rPr>
      </w:pPr>
      <w:r w:rsidRPr="00A407BF">
        <w:rPr>
          <w:sz w:val="28"/>
          <w:szCs w:val="28"/>
          <w:lang w:val="vi-VN"/>
        </w:rPr>
        <w:t xml:space="preserve">2. </w:t>
      </w:r>
      <w:r w:rsidRPr="00A407BF">
        <w:rPr>
          <w:sz w:val="28"/>
          <w:szCs w:val="28"/>
          <w:lang w:val="pl-PL"/>
        </w:rPr>
        <w:t xml:space="preserve">Trường hợp nhà thầu liên danh thì </w:t>
      </w:r>
      <w:r w:rsidRPr="00A407BF">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A407BF">
        <w:rPr>
          <w:sz w:val="28"/>
          <w:szCs w:val="28"/>
          <w:lang w:val="sv-SE"/>
        </w:rPr>
        <w:t xml:space="preserve">IV. </w:t>
      </w:r>
      <w:r w:rsidRPr="00A407BF">
        <w:rPr>
          <w:sz w:val="28"/>
          <w:szCs w:val="28"/>
          <w:lang w:val="vi-VN"/>
        </w:rPr>
        <w:t>Việc phân chia công việc trong liên danh phải căn cứ các hạng mục nêu trong bảng giá dự thầu</w:t>
      </w:r>
      <w:r w:rsidRPr="00A407BF">
        <w:rPr>
          <w:sz w:val="28"/>
          <w:szCs w:val="28"/>
          <w:lang w:val="sv-SE"/>
        </w:rPr>
        <w:t xml:space="preserve"> theo Mẫu số 11 (</w:t>
      </w:r>
      <w:r w:rsidRPr="00A407BF">
        <w:rPr>
          <w:spacing w:val="-2"/>
          <w:sz w:val="28"/>
          <w:szCs w:val="28"/>
          <w:lang w:val="sv-SE"/>
        </w:rPr>
        <w:t>11A hoặc 11B hoặc 11C hoặc 11D hoặc 1</w:t>
      </w:r>
      <w:r w:rsidRPr="00A407BF">
        <w:rPr>
          <w:spacing w:val="-2"/>
          <w:sz w:val="28"/>
          <w:szCs w:val="28"/>
          <w:lang w:val="vi-VN"/>
        </w:rPr>
        <w:t>1</w:t>
      </w:r>
      <w:r w:rsidRPr="00A407BF">
        <w:rPr>
          <w:spacing w:val="-2"/>
          <w:sz w:val="28"/>
          <w:szCs w:val="28"/>
          <w:lang w:val="sv-SE"/>
        </w:rPr>
        <w:t xml:space="preserve">E hoặc 11G) </w:t>
      </w:r>
      <w:r w:rsidRPr="00A407BF">
        <w:rPr>
          <w:sz w:val="28"/>
          <w:szCs w:val="28"/>
          <w:lang w:val="sv-SE"/>
        </w:rPr>
        <w:t>Chương IV</w:t>
      </w:r>
      <w:r w:rsidRPr="00A407BF">
        <w:rPr>
          <w:sz w:val="28"/>
          <w:szCs w:val="28"/>
          <w:lang w:val="vi-VN"/>
        </w:rPr>
        <w:t xml:space="preserve"> hoặc theo các công việc thuộc quá trình sản xuất hạng mục trong bảng giá dự thầu, không được phân chia các công việc không thuộc các hạng mục này</w:t>
      </w:r>
      <w:r w:rsidRPr="00A407BF">
        <w:rPr>
          <w:sz w:val="28"/>
          <w:szCs w:val="28"/>
          <w:lang w:val="sv-SE"/>
        </w:rPr>
        <w:t xml:space="preserve"> </w:t>
      </w:r>
      <w:r w:rsidRPr="00A407BF">
        <w:rPr>
          <w:sz w:val="28"/>
          <w:szCs w:val="28"/>
          <w:lang w:val="vi-VN"/>
        </w:rPr>
        <w:t xml:space="preserve">hoặc không thuộc quá trình sản xuất các hạng mục này. </w:t>
      </w:r>
    </w:p>
    <w:p w:rsidR="004E414B" w:rsidRPr="00A407BF" w:rsidRDefault="004E414B" w:rsidP="004E414B">
      <w:pPr>
        <w:spacing w:before="120" w:after="120"/>
        <w:ind w:firstLine="709"/>
        <w:rPr>
          <w:sz w:val="28"/>
          <w:szCs w:val="28"/>
          <w:lang w:val="sv-SE"/>
        </w:rPr>
      </w:pPr>
      <w:r w:rsidRPr="00A407BF">
        <w:rPr>
          <w:sz w:val="28"/>
          <w:szCs w:val="28"/>
          <w:lang w:val="sv-SE"/>
        </w:rPr>
        <w:t>3. Nhà thầu bảo đảm tư cách hợp lệ theo quy định tại Mục 5 E-CDNT.</w:t>
      </w:r>
    </w:p>
    <w:p w:rsidR="004E414B" w:rsidRPr="00A407BF" w:rsidRDefault="004E414B" w:rsidP="004E414B">
      <w:pPr>
        <w:spacing w:before="120" w:after="120"/>
        <w:ind w:firstLine="709"/>
        <w:rPr>
          <w:sz w:val="28"/>
          <w:szCs w:val="28"/>
          <w:lang w:val="sv-SE"/>
        </w:rPr>
      </w:pPr>
      <w:r w:rsidRPr="00A407BF">
        <w:rPr>
          <w:sz w:val="28"/>
          <w:szCs w:val="28"/>
          <w:lang w:val="sv-SE"/>
        </w:rPr>
        <w:t xml:space="preserve">4. </w:t>
      </w:r>
      <w:r w:rsidRPr="00A407BF">
        <w:rPr>
          <w:sz w:val="28"/>
          <w:szCs w:val="28"/>
          <w:lang w:val="vi-VN"/>
        </w:rPr>
        <w:t>Không trong trạng thái bị tạm ngừng, chấm dứt tham gia Hệ thống.</w:t>
      </w:r>
    </w:p>
    <w:p w:rsidR="004E414B" w:rsidRPr="00A407BF" w:rsidRDefault="004E414B" w:rsidP="004E414B">
      <w:pPr>
        <w:spacing w:before="120" w:after="120"/>
        <w:ind w:firstLine="709"/>
        <w:rPr>
          <w:sz w:val="28"/>
          <w:szCs w:val="28"/>
          <w:lang w:val="sv-SE"/>
        </w:rPr>
      </w:pPr>
      <w:r w:rsidRPr="00A407BF">
        <w:rPr>
          <w:sz w:val="28"/>
          <w:szCs w:val="28"/>
          <w:lang w:val="sv-SE"/>
        </w:rPr>
        <w:lastRenderedPageBreak/>
        <w:t>5</w:t>
      </w:r>
      <w:r w:rsidRPr="00A407BF">
        <w:rPr>
          <w:sz w:val="28"/>
          <w:szCs w:val="28"/>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A407BF">
        <w:rPr>
          <w:sz w:val="28"/>
          <w:szCs w:val="28"/>
          <w:lang w:val="sv-SE"/>
        </w:rPr>
        <w:t>T</w:t>
      </w:r>
      <w:r w:rsidRPr="00A407BF">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A407BF">
        <w:rPr>
          <w:sz w:val="28"/>
          <w:szCs w:val="28"/>
          <w:lang w:val="sv-SE"/>
        </w:rPr>
        <w:t xml:space="preserve"> </w:t>
      </w:r>
    </w:p>
    <w:p w:rsidR="004E414B" w:rsidRPr="00A407BF" w:rsidRDefault="004E414B" w:rsidP="004E414B">
      <w:pPr>
        <w:spacing w:before="120" w:after="120"/>
        <w:ind w:firstLine="709"/>
        <w:rPr>
          <w:sz w:val="28"/>
          <w:szCs w:val="28"/>
          <w:lang w:val="sv-SE"/>
        </w:rPr>
      </w:pPr>
      <w:r w:rsidRPr="00A407BF">
        <w:rPr>
          <w:sz w:val="28"/>
          <w:szCs w:val="28"/>
          <w:lang w:val="sv-SE"/>
        </w:rPr>
        <w:t>Nhà thầu có E-HSDT hợp lệ được xem xét, đánh giá trong bước tiếp theo.</w:t>
      </w:r>
    </w:p>
    <w:p w:rsidR="004E414B" w:rsidRPr="00A407BF" w:rsidRDefault="004E414B" w:rsidP="004E414B">
      <w:pPr>
        <w:spacing w:before="120" w:after="120"/>
        <w:ind w:firstLine="709"/>
        <w:outlineLvl w:val="1"/>
        <w:rPr>
          <w:b/>
          <w:sz w:val="28"/>
          <w:szCs w:val="28"/>
          <w:lang w:val="sv-SE"/>
        </w:rPr>
      </w:pPr>
      <w:r w:rsidRPr="00A407BF">
        <w:rPr>
          <w:b/>
          <w:sz w:val="28"/>
          <w:szCs w:val="28"/>
          <w:lang w:val="sv-SE"/>
        </w:rPr>
        <w:t>Mục 2. Tiêu chuẩn đánh giá về năng lực và kinh nghiệm</w:t>
      </w:r>
    </w:p>
    <w:p w:rsidR="004E414B" w:rsidRPr="00A407BF" w:rsidRDefault="004E414B" w:rsidP="004E414B">
      <w:pPr>
        <w:pStyle w:val="Style11"/>
        <w:tabs>
          <w:tab w:val="left" w:leader="dot" w:pos="8424"/>
        </w:tabs>
        <w:spacing w:before="120" w:after="120" w:line="240" w:lineRule="auto"/>
        <w:ind w:firstLine="709"/>
        <w:jc w:val="both"/>
        <w:outlineLvl w:val="2"/>
        <w:rPr>
          <w:b/>
          <w:sz w:val="28"/>
          <w:szCs w:val="28"/>
          <w:lang w:val="sv-SE"/>
        </w:rPr>
      </w:pPr>
      <w:r w:rsidRPr="00A407BF">
        <w:rPr>
          <w:b/>
          <w:sz w:val="28"/>
          <w:szCs w:val="28"/>
          <w:lang w:val="sv-SE"/>
        </w:rPr>
        <w:t>2.1. Tiêu chuẩn đánh giá về năng lực và kinh nghiệm</w:t>
      </w:r>
    </w:p>
    <w:p w:rsidR="004E414B" w:rsidRDefault="004E414B" w:rsidP="004E414B">
      <w:pPr>
        <w:pStyle w:val="Style11"/>
        <w:tabs>
          <w:tab w:val="left" w:leader="dot" w:pos="8424"/>
        </w:tabs>
        <w:spacing w:before="120" w:after="120" w:line="276" w:lineRule="auto"/>
        <w:ind w:firstLine="709"/>
        <w:jc w:val="both"/>
        <w:outlineLvl w:val="2"/>
        <w:rPr>
          <w:sz w:val="26"/>
          <w:szCs w:val="26"/>
          <w:lang w:val="pl-PL"/>
        </w:rPr>
      </w:pPr>
      <w:r w:rsidRPr="00A407BF">
        <w:rPr>
          <w:sz w:val="28"/>
          <w:szCs w:val="28"/>
          <w:lang w:val="es-ES"/>
        </w:rPr>
        <w:t>Gói thầu không yêu cầu đánh giá về năng lực kinh nghiệm. Tuy nhiên, nhà thầu phải cam kết đáp ứng đủ năng lực kinh nghiệm để thực hiện gói thầu này.</w:t>
      </w:r>
      <w:r w:rsidRPr="00A407BF">
        <w:rPr>
          <w:sz w:val="26"/>
          <w:szCs w:val="26"/>
          <w:lang w:val="pl-PL"/>
        </w:rPr>
        <w:t xml:space="preserve"> </w:t>
      </w:r>
    </w:p>
    <w:p w:rsidR="004E414B" w:rsidRPr="00A407BF" w:rsidRDefault="004E414B" w:rsidP="004E414B">
      <w:pPr>
        <w:spacing w:before="120" w:after="120"/>
        <w:ind w:firstLine="709"/>
        <w:outlineLvl w:val="2"/>
        <w:rPr>
          <w:b/>
          <w:sz w:val="28"/>
          <w:szCs w:val="28"/>
          <w:lang w:val="pl-PL"/>
        </w:rPr>
      </w:pPr>
      <w:r w:rsidRPr="00A407BF">
        <w:rPr>
          <w:b/>
          <w:sz w:val="28"/>
          <w:szCs w:val="28"/>
          <w:lang w:val="pl-PL"/>
        </w:rPr>
        <w:t>2.2. Tiêu chuẩn đánh giá về nhân sự chủ chốt và thiết bị chủ yếu:</w:t>
      </w:r>
      <w:r>
        <w:rPr>
          <w:b/>
          <w:sz w:val="28"/>
          <w:szCs w:val="28"/>
          <w:lang w:val="pl-PL"/>
        </w:rPr>
        <w:t xml:space="preserve"> không yêu cầu</w:t>
      </w:r>
    </w:p>
    <w:p w:rsidR="004E414B" w:rsidRPr="00A407BF" w:rsidRDefault="004E414B" w:rsidP="004E414B">
      <w:pPr>
        <w:spacing w:before="120" w:after="120"/>
        <w:ind w:firstLine="709"/>
        <w:outlineLvl w:val="1"/>
        <w:rPr>
          <w:rFonts w:eastAsia="MS Mincho"/>
          <w:b/>
          <w:sz w:val="28"/>
          <w:szCs w:val="28"/>
          <w:lang w:eastAsia="vi-VN"/>
        </w:rPr>
      </w:pPr>
      <w:r w:rsidRPr="00A407BF">
        <w:rPr>
          <w:b/>
          <w:bCs/>
          <w:sz w:val="28"/>
          <w:szCs w:val="28"/>
          <w:lang w:val="vi-VN"/>
        </w:rPr>
        <w:t xml:space="preserve">Mục </w:t>
      </w:r>
      <w:r w:rsidRPr="00A407BF">
        <w:rPr>
          <w:b/>
          <w:bCs/>
          <w:sz w:val="28"/>
          <w:szCs w:val="28"/>
          <w:lang w:val="pl-PL"/>
        </w:rPr>
        <w:t>3</w:t>
      </w:r>
      <w:r w:rsidRPr="00A407BF">
        <w:rPr>
          <w:b/>
          <w:bCs/>
          <w:sz w:val="28"/>
          <w:szCs w:val="28"/>
          <w:lang w:val="vi-VN"/>
        </w:rPr>
        <w:t>. Tiêu chuẩn đánh giá về kỹ thuật</w:t>
      </w:r>
      <w:r w:rsidRPr="00A407BF">
        <w:rPr>
          <w:rFonts w:eastAsia="MS Mincho"/>
          <w:b/>
          <w:sz w:val="28"/>
          <w:szCs w:val="28"/>
          <w:lang w:val="vi-VN" w:eastAsia="vi-VN"/>
        </w:rPr>
        <w:t xml:space="preserve"> </w:t>
      </w:r>
    </w:p>
    <w:p w:rsidR="004E414B" w:rsidRPr="002A6703" w:rsidRDefault="004E414B" w:rsidP="004E414B">
      <w:pPr>
        <w:spacing w:before="120" w:after="120"/>
        <w:ind w:firstLine="567"/>
        <w:rPr>
          <w:sz w:val="28"/>
          <w:szCs w:val="28"/>
        </w:rPr>
      </w:pPr>
      <w:r w:rsidRPr="002A6703">
        <w:rPr>
          <w:iCs/>
          <w:sz w:val="28"/>
          <w:szCs w:val="28"/>
        </w:rPr>
        <w:t>Đánh giá theo phương pháp</w:t>
      </w:r>
      <w:r w:rsidRPr="002A6703" w:rsidDel="00BE4476">
        <w:rPr>
          <w:iCs/>
          <w:sz w:val="28"/>
          <w:szCs w:val="28"/>
        </w:rPr>
        <w:t xml:space="preserve"> </w:t>
      </w:r>
      <w:r w:rsidRPr="002A6703">
        <w:rPr>
          <w:iCs/>
          <w:sz w:val="28"/>
          <w:szCs w:val="28"/>
        </w:rPr>
        <w:t>đạt/không đạt</w:t>
      </w:r>
      <w:r w:rsidRPr="002A6703">
        <w:rPr>
          <w:sz w:val="28"/>
          <w:szCs w:val="28"/>
        </w:rPr>
        <w:t>:</w:t>
      </w:r>
    </w:p>
    <w:p w:rsidR="004E414B" w:rsidRPr="00A407BF" w:rsidRDefault="004E414B" w:rsidP="004E414B">
      <w:pPr>
        <w:spacing w:before="120" w:after="120"/>
        <w:rPr>
          <w:sz w:val="28"/>
          <w:szCs w:val="28"/>
        </w:rPr>
      </w:pPr>
    </w:p>
    <w:p w:rsidR="004E414B" w:rsidRPr="00A407BF" w:rsidRDefault="004E414B" w:rsidP="004E414B">
      <w:pPr>
        <w:spacing w:before="120" w:after="120"/>
        <w:ind w:firstLine="709"/>
        <w:outlineLvl w:val="1"/>
        <w:rPr>
          <w:b/>
          <w:sz w:val="28"/>
          <w:szCs w:val="28"/>
        </w:rPr>
      </w:pPr>
      <w:r w:rsidRPr="00A407BF">
        <w:rPr>
          <w:b/>
          <w:sz w:val="28"/>
          <w:szCs w:val="28"/>
        </w:rPr>
        <w:t>Mục 4.  Tiêu chuẩn đánh giá về tài chính</w:t>
      </w:r>
    </w:p>
    <w:p w:rsidR="004E414B" w:rsidRPr="00A407BF" w:rsidRDefault="004E414B" w:rsidP="004E414B">
      <w:pPr>
        <w:spacing w:before="120" w:after="120"/>
        <w:ind w:firstLine="709"/>
        <w:outlineLvl w:val="2"/>
        <w:rPr>
          <w:sz w:val="28"/>
          <w:szCs w:val="28"/>
        </w:rPr>
      </w:pPr>
      <w:r w:rsidRPr="00A407BF">
        <w:rPr>
          <w:b/>
          <w:sz w:val="28"/>
          <w:szCs w:val="28"/>
        </w:rPr>
        <w:t xml:space="preserve">Phương pháp giá thấp nhất: </w:t>
      </w:r>
      <w:r w:rsidRPr="00A407BF">
        <w:rPr>
          <w:sz w:val="28"/>
          <w:szCs w:val="28"/>
        </w:rPr>
        <w:t>Cách xác định giá thấp nhất theo các bước sau đây:</w:t>
      </w:r>
    </w:p>
    <w:p w:rsidR="004E414B" w:rsidRPr="00A407BF" w:rsidRDefault="004E414B" w:rsidP="004E414B">
      <w:pPr>
        <w:tabs>
          <w:tab w:val="left" w:pos="993"/>
        </w:tabs>
        <w:spacing w:before="120" w:after="120"/>
        <w:ind w:firstLine="709"/>
        <w:jc w:val="left"/>
        <w:rPr>
          <w:sz w:val="28"/>
          <w:szCs w:val="28"/>
        </w:rPr>
      </w:pPr>
      <w:r w:rsidRPr="00A407BF">
        <w:rPr>
          <w:sz w:val="28"/>
          <w:szCs w:val="28"/>
        </w:rPr>
        <w:t>Bước 1. Xác định giá dự thầu, trừ đi giá trị giảm giá (nếu có);</w:t>
      </w:r>
    </w:p>
    <w:p w:rsidR="004E414B" w:rsidRPr="00A407BF" w:rsidRDefault="004E414B" w:rsidP="004E414B">
      <w:pPr>
        <w:pStyle w:val="Sub-ClauseText"/>
        <w:tabs>
          <w:tab w:val="left" w:pos="993"/>
        </w:tabs>
        <w:ind w:firstLine="709"/>
        <w:rPr>
          <w:sz w:val="28"/>
          <w:szCs w:val="28"/>
        </w:rPr>
      </w:pPr>
      <w:r w:rsidRPr="00A407BF">
        <w:rPr>
          <w:sz w:val="28"/>
          <w:szCs w:val="28"/>
        </w:rPr>
        <w:t>Bước 2. Xác định ưu đãi (nếu có) theo quy định tại Mục 28 E-CDNT</w:t>
      </w:r>
    </w:p>
    <w:p w:rsidR="004E414B" w:rsidRPr="00A407BF" w:rsidRDefault="004E414B" w:rsidP="004E414B">
      <w:pPr>
        <w:widowControl w:val="0"/>
        <w:tabs>
          <w:tab w:val="left" w:pos="993"/>
        </w:tabs>
        <w:spacing w:before="120" w:after="120"/>
        <w:ind w:firstLine="709"/>
        <w:rPr>
          <w:b/>
          <w:sz w:val="28"/>
          <w:szCs w:val="28"/>
        </w:rPr>
      </w:pPr>
      <w:r w:rsidRPr="00A407BF">
        <w:rPr>
          <w:sz w:val="28"/>
          <w:szCs w:val="28"/>
        </w:rPr>
        <w:t>Bước 3. Xếp hạng nhà thầu: E-HSDT có giá dự thầu, trừ đi giá trị giảm giá (nếu có), sau ưu đãi (nếu có) thấp nhất được xếp hạng thứ nhất.</w:t>
      </w:r>
    </w:p>
    <w:p w:rsidR="004E414B" w:rsidRPr="00A407BF" w:rsidRDefault="004E414B" w:rsidP="004E414B">
      <w:pPr>
        <w:adjustRightInd w:val="0"/>
        <w:snapToGrid w:val="0"/>
        <w:spacing w:after="120"/>
        <w:rPr>
          <w:sz w:val="26"/>
          <w:szCs w:val="26"/>
          <w:lang w:val="es-ES"/>
        </w:rPr>
      </w:pPr>
      <w:r w:rsidRPr="00A407BF">
        <w:rPr>
          <w:b/>
          <w:bCs/>
          <w:sz w:val="26"/>
          <w:szCs w:val="26"/>
          <w:lang w:val="es-ES"/>
        </w:rPr>
        <w:t xml:space="preserve">           Mục 5. Trường hợp gói thầu chia thành nhiều phần độc lập:</w:t>
      </w:r>
    </w:p>
    <w:p w:rsidR="004E414B" w:rsidRPr="00A407BF" w:rsidRDefault="004E414B" w:rsidP="004E414B">
      <w:pPr>
        <w:autoSpaceDE w:val="0"/>
        <w:autoSpaceDN w:val="0"/>
        <w:adjustRightInd w:val="0"/>
        <w:spacing w:before="120"/>
        <w:ind w:firstLine="720"/>
        <w:outlineLvl w:val="1"/>
        <w:rPr>
          <w:b/>
          <w:bCs/>
          <w:lang w:val="es-ES"/>
        </w:rPr>
      </w:pPr>
      <w:bookmarkStart w:id="0" w:name="_GoBack"/>
      <w:bookmarkEnd w:id="0"/>
      <w:r w:rsidRPr="004E414B">
        <w:rPr>
          <w:spacing w:val="3"/>
          <w:sz w:val="28"/>
          <w:szCs w:val="28"/>
          <w:shd w:val="clear" w:color="auto" w:fill="FFFFFF"/>
          <w:lang w:val="es-ES"/>
        </w:rPr>
        <w:t xml:space="preserve">Gói thầu gồm 05 phần lô, mỗi phần lô có các hạng mục tương ứng. Nhà thầu tham gia đầy đủ các hạng mục của một hoặc tất cả các phần lô trong gói thầu mà nhà thầu có khả năng cung cấp. Chủ đầu tư đánh giá </w:t>
      </w:r>
      <w:r w:rsidRPr="004E414B">
        <w:rPr>
          <w:sz w:val="28"/>
          <w:szCs w:val="28"/>
          <w:lang w:val="es-ES"/>
        </w:rPr>
        <w:t>E-HSDT</w:t>
      </w:r>
      <w:r w:rsidRPr="004E414B">
        <w:rPr>
          <w:spacing w:val="3"/>
          <w:sz w:val="28"/>
          <w:szCs w:val="28"/>
          <w:shd w:val="clear" w:color="auto" w:fill="FFFFFF"/>
          <w:lang w:val="es-ES"/>
        </w:rPr>
        <w:t xml:space="preserve"> theo từng phần lô mà nhà thầu tham dự, giá trị bảo đảm dự thầu là tổng giá trị bảo đảm dự thầu của từng phần lô mà nhà thầu tham dự.</w:t>
      </w:r>
    </w:p>
    <w:p w:rsidR="004E414B" w:rsidRPr="00A407BF" w:rsidRDefault="004E414B" w:rsidP="004E414B">
      <w:pPr>
        <w:spacing w:after="200" w:line="276" w:lineRule="auto"/>
        <w:jc w:val="left"/>
        <w:rPr>
          <w:b/>
          <w:bCs/>
          <w:sz w:val="28"/>
          <w:szCs w:val="28"/>
          <w:lang w:val="es-ES"/>
        </w:rPr>
      </w:pPr>
    </w:p>
    <w:p w:rsidR="004E414B" w:rsidRPr="00A407BF" w:rsidRDefault="004E414B" w:rsidP="004E414B">
      <w:pPr>
        <w:spacing w:after="200" w:line="276" w:lineRule="auto"/>
        <w:jc w:val="left"/>
        <w:rPr>
          <w:b/>
          <w:bCs/>
          <w:sz w:val="28"/>
          <w:szCs w:val="28"/>
          <w:lang w:val="es-ES"/>
        </w:rPr>
      </w:pPr>
    </w:p>
    <w:p w:rsidR="004E414B" w:rsidRPr="00A407BF" w:rsidRDefault="004E414B" w:rsidP="004E414B">
      <w:pPr>
        <w:spacing w:after="200" w:line="276" w:lineRule="auto"/>
        <w:jc w:val="left"/>
        <w:rPr>
          <w:b/>
          <w:bCs/>
          <w:sz w:val="28"/>
          <w:szCs w:val="28"/>
          <w:lang w:val="es-ES"/>
        </w:rPr>
      </w:pPr>
    </w:p>
    <w:p w:rsidR="004E414B" w:rsidRPr="00A407BF" w:rsidRDefault="004E414B" w:rsidP="004E414B">
      <w:pPr>
        <w:spacing w:after="200" w:line="276" w:lineRule="auto"/>
        <w:jc w:val="left"/>
        <w:rPr>
          <w:b/>
          <w:bCs/>
          <w:sz w:val="28"/>
          <w:szCs w:val="28"/>
          <w:lang w:val="es-ES"/>
        </w:rPr>
      </w:pPr>
    </w:p>
    <w:p w:rsidR="004E414B" w:rsidRPr="00A407BF" w:rsidRDefault="004E414B" w:rsidP="004E414B">
      <w:pPr>
        <w:spacing w:after="200" w:line="276" w:lineRule="auto"/>
        <w:jc w:val="left"/>
        <w:rPr>
          <w:b/>
          <w:bCs/>
          <w:sz w:val="28"/>
          <w:szCs w:val="28"/>
          <w:lang w:val="es-ES"/>
        </w:rPr>
      </w:pPr>
    </w:p>
    <w:p w:rsidR="004E414B" w:rsidRPr="00A407BF" w:rsidRDefault="004E414B" w:rsidP="004E414B">
      <w:pPr>
        <w:spacing w:after="200" w:line="276" w:lineRule="auto"/>
        <w:jc w:val="left"/>
        <w:rPr>
          <w:b/>
          <w:bCs/>
          <w:sz w:val="28"/>
          <w:szCs w:val="28"/>
          <w:lang w:val="es-ES"/>
        </w:rPr>
      </w:pPr>
    </w:p>
    <w:p w:rsidR="00712957" w:rsidRDefault="00712957"/>
    <w:sectPr w:rsidR="00712957" w:rsidSect="00262E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0F" w:rsidRDefault="00E4130F" w:rsidP="004E414B">
      <w:r>
        <w:separator/>
      </w:r>
    </w:p>
  </w:endnote>
  <w:endnote w:type="continuationSeparator" w:id="0">
    <w:p w:rsidR="00E4130F" w:rsidRDefault="00E4130F" w:rsidP="004E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0F" w:rsidRDefault="00E4130F" w:rsidP="004E414B">
      <w:r>
        <w:separator/>
      </w:r>
    </w:p>
  </w:footnote>
  <w:footnote w:type="continuationSeparator" w:id="0">
    <w:p w:rsidR="00E4130F" w:rsidRDefault="00E4130F" w:rsidP="004E414B">
      <w:r>
        <w:continuationSeparator/>
      </w:r>
    </w:p>
  </w:footnote>
  <w:footnote w:id="1">
    <w:p w:rsidR="004E414B" w:rsidRPr="008110CC" w:rsidRDefault="004E414B" w:rsidP="004E414B">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6A"/>
    <w:rsid w:val="001B37EE"/>
    <w:rsid w:val="00262ED7"/>
    <w:rsid w:val="0039776A"/>
    <w:rsid w:val="004E414B"/>
    <w:rsid w:val="004F0ADF"/>
    <w:rsid w:val="005234CB"/>
    <w:rsid w:val="00712957"/>
    <w:rsid w:val="008F4910"/>
    <w:rsid w:val="009C71C3"/>
    <w:rsid w:val="00C03A9F"/>
    <w:rsid w:val="00DB785F"/>
    <w:rsid w:val="00E4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6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E414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E414B"/>
    <w:rPr>
      <w:rFonts w:eastAsia="Times New Roman" w:cs="Times New Roman"/>
      <w:sz w:val="20"/>
      <w:szCs w:val="20"/>
      <w:lang w:val="x-none" w:eastAsia="x-none"/>
    </w:rPr>
  </w:style>
  <w:style w:type="character" w:styleId="FootnoteReference">
    <w:name w:val="footnote reference"/>
    <w:aliases w:val="callout"/>
    <w:uiPriority w:val="99"/>
    <w:rsid w:val="004E414B"/>
    <w:rPr>
      <w:vertAlign w:val="superscript"/>
    </w:rPr>
  </w:style>
  <w:style w:type="paragraph" w:customStyle="1" w:styleId="Style11">
    <w:name w:val="Style 11"/>
    <w:basedOn w:val="Normal"/>
    <w:rsid w:val="004E414B"/>
    <w:pPr>
      <w:widowControl w:val="0"/>
      <w:autoSpaceDE w:val="0"/>
      <w:autoSpaceDN w:val="0"/>
      <w:spacing w:line="384" w:lineRule="atLeast"/>
      <w:jc w:val="left"/>
    </w:pPr>
    <w:rPr>
      <w:szCs w:val="24"/>
    </w:rPr>
  </w:style>
  <w:style w:type="paragraph" w:customStyle="1" w:styleId="Sub-ClauseText">
    <w:name w:val="Sub-Clause Text"/>
    <w:basedOn w:val="Normal"/>
    <w:rsid w:val="004E414B"/>
    <w:pPr>
      <w:spacing w:before="120" w:after="120"/>
    </w:pPr>
    <w:rPr>
      <w:spacing w:val="-4"/>
    </w:rPr>
  </w:style>
  <w:style w:type="paragraph" w:customStyle="1" w:styleId="01">
    <w:name w:val="01"/>
    <w:basedOn w:val="Normal"/>
    <w:qFormat/>
    <w:rsid w:val="004E414B"/>
    <w:pPr>
      <w:widowControl w:val="0"/>
      <w:spacing w:before="120" w:after="120" w:line="264" w:lineRule="auto"/>
      <w:jc w:val="center"/>
    </w:pPr>
    <w:rPr>
      <w:b/>
      <w:bCs/>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6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E414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E414B"/>
    <w:rPr>
      <w:rFonts w:eastAsia="Times New Roman" w:cs="Times New Roman"/>
      <w:sz w:val="20"/>
      <w:szCs w:val="20"/>
      <w:lang w:val="x-none" w:eastAsia="x-none"/>
    </w:rPr>
  </w:style>
  <w:style w:type="character" w:styleId="FootnoteReference">
    <w:name w:val="footnote reference"/>
    <w:aliases w:val="callout"/>
    <w:uiPriority w:val="99"/>
    <w:rsid w:val="004E414B"/>
    <w:rPr>
      <w:vertAlign w:val="superscript"/>
    </w:rPr>
  </w:style>
  <w:style w:type="paragraph" w:customStyle="1" w:styleId="Style11">
    <w:name w:val="Style 11"/>
    <w:basedOn w:val="Normal"/>
    <w:rsid w:val="004E414B"/>
    <w:pPr>
      <w:widowControl w:val="0"/>
      <w:autoSpaceDE w:val="0"/>
      <w:autoSpaceDN w:val="0"/>
      <w:spacing w:line="384" w:lineRule="atLeast"/>
      <w:jc w:val="left"/>
    </w:pPr>
    <w:rPr>
      <w:szCs w:val="24"/>
    </w:rPr>
  </w:style>
  <w:style w:type="paragraph" w:customStyle="1" w:styleId="Sub-ClauseText">
    <w:name w:val="Sub-Clause Text"/>
    <w:basedOn w:val="Normal"/>
    <w:rsid w:val="004E414B"/>
    <w:pPr>
      <w:spacing w:before="120" w:after="120"/>
    </w:pPr>
    <w:rPr>
      <w:spacing w:val="-4"/>
    </w:rPr>
  </w:style>
  <w:style w:type="paragraph" w:customStyle="1" w:styleId="01">
    <w:name w:val="01"/>
    <w:basedOn w:val="Normal"/>
    <w:qFormat/>
    <w:rsid w:val="004E414B"/>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2026-03-06T08:35:00Z</dcterms:created>
  <dcterms:modified xsi:type="dcterms:W3CDTF">2026-03-06T08:35:00Z</dcterms:modified>
</cp:coreProperties>
</file>