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773" w:rsidRPr="00963773" w:rsidRDefault="000174D9" w:rsidP="00963773">
      <w:pPr>
        <w:spacing w:before="120" w:after="120"/>
        <w:ind w:firstLine="709"/>
        <w:outlineLvl w:val="2"/>
        <w:rPr>
          <w:sz w:val="28"/>
          <w:szCs w:val="28"/>
          <w:lang w:val="es-ES"/>
        </w:rPr>
      </w:pPr>
      <w:r>
        <w:rPr>
          <w:b/>
          <w:iCs/>
          <w:sz w:val="28"/>
          <w:szCs w:val="28"/>
          <w:lang w:val="es-ES"/>
        </w:rPr>
        <w:t xml:space="preserve">Mục 3. </w:t>
      </w:r>
      <w:r w:rsidR="00963773" w:rsidRPr="00963773">
        <w:rPr>
          <w:b/>
          <w:iCs/>
          <w:sz w:val="28"/>
          <w:szCs w:val="28"/>
          <w:lang w:val="es-ES"/>
        </w:rPr>
        <w:t>Tiêu chuẩn đánh giá về kỹ thuật</w:t>
      </w:r>
    </w:p>
    <w:p w:rsidR="00963773" w:rsidRPr="00963773" w:rsidRDefault="00963773" w:rsidP="00963773">
      <w:pPr>
        <w:spacing w:before="120" w:after="120"/>
        <w:ind w:firstLine="709"/>
        <w:rPr>
          <w:sz w:val="28"/>
          <w:szCs w:val="28"/>
        </w:rPr>
      </w:pPr>
      <w:bookmarkStart w:id="0" w:name="_Toc399947674"/>
      <w:r w:rsidRPr="00963773">
        <w:rPr>
          <w:sz w:val="28"/>
          <w:szCs w:val="28"/>
        </w:rPr>
        <w:t>Căn cứ quy mô, tính chất của gói thầu mà xác định mức độ yêu cầu đối với từng nội dung. Đối với các tiêu chí đánh giá tổng quát, chỉ sử dụng tiêu chí đạt, không đạt</w:t>
      </w:r>
      <w:r w:rsidRPr="00963773">
        <w:rPr>
          <w:sz w:val="28"/>
          <w:szCs w:val="28"/>
          <w:lang w:val="vi-VN"/>
        </w:rPr>
        <w:t>.</w:t>
      </w:r>
      <w:r w:rsidRPr="00963773" w:rsidDel="00D822D6">
        <w:rPr>
          <w:sz w:val="28"/>
          <w:szCs w:val="28"/>
        </w:rPr>
        <w:t xml:space="preserve"> </w:t>
      </w:r>
      <w:r w:rsidRPr="00963773">
        <w:rPr>
          <w:sz w:val="28"/>
          <w:szCs w:val="28"/>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963773" w:rsidRPr="00963773" w:rsidRDefault="00963773" w:rsidP="00963773">
      <w:pPr>
        <w:spacing w:before="120" w:after="120"/>
        <w:ind w:firstLine="709"/>
        <w:rPr>
          <w:sz w:val="28"/>
          <w:szCs w:val="28"/>
        </w:rPr>
      </w:pPr>
      <w:r w:rsidRPr="00963773">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rsidR="00963773" w:rsidRPr="00963773" w:rsidRDefault="00963773" w:rsidP="00963773">
      <w:pPr>
        <w:spacing w:before="120" w:after="120"/>
        <w:ind w:firstLine="709"/>
        <w:rPr>
          <w:sz w:val="28"/>
          <w:szCs w:val="28"/>
          <w:lang w:val="es-ES"/>
        </w:rPr>
      </w:pPr>
      <w:r w:rsidRPr="00963773">
        <w:rPr>
          <w:sz w:val="28"/>
          <w:szCs w:val="28"/>
          <w:lang w:val="es-ES"/>
        </w:rPr>
        <w:t>E-HSDT được đánh giá là đáp ứng yêu cầu về kỹ thuật khi có tất cả các tiêu chí tổng quát đều được đánh giá là đạt.</w:t>
      </w:r>
    </w:p>
    <w:tbl>
      <w:tblPr>
        <w:tblW w:w="1006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4"/>
        <w:gridCol w:w="5245"/>
        <w:gridCol w:w="2126"/>
      </w:tblGrid>
      <w:tr w:rsidR="00963773" w:rsidRPr="00963773" w:rsidTr="00D65709">
        <w:trPr>
          <w:trHeight w:val="283"/>
          <w:tblHeader/>
        </w:trPr>
        <w:tc>
          <w:tcPr>
            <w:tcW w:w="7939" w:type="dxa"/>
            <w:gridSpan w:val="2"/>
            <w:tcBorders>
              <w:bottom w:val="single" w:sz="4" w:space="0" w:color="auto"/>
            </w:tcBorders>
            <w:vAlign w:val="center"/>
          </w:tcPr>
          <w:p w:rsidR="00963773" w:rsidRPr="00963773" w:rsidRDefault="00963773" w:rsidP="00D65709">
            <w:pPr>
              <w:spacing w:before="120" w:after="120"/>
              <w:ind w:left="57" w:right="57"/>
              <w:jc w:val="center"/>
              <w:rPr>
                <w:b/>
                <w:sz w:val="26"/>
                <w:szCs w:val="26"/>
              </w:rPr>
            </w:pPr>
            <w:r w:rsidRPr="00963773">
              <w:rPr>
                <w:b/>
                <w:sz w:val="26"/>
                <w:szCs w:val="26"/>
              </w:rPr>
              <w:t>Nội dung đánh giá</w:t>
            </w:r>
          </w:p>
        </w:tc>
        <w:tc>
          <w:tcPr>
            <w:tcW w:w="2126" w:type="dxa"/>
            <w:tcBorders>
              <w:bottom w:val="single" w:sz="4" w:space="0" w:color="auto"/>
            </w:tcBorders>
            <w:vAlign w:val="center"/>
          </w:tcPr>
          <w:p w:rsidR="00963773" w:rsidRPr="00963773" w:rsidRDefault="00963773" w:rsidP="00D65709">
            <w:pPr>
              <w:spacing w:before="120" w:after="120"/>
              <w:ind w:left="57" w:right="57"/>
              <w:jc w:val="center"/>
              <w:rPr>
                <w:b/>
                <w:sz w:val="26"/>
                <w:szCs w:val="26"/>
              </w:rPr>
            </w:pPr>
            <w:r w:rsidRPr="00963773">
              <w:rPr>
                <w:b/>
                <w:sz w:val="26"/>
                <w:szCs w:val="26"/>
              </w:rPr>
              <w:t>Sử dụng tiêu chí đạt, không đạt</w:t>
            </w:r>
          </w:p>
        </w:tc>
      </w:tr>
      <w:tr w:rsidR="00963773" w:rsidRPr="00963773" w:rsidTr="00D65709">
        <w:trPr>
          <w:trHeight w:val="283"/>
        </w:trPr>
        <w:tc>
          <w:tcPr>
            <w:tcW w:w="10065" w:type="dxa"/>
            <w:gridSpan w:val="3"/>
            <w:vAlign w:val="center"/>
          </w:tcPr>
          <w:p w:rsidR="00963773" w:rsidRPr="00963773" w:rsidRDefault="00963773" w:rsidP="00D65709">
            <w:pPr>
              <w:spacing w:before="120" w:after="120"/>
              <w:ind w:left="57" w:right="57"/>
              <w:rPr>
                <w:b/>
                <w:sz w:val="26"/>
                <w:szCs w:val="26"/>
              </w:rPr>
            </w:pPr>
            <w:bookmarkStart w:id="1" w:name="_Hlk171931115"/>
            <w:r w:rsidRPr="00963773">
              <w:rPr>
                <w:b/>
                <w:sz w:val="26"/>
                <w:szCs w:val="26"/>
              </w:rPr>
              <w:t xml:space="preserve">1. Tính năng, thông số kỹ thuật của dịch vụ, </w:t>
            </w:r>
            <w:r w:rsidRPr="00963773">
              <w:rPr>
                <w:b/>
                <w:bCs/>
                <w:sz w:val="26"/>
                <w:szCs w:val="26"/>
              </w:rPr>
              <w:t>tiêu chuẩn thực hiện dịch vụ,</w:t>
            </w:r>
            <w:r w:rsidRPr="00963773">
              <w:rPr>
                <w:b/>
                <w:sz w:val="26"/>
                <w:szCs w:val="26"/>
              </w:rPr>
              <w:t xml:space="preserve"> mức độ hiểu biết về tính chất và mục đích cung cấp dịch vụ</w:t>
            </w:r>
            <w:bookmarkEnd w:id="1"/>
          </w:p>
        </w:tc>
      </w:tr>
      <w:tr w:rsidR="00963773" w:rsidRPr="00963773" w:rsidTr="00D65709">
        <w:trPr>
          <w:trHeight w:val="283"/>
        </w:trPr>
        <w:tc>
          <w:tcPr>
            <w:tcW w:w="2694" w:type="dxa"/>
            <w:vMerge w:val="restart"/>
            <w:vAlign w:val="center"/>
          </w:tcPr>
          <w:p w:rsidR="00963773" w:rsidRPr="00963773" w:rsidRDefault="00963773" w:rsidP="00D65709">
            <w:pPr>
              <w:spacing w:before="120" w:after="120"/>
              <w:ind w:left="57" w:right="57"/>
              <w:rPr>
                <w:sz w:val="26"/>
                <w:szCs w:val="26"/>
              </w:rPr>
            </w:pPr>
            <w:r w:rsidRPr="00963773">
              <w:rPr>
                <w:sz w:val="26"/>
                <w:szCs w:val="26"/>
                <w:lang w:val="nl-NL"/>
              </w:rPr>
              <w:t>Tính năng, thông số kỹ thuật của dịch vụ</w:t>
            </w:r>
            <w:r w:rsidRPr="00963773">
              <w:rPr>
                <w:sz w:val="26"/>
                <w:szCs w:val="26"/>
              </w:rPr>
              <w:t xml:space="preserve"> </w:t>
            </w:r>
          </w:p>
        </w:tc>
        <w:tc>
          <w:tcPr>
            <w:tcW w:w="5245" w:type="dxa"/>
            <w:vAlign w:val="center"/>
          </w:tcPr>
          <w:p w:rsidR="00963773" w:rsidRPr="00963773" w:rsidRDefault="00963773" w:rsidP="00D65709">
            <w:pPr>
              <w:spacing w:before="120" w:after="120"/>
              <w:ind w:left="57" w:right="57"/>
              <w:rPr>
                <w:sz w:val="26"/>
                <w:szCs w:val="26"/>
                <w:lang w:val="nl-NL"/>
              </w:rPr>
            </w:pPr>
            <w:r w:rsidRPr="00963773">
              <w:rPr>
                <w:sz w:val="26"/>
                <w:szCs w:val="26"/>
                <w:lang w:val="nl-NL"/>
              </w:rPr>
              <w:t xml:space="preserve">- Có tính năng, thông số kỹ thuật của dịch vụ đáp ứng </w:t>
            </w:r>
            <w:r w:rsidRPr="00963773">
              <w:rPr>
                <w:sz w:val="26"/>
                <w:szCs w:val="26"/>
              </w:rPr>
              <w:t xml:space="preserve">(hoặc chấp nhận được với tiêu chí chi tiết không cơ bản) </w:t>
            </w:r>
            <w:r w:rsidRPr="00963773">
              <w:rPr>
                <w:sz w:val="26"/>
                <w:szCs w:val="26"/>
                <w:lang w:val="nl-NL"/>
              </w:rPr>
              <w:t>yêu cầu về kỹ thuật quy định tại Chương V – Phần 3 – Yêu cầu về kỹ thuật của E-HSMT.</w:t>
            </w:r>
          </w:p>
        </w:tc>
        <w:tc>
          <w:tcPr>
            <w:tcW w:w="2126" w:type="dxa"/>
            <w:vAlign w:val="center"/>
          </w:tcPr>
          <w:p w:rsidR="00963773" w:rsidRPr="00963773" w:rsidRDefault="00963773" w:rsidP="00D65709">
            <w:pPr>
              <w:spacing w:before="120" w:after="120"/>
              <w:ind w:left="57" w:right="57"/>
              <w:jc w:val="center"/>
              <w:rPr>
                <w:b/>
                <w:sz w:val="26"/>
                <w:szCs w:val="26"/>
              </w:rPr>
            </w:pPr>
            <w:r w:rsidRPr="00963773">
              <w:rPr>
                <w:b/>
                <w:sz w:val="26"/>
                <w:szCs w:val="26"/>
              </w:rPr>
              <w:t>Đạt</w:t>
            </w:r>
          </w:p>
        </w:tc>
      </w:tr>
      <w:tr w:rsidR="00963773" w:rsidRPr="00963773" w:rsidTr="00D65709">
        <w:trPr>
          <w:trHeight w:val="283"/>
        </w:trPr>
        <w:tc>
          <w:tcPr>
            <w:tcW w:w="2694" w:type="dxa"/>
            <w:vMerge/>
          </w:tcPr>
          <w:p w:rsidR="00963773" w:rsidRPr="00963773" w:rsidRDefault="00963773" w:rsidP="00D65709">
            <w:pPr>
              <w:spacing w:before="120" w:after="120"/>
              <w:ind w:left="57" w:right="57"/>
              <w:rPr>
                <w:sz w:val="26"/>
                <w:szCs w:val="26"/>
              </w:rPr>
            </w:pPr>
          </w:p>
        </w:tc>
        <w:tc>
          <w:tcPr>
            <w:tcW w:w="5245" w:type="dxa"/>
            <w:vAlign w:val="center"/>
          </w:tcPr>
          <w:p w:rsidR="00963773" w:rsidRPr="00963773" w:rsidRDefault="00963773" w:rsidP="00D65709">
            <w:pPr>
              <w:spacing w:before="120" w:after="120"/>
              <w:ind w:left="57" w:right="57"/>
              <w:rPr>
                <w:sz w:val="26"/>
                <w:szCs w:val="26"/>
                <w:lang w:val="nl-NL"/>
              </w:rPr>
            </w:pPr>
            <w:r w:rsidRPr="00963773">
              <w:rPr>
                <w:sz w:val="26"/>
                <w:szCs w:val="26"/>
                <w:lang w:val="nl-NL"/>
              </w:rPr>
              <w:t xml:space="preserve">- Không có tính năng, thông số kỹ thuật của dịch vụ đáp ứng </w:t>
            </w:r>
            <w:r w:rsidRPr="00963773">
              <w:rPr>
                <w:sz w:val="26"/>
                <w:szCs w:val="26"/>
              </w:rPr>
              <w:t xml:space="preserve">(hoặc chấp nhận được với tiêu chí chi tiết không cơ bản) </w:t>
            </w:r>
            <w:r w:rsidRPr="00963773">
              <w:rPr>
                <w:sz w:val="26"/>
                <w:szCs w:val="26"/>
                <w:lang w:val="nl-NL"/>
              </w:rPr>
              <w:t>yêu cầu về kỹ thuật quy định tại Chương V – Phần 3 – Yêu cầu về kỹ thuật của E-HSMT.</w:t>
            </w:r>
          </w:p>
        </w:tc>
        <w:tc>
          <w:tcPr>
            <w:tcW w:w="2126" w:type="dxa"/>
            <w:vAlign w:val="center"/>
          </w:tcPr>
          <w:p w:rsidR="00963773" w:rsidRPr="00963773" w:rsidRDefault="00963773" w:rsidP="00D65709">
            <w:pPr>
              <w:spacing w:before="120" w:after="120"/>
              <w:ind w:left="57" w:right="57"/>
              <w:jc w:val="center"/>
              <w:rPr>
                <w:b/>
                <w:sz w:val="26"/>
                <w:szCs w:val="26"/>
              </w:rPr>
            </w:pPr>
            <w:r w:rsidRPr="00963773">
              <w:rPr>
                <w:b/>
                <w:sz w:val="26"/>
                <w:szCs w:val="26"/>
              </w:rPr>
              <w:t>Không đạt</w:t>
            </w:r>
          </w:p>
        </w:tc>
      </w:tr>
      <w:tr w:rsidR="00963773" w:rsidRPr="00963773" w:rsidTr="00D65709">
        <w:trPr>
          <w:trHeight w:val="283"/>
        </w:trPr>
        <w:tc>
          <w:tcPr>
            <w:tcW w:w="10065" w:type="dxa"/>
            <w:gridSpan w:val="3"/>
          </w:tcPr>
          <w:p w:rsidR="00963773" w:rsidRPr="00963773" w:rsidRDefault="00963773" w:rsidP="00D65709">
            <w:pPr>
              <w:spacing w:before="120" w:after="120"/>
              <w:ind w:left="57" w:right="57"/>
              <w:rPr>
                <w:b/>
                <w:sz w:val="26"/>
                <w:szCs w:val="26"/>
              </w:rPr>
            </w:pPr>
            <w:r w:rsidRPr="00963773">
              <w:rPr>
                <w:b/>
                <w:sz w:val="26"/>
                <w:szCs w:val="26"/>
              </w:rPr>
              <w:t xml:space="preserve">2. </w:t>
            </w:r>
            <w:r w:rsidRPr="00963773">
              <w:rPr>
                <w:b/>
                <w:bCs/>
                <w:iCs/>
                <w:sz w:val="26"/>
                <w:szCs w:val="26"/>
              </w:rPr>
              <w:t>Yêu cầu về giải pháp, phương pháp luận tổ chức cung cấp dịch vụ</w:t>
            </w:r>
          </w:p>
        </w:tc>
      </w:tr>
      <w:tr w:rsidR="00963773" w:rsidRPr="00963773" w:rsidTr="00D65709">
        <w:trPr>
          <w:trHeight w:val="283"/>
        </w:trPr>
        <w:tc>
          <w:tcPr>
            <w:tcW w:w="2694" w:type="dxa"/>
            <w:vMerge w:val="restart"/>
            <w:vAlign w:val="center"/>
          </w:tcPr>
          <w:p w:rsidR="00963773" w:rsidRPr="00963773" w:rsidRDefault="00963773" w:rsidP="00D65709">
            <w:pPr>
              <w:spacing w:before="120" w:after="120"/>
              <w:ind w:left="57" w:right="57"/>
              <w:rPr>
                <w:sz w:val="26"/>
                <w:szCs w:val="26"/>
              </w:rPr>
            </w:pPr>
            <w:r w:rsidRPr="00963773">
              <w:rPr>
                <w:sz w:val="26"/>
                <w:szCs w:val="26"/>
              </w:rPr>
              <w:t>Tính hợp lý và hiệu quả của giải pháp, phương pháp luận tổ chức cung cấp dịch vụ</w:t>
            </w:r>
          </w:p>
        </w:tc>
        <w:tc>
          <w:tcPr>
            <w:tcW w:w="5245" w:type="dxa"/>
            <w:vAlign w:val="center"/>
          </w:tcPr>
          <w:p w:rsidR="00963773" w:rsidRPr="00963773" w:rsidRDefault="00963773" w:rsidP="00D65709">
            <w:pPr>
              <w:spacing w:before="120" w:after="120"/>
              <w:ind w:left="57" w:right="57"/>
              <w:rPr>
                <w:sz w:val="26"/>
                <w:szCs w:val="26"/>
                <w:lang w:val="nl-NL"/>
              </w:rPr>
            </w:pPr>
            <w:r w:rsidRPr="00963773">
              <w:rPr>
                <w:sz w:val="26"/>
                <w:szCs w:val="26"/>
                <w:lang w:val="nl-NL"/>
              </w:rPr>
              <w:t xml:space="preserve">2.1. Có các giải pháp kỹ thuật, biện pháp tổ chức cung cấp dịch vụ hợp lý và </w:t>
            </w:r>
            <w:bookmarkStart w:id="2" w:name="_GoBack"/>
            <w:bookmarkEnd w:id="2"/>
            <w:r w:rsidRPr="00963773">
              <w:rPr>
                <w:sz w:val="26"/>
                <w:szCs w:val="26"/>
                <w:lang w:val="nl-NL"/>
              </w:rPr>
              <w:t>hiệu quả. Cụ thể như sau:</w:t>
            </w:r>
          </w:p>
          <w:p w:rsidR="00963773" w:rsidRPr="00963773" w:rsidRDefault="00963773" w:rsidP="00D65709">
            <w:pPr>
              <w:spacing w:before="120" w:after="120"/>
              <w:ind w:left="57" w:right="57"/>
              <w:rPr>
                <w:sz w:val="26"/>
                <w:szCs w:val="26"/>
                <w:lang w:val="nl-NL"/>
              </w:rPr>
            </w:pPr>
            <w:r w:rsidRPr="00963773">
              <w:rPr>
                <w:sz w:val="26"/>
                <w:szCs w:val="26"/>
                <w:lang w:val="nl-NL"/>
              </w:rPr>
              <w:t xml:space="preserve">a). Có thuyết minh cụ thể, hợp lý giải pháp, quy trình cung cấp dịch vụ </w:t>
            </w:r>
          </w:p>
          <w:p w:rsidR="00963773" w:rsidRPr="00963773" w:rsidRDefault="00963773" w:rsidP="00D65709">
            <w:pPr>
              <w:spacing w:before="120" w:after="120"/>
              <w:ind w:left="57" w:right="57"/>
              <w:rPr>
                <w:sz w:val="26"/>
                <w:szCs w:val="26"/>
                <w:lang w:val="nl-NL"/>
              </w:rPr>
            </w:pPr>
            <w:r w:rsidRPr="00963773">
              <w:rPr>
                <w:sz w:val="26"/>
                <w:szCs w:val="26"/>
                <w:lang w:val="nl-NL"/>
              </w:rPr>
              <w:lastRenderedPageBreak/>
              <w:t>b) Có thuyết minh cụ thể, hợp lý biện pháp đảm bảo chất lượng dịch vụ trong quá trình cung cấp.</w:t>
            </w:r>
          </w:p>
          <w:p w:rsidR="00963773" w:rsidRPr="00963773" w:rsidRDefault="00963773" w:rsidP="00D65709">
            <w:pPr>
              <w:spacing w:before="120" w:after="120"/>
              <w:ind w:left="57" w:right="57"/>
              <w:rPr>
                <w:sz w:val="26"/>
                <w:szCs w:val="26"/>
                <w:lang w:val="nl-NL"/>
              </w:rPr>
            </w:pPr>
            <w:r w:rsidRPr="00963773">
              <w:rPr>
                <w:sz w:val="26"/>
                <w:szCs w:val="26"/>
                <w:lang w:val="nl-NL"/>
              </w:rPr>
              <w:t>c). Có thuyết minh cụ thể, hợp lý về Giải pháp, quy trình hướng dẫn sử dụng.</w:t>
            </w:r>
          </w:p>
        </w:tc>
        <w:tc>
          <w:tcPr>
            <w:tcW w:w="2126" w:type="dxa"/>
            <w:vAlign w:val="center"/>
          </w:tcPr>
          <w:p w:rsidR="00963773" w:rsidRPr="00963773" w:rsidRDefault="00963773" w:rsidP="00D65709">
            <w:pPr>
              <w:spacing w:before="120" w:after="120"/>
              <w:ind w:left="57" w:right="57"/>
              <w:jc w:val="center"/>
              <w:rPr>
                <w:b/>
                <w:sz w:val="26"/>
                <w:szCs w:val="26"/>
              </w:rPr>
            </w:pPr>
            <w:r w:rsidRPr="00963773">
              <w:rPr>
                <w:b/>
                <w:sz w:val="26"/>
                <w:szCs w:val="26"/>
              </w:rPr>
              <w:lastRenderedPageBreak/>
              <w:t>Đạt</w:t>
            </w:r>
          </w:p>
        </w:tc>
      </w:tr>
      <w:tr w:rsidR="00963773" w:rsidRPr="00963773" w:rsidTr="00D65709">
        <w:trPr>
          <w:trHeight w:val="283"/>
        </w:trPr>
        <w:tc>
          <w:tcPr>
            <w:tcW w:w="2694" w:type="dxa"/>
            <w:vMerge/>
          </w:tcPr>
          <w:p w:rsidR="00963773" w:rsidRPr="00963773" w:rsidRDefault="00963773" w:rsidP="00D65709">
            <w:pPr>
              <w:spacing w:before="120" w:after="120"/>
              <w:ind w:left="57" w:right="57"/>
              <w:rPr>
                <w:sz w:val="26"/>
                <w:szCs w:val="26"/>
              </w:rPr>
            </w:pPr>
          </w:p>
        </w:tc>
        <w:tc>
          <w:tcPr>
            <w:tcW w:w="5245" w:type="dxa"/>
          </w:tcPr>
          <w:p w:rsidR="00963773" w:rsidRPr="00963773" w:rsidRDefault="00963773" w:rsidP="00D65709">
            <w:pPr>
              <w:spacing w:before="120" w:after="120"/>
              <w:ind w:left="57" w:right="57"/>
              <w:rPr>
                <w:sz w:val="26"/>
                <w:szCs w:val="26"/>
                <w:lang w:val="nl-NL"/>
              </w:rPr>
            </w:pPr>
            <w:r w:rsidRPr="00963773">
              <w:rPr>
                <w:sz w:val="26"/>
                <w:szCs w:val="26"/>
                <w:lang w:val="nl-NL"/>
              </w:rPr>
              <w:t>2.2. Có đầy đủ các giải pháp kỹ thuật, biện pháp tổ chức cung cấp dịch vụ như quy định tại Mục 2.1 (đầy đủ các khoản, mục a), b) và c)). Nhưng chưa cụ thể hoặc sai sót một vài chi tiết mà bên mời thầu xét thấy không nghiêm trọng.</w:t>
            </w:r>
          </w:p>
        </w:tc>
        <w:tc>
          <w:tcPr>
            <w:tcW w:w="2126" w:type="dxa"/>
            <w:vAlign w:val="center"/>
          </w:tcPr>
          <w:p w:rsidR="00963773" w:rsidRPr="00963773" w:rsidRDefault="00963773" w:rsidP="00D65709">
            <w:pPr>
              <w:spacing w:before="120" w:after="120"/>
              <w:ind w:right="43"/>
              <w:jc w:val="center"/>
              <w:rPr>
                <w:b/>
                <w:bCs/>
                <w:sz w:val="26"/>
                <w:szCs w:val="26"/>
                <w:lang w:val="nl-NL"/>
              </w:rPr>
            </w:pPr>
            <w:r w:rsidRPr="00963773">
              <w:rPr>
                <w:b/>
                <w:bCs/>
                <w:sz w:val="26"/>
                <w:szCs w:val="26"/>
                <w:lang w:val="nl-NL"/>
              </w:rPr>
              <w:t>Chấp nhận được</w:t>
            </w:r>
          </w:p>
        </w:tc>
      </w:tr>
      <w:tr w:rsidR="00963773" w:rsidRPr="00963773" w:rsidTr="00D65709">
        <w:trPr>
          <w:trHeight w:val="283"/>
        </w:trPr>
        <w:tc>
          <w:tcPr>
            <w:tcW w:w="2694" w:type="dxa"/>
            <w:vMerge/>
          </w:tcPr>
          <w:p w:rsidR="00963773" w:rsidRPr="00963773" w:rsidRDefault="00963773" w:rsidP="00D65709">
            <w:pPr>
              <w:spacing w:before="120" w:after="120"/>
              <w:ind w:left="57" w:right="57"/>
              <w:rPr>
                <w:sz w:val="26"/>
                <w:szCs w:val="26"/>
              </w:rPr>
            </w:pPr>
          </w:p>
        </w:tc>
        <w:tc>
          <w:tcPr>
            <w:tcW w:w="5245" w:type="dxa"/>
            <w:vAlign w:val="center"/>
          </w:tcPr>
          <w:p w:rsidR="00963773" w:rsidRPr="00963773" w:rsidRDefault="00963773" w:rsidP="00D65709">
            <w:pPr>
              <w:spacing w:before="120" w:after="120"/>
              <w:ind w:left="57" w:right="57"/>
              <w:rPr>
                <w:sz w:val="26"/>
                <w:szCs w:val="26"/>
              </w:rPr>
            </w:pPr>
            <w:r w:rsidRPr="00963773">
              <w:rPr>
                <w:sz w:val="26"/>
                <w:szCs w:val="26"/>
                <w:lang w:val="nl-NL"/>
              </w:rPr>
              <w:t>2.3. Không nêu đầy đủ các giải pháp kỹ thuật, biện pháp tổ chức cung cấp dịch vụ như quy định tại Mục 2.1 hoặc có nêu nhưng không hợp lý.</w:t>
            </w:r>
          </w:p>
        </w:tc>
        <w:tc>
          <w:tcPr>
            <w:tcW w:w="2126" w:type="dxa"/>
            <w:vAlign w:val="center"/>
          </w:tcPr>
          <w:p w:rsidR="00963773" w:rsidRPr="00963773" w:rsidRDefault="00963773" w:rsidP="00D65709">
            <w:pPr>
              <w:spacing w:before="120" w:after="120"/>
              <w:ind w:left="57" w:right="57"/>
              <w:jc w:val="center"/>
              <w:rPr>
                <w:b/>
                <w:sz w:val="26"/>
                <w:szCs w:val="26"/>
              </w:rPr>
            </w:pPr>
            <w:r w:rsidRPr="00963773">
              <w:rPr>
                <w:b/>
                <w:sz w:val="26"/>
                <w:szCs w:val="26"/>
              </w:rPr>
              <w:t>Không đạt</w:t>
            </w:r>
          </w:p>
        </w:tc>
      </w:tr>
      <w:tr w:rsidR="00963773" w:rsidRPr="00963773" w:rsidTr="00D65709">
        <w:trPr>
          <w:trHeight w:val="283"/>
        </w:trPr>
        <w:tc>
          <w:tcPr>
            <w:tcW w:w="10065" w:type="dxa"/>
            <w:gridSpan w:val="3"/>
            <w:vAlign w:val="center"/>
          </w:tcPr>
          <w:p w:rsidR="00963773" w:rsidRPr="00963773" w:rsidRDefault="00963773" w:rsidP="00D65709">
            <w:pPr>
              <w:spacing w:before="120" w:after="120"/>
              <w:ind w:left="57" w:right="57"/>
              <w:rPr>
                <w:b/>
                <w:sz w:val="26"/>
                <w:szCs w:val="26"/>
              </w:rPr>
            </w:pPr>
            <w:r w:rsidRPr="00963773">
              <w:rPr>
                <w:b/>
                <w:sz w:val="26"/>
                <w:szCs w:val="26"/>
              </w:rPr>
              <w:t>3. Tiến độ thực hiện hợp đồng</w:t>
            </w:r>
          </w:p>
        </w:tc>
      </w:tr>
      <w:tr w:rsidR="00963773" w:rsidRPr="00963773" w:rsidTr="00D65709">
        <w:tblPrEx>
          <w:tblCellMar>
            <w:left w:w="108" w:type="dxa"/>
            <w:right w:w="108" w:type="dxa"/>
          </w:tblCellMar>
          <w:tblLook w:val="04A0" w:firstRow="1" w:lastRow="0" w:firstColumn="1" w:lastColumn="0" w:noHBand="0" w:noVBand="1"/>
        </w:tblPrEx>
        <w:trPr>
          <w:trHeight w:val="283"/>
        </w:trPr>
        <w:tc>
          <w:tcPr>
            <w:tcW w:w="2694" w:type="dxa"/>
            <w:vMerge w:val="restart"/>
            <w:vAlign w:val="center"/>
          </w:tcPr>
          <w:p w:rsidR="00963773" w:rsidRPr="00963773" w:rsidRDefault="00963773" w:rsidP="00D65709">
            <w:pPr>
              <w:spacing w:before="120" w:after="120"/>
              <w:ind w:right="43"/>
              <w:rPr>
                <w:bCs/>
                <w:sz w:val="26"/>
                <w:szCs w:val="26"/>
              </w:rPr>
            </w:pPr>
            <w:r w:rsidRPr="00963773">
              <w:rPr>
                <w:sz w:val="26"/>
                <w:szCs w:val="26"/>
                <w:lang w:val="vi-VN"/>
              </w:rPr>
              <w:t>Thời gian thực hiện</w:t>
            </w:r>
          </w:p>
        </w:tc>
        <w:tc>
          <w:tcPr>
            <w:tcW w:w="5245" w:type="dxa"/>
          </w:tcPr>
          <w:p w:rsidR="00963773" w:rsidRPr="00963773" w:rsidRDefault="00963773" w:rsidP="00D65709">
            <w:pPr>
              <w:spacing w:before="120" w:after="120"/>
              <w:rPr>
                <w:sz w:val="26"/>
                <w:szCs w:val="26"/>
                <w:lang w:val="vi-VN"/>
              </w:rPr>
            </w:pPr>
            <w:r w:rsidRPr="00963773">
              <w:rPr>
                <w:sz w:val="26"/>
                <w:szCs w:val="26"/>
              </w:rPr>
              <w:t>Thời gian thực hiện hợp đồng (cung cấp dịch vụ) ≥ 12 tháng</w:t>
            </w:r>
            <w:r w:rsidRPr="00963773">
              <w:rPr>
                <w:szCs w:val="28"/>
                <w:lang w:val="nl-NL"/>
              </w:rPr>
              <w:t xml:space="preserve"> </w:t>
            </w:r>
            <w:r w:rsidRPr="00963773">
              <w:rPr>
                <w:sz w:val="26"/>
                <w:szCs w:val="26"/>
                <w:lang w:val="vi-VN"/>
              </w:rPr>
              <w:t xml:space="preserve">kể từ ngày hợp đồng có hiệu lực (kể cả ngày nghỉ, ngày lễ theo quy định của pháp luật). </w:t>
            </w:r>
          </w:p>
        </w:tc>
        <w:tc>
          <w:tcPr>
            <w:tcW w:w="2126" w:type="dxa"/>
          </w:tcPr>
          <w:p w:rsidR="00963773" w:rsidRPr="00963773" w:rsidRDefault="00963773" w:rsidP="00D65709">
            <w:pPr>
              <w:spacing w:before="120" w:after="120"/>
              <w:jc w:val="center"/>
              <w:rPr>
                <w:b/>
                <w:sz w:val="26"/>
                <w:szCs w:val="26"/>
              </w:rPr>
            </w:pPr>
            <w:r w:rsidRPr="00963773">
              <w:rPr>
                <w:b/>
                <w:sz w:val="26"/>
                <w:szCs w:val="26"/>
              </w:rPr>
              <w:t>Đạt</w:t>
            </w:r>
          </w:p>
        </w:tc>
      </w:tr>
      <w:tr w:rsidR="00963773" w:rsidRPr="00963773" w:rsidTr="00D65709">
        <w:tblPrEx>
          <w:tblCellMar>
            <w:left w:w="108" w:type="dxa"/>
            <w:right w:w="108" w:type="dxa"/>
          </w:tblCellMar>
          <w:tblLook w:val="04A0" w:firstRow="1" w:lastRow="0" w:firstColumn="1" w:lastColumn="0" w:noHBand="0" w:noVBand="1"/>
        </w:tblPrEx>
        <w:trPr>
          <w:trHeight w:val="283"/>
        </w:trPr>
        <w:tc>
          <w:tcPr>
            <w:tcW w:w="2694" w:type="dxa"/>
            <w:vMerge/>
            <w:vAlign w:val="center"/>
          </w:tcPr>
          <w:p w:rsidR="00963773" w:rsidRPr="00963773" w:rsidRDefault="00963773" w:rsidP="00D65709">
            <w:pPr>
              <w:spacing w:before="120" w:after="120"/>
              <w:ind w:right="43"/>
              <w:rPr>
                <w:bCs/>
                <w:sz w:val="26"/>
                <w:szCs w:val="26"/>
              </w:rPr>
            </w:pPr>
          </w:p>
        </w:tc>
        <w:tc>
          <w:tcPr>
            <w:tcW w:w="5245" w:type="dxa"/>
          </w:tcPr>
          <w:p w:rsidR="00963773" w:rsidRPr="00963773" w:rsidRDefault="00963773" w:rsidP="00D65709">
            <w:pPr>
              <w:spacing w:before="120" w:after="120"/>
              <w:rPr>
                <w:sz w:val="26"/>
                <w:szCs w:val="26"/>
                <w:lang w:val="vi-VN"/>
              </w:rPr>
            </w:pPr>
            <w:r w:rsidRPr="00963773">
              <w:rPr>
                <w:sz w:val="26"/>
                <w:szCs w:val="26"/>
              </w:rPr>
              <w:t>Thời gian thực hiện hợp đồng (cung cấp dịch vụ)  &lt; 12 tháng</w:t>
            </w:r>
            <w:r w:rsidRPr="00963773">
              <w:rPr>
                <w:szCs w:val="28"/>
                <w:lang w:val="nl-NL"/>
              </w:rPr>
              <w:t xml:space="preserve"> </w:t>
            </w:r>
            <w:r w:rsidRPr="00963773">
              <w:rPr>
                <w:sz w:val="26"/>
                <w:szCs w:val="26"/>
                <w:lang w:val="vi-VN"/>
              </w:rPr>
              <w:t>kể từ ngày hợp đồng có hiệu lực (kể cả ngày nghỉ, ngày lễ theo quy định của pháp luật).</w:t>
            </w:r>
          </w:p>
        </w:tc>
        <w:tc>
          <w:tcPr>
            <w:tcW w:w="2126" w:type="dxa"/>
          </w:tcPr>
          <w:p w:rsidR="00963773" w:rsidRPr="00963773" w:rsidRDefault="00963773" w:rsidP="00D65709">
            <w:pPr>
              <w:spacing w:before="120" w:after="120"/>
              <w:jc w:val="center"/>
              <w:rPr>
                <w:b/>
                <w:sz w:val="26"/>
                <w:szCs w:val="26"/>
                <w:lang w:val="vi-VN"/>
              </w:rPr>
            </w:pPr>
            <w:r w:rsidRPr="00963773">
              <w:rPr>
                <w:b/>
                <w:sz w:val="26"/>
                <w:szCs w:val="26"/>
                <w:lang w:val="vi-VN"/>
              </w:rPr>
              <w:t>Không đạt</w:t>
            </w:r>
          </w:p>
        </w:tc>
      </w:tr>
      <w:tr w:rsidR="00963773" w:rsidRPr="00963773" w:rsidTr="00D65709">
        <w:tblPrEx>
          <w:tblCellMar>
            <w:left w:w="108" w:type="dxa"/>
            <w:right w:w="108" w:type="dxa"/>
          </w:tblCellMar>
          <w:tblLook w:val="04A0" w:firstRow="1" w:lastRow="0" w:firstColumn="1" w:lastColumn="0" w:noHBand="0" w:noVBand="1"/>
        </w:tblPrEx>
        <w:trPr>
          <w:trHeight w:val="283"/>
        </w:trPr>
        <w:tc>
          <w:tcPr>
            <w:tcW w:w="10065" w:type="dxa"/>
            <w:gridSpan w:val="3"/>
            <w:vAlign w:val="center"/>
          </w:tcPr>
          <w:p w:rsidR="00963773" w:rsidRPr="00963773" w:rsidRDefault="00963773" w:rsidP="00D65709">
            <w:pPr>
              <w:spacing w:before="120" w:after="120"/>
              <w:ind w:right="43"/>
              <w:jc w:val="left"/>
              <w:rPr>
                <w:sz w:val="26"/>
                <w:szCs w:val="26"/>
              </w:rPr>
            </w:pPr>
            <w:r w:rsidRPr="00963773">
              <w:rPr>
                <w:b/>
                <w:bCs/>
                <w:sz w:val="26"/>
                <w:szCs w:val="26"/>
              </w:rPr>
              <w:t>4. Đảm bảo chất lượng dịch vụ và phương pháp thực hiện</w:t>
            </w:r>
          </w:p>
        </w:tc>
      </w:tr>
      <w:tr w:rsidR="00963773" w:rsidRPr="00963773" w:rsidTr="00D65709">
        <w:tblPrEx>
          <w:tblCellMar>
            <w:left w:w="108" w:type="dxa"/>
            <w:right w:w="108" w:type="dxa"/>
          </w:tblCellMar>
          <w:tblLook w:val="04A0" w:firstRow="1" w:lastRow="0" w:firstColumn="1" w:lastColumn="0" w:noHBand="0" w:noVBand="1"/>
        </w:tblPrEx>
        <w:trPr>
          <w:trHeight w:val="283"/>
        </w:trPr>
        <w:tc>
          <w:tcPr>
            <w:tcW w:w="2694" w:type="dxa"/>
            <w:vMerge w:val="restart"/>
            <w:vAlign w:val="center"/>
          </w:tcPr>
          <w:p w:rsidR="00963773" w:rsidRPr="00963773" w:rsidRDefault="00963773" w:rsidP="00D65709">
            <w:pPr>
              <w:spacing w:before="120" w:after="120"/>
              <w:ind w:right="43"/>
              <w:rPr>
                <w:bCs/>
                <w:sz w:val="26"/>
                <w:szCs w:val="26"/>
              </w:rPr>
            </w:pPr>
            <w:r w:rsidRPr="00963773">
              <w:rPr>
                <w:bCs/>
                <w:sz w:val="26"/>
                <w:szCs w:val="26"/>
              </w:rPr>
              <w:t>Đảm bảo chất lượng dịch vụ</w:t>
            </w:r>
          </w:p>
        </w:tc>
        <w:tc>
          <w:tcPr>
            <w:tcW w:w="5245" w:type="dxa"/>
            <w:vAlign w:val="center"/>
          </w:tcPr>
          <w:p w:rsidR="00963773" w:rsidRPr="00963773" w:rsidRDefault="00963773" w:rsidP="00D65709">
            <w:pPr>
              <w:spacing w:before="120" w:after="120"/>
              <w:rPr>
                <w:sz w:val="26"/>
                <w:szCs w:val="26"/>
              </w:rPr>
            </w:pPr>
            <w:r w:rsidRPr="00963773">
              <w:rPr>
                <w:sz w:val="26"/>
                <w:szCs w:val="26"/>
              </w:rPr>
              <w:t xml:space="preserve">Có cam kết đảm bảo chất lượng các dịch vụ theo </w:t>
            </w:r>
            <w:r w:rsidRPr="00963773">
              <w:rPr>
                <w:sz w:val="26"/>
                <w:szCs w:val="26"/>
                <w:lang w:val="nl-NL"/>
              </w:rPr>
              <w:t>quy định tại Chương V – Phần 3 – Yêu cầu về kỹ thuật của E-HSMT</w:t>
            </w:r>
            <w:r w:rsidRPr="00963773">
              <w:rPr>
                <w:sz w:val="26"/>
                <w:szCs w:val="26"/>
              </w:rPr>
              <w:t xml:space="preserve"> trong suốt quá trình thực hiện hợp đồng; đảm bảo hỗ trợ kỹ thuật cho bên sử dụng khi phát sinh các vấn đề kỹ thuật trong thời gian cung cấp dịch vụ.</w:t>
            </w:r>
          </w:p>
        </w:tc>
        <w:tc>
          <w:tcPr>
            <w:tcW w:w="2126" w:type="dxa"/>
          </w:tcPr>
          <w:p w:rsidR="00963773" w:rsidRPr="00963773" w:rsidRDefault="00963773" w:rsidP="00D65709">
            <w:pPr>
              <w:spacing w:before="120" w:after="120"/>
              <w:jc w:val="center"/>
              <w:rPr>
                <w:b/>
                <w:sz w:val="26"/>
                <w:szCs w:val="26"/>
              </w:rPr>
            </w:pPr>
            <w:r w:rsidRPr="00963773">
              <w:rPr>
                <w:b/>
                <w:sz w:val="26"/>
                <w:szCs w:val="26"/>
              </w:rPr>
              <w:t>Đạt</w:t>
            </w:r>
          </w:p>
        </w:tc>
      </w:tr>
      <w:tr w:rsidR="00963773" w:rsidRPr="00963773" w:rsidTr="00D65709">
        <w:tblPrEx>
          <w:tblCellMar>
            <w:left w:w="108" w:type="dxa"/>
            <w:right w:w="108" w:type="dxa"/>
          </w:tblCellMar>
          <w:tblLook w:val="04A0" w:firstRow="1" w:lastRow="0" w:firstColumn="1" w:lastColumn="0" w:noHBand="0" w:noVBand="1"/>
        </w:tblPrEx>
        <w:trPr>
          <w:trHeight w:val="283"/>
        </w:trPr>
        <w:tc>
          <w:tcPr>
            <w:tcW w:w="2694" w:type="dxa"/>
            <w:vMerge/>
            <w:vAlign w:val="center"/>
          </w:tcPr>
          <w:p w:rsidR="00963773" w:rsidRPr="00963773" w:rsidRDefault="00963773" w:rsidP="00D65709">
            <w:pPr>
              <w:spacing w:before="120" w:after="120"/>
              <w:ind w:right="43"/>
              <w:rPr>
                <w:b/>
                <w:bCs/>
                <w:sz w:val="26"/>
                <w:szCs w:val="26"/>
              </w:rPr>
            </w:pPr>
          </w:p>
        </w:tc>
        <w:tc>
          <w:tcPr>
            <w:tcW w:w="5245" w:type="dxa"/>
            <w:vAlign w:val="center"/>
          </w:tcPr>
          <w:p w:rsidR="00963773" w:rsidRPr="00963773" w:rsidRDefault="00963773" w:rsidP="00D65709">
            <w:pPr>
              <w:spacing w:before="120" w:after="120"/>
              <w:rPr>
                <w:sz w:val="26"/>
                <w:szCs w:val="26"/>
              </w:rPr>
            </w:pPr>
            <w:r w:rsidRPr="00963773">
              <w:rPr>
                <w:sz w:val="26"/>
                <w:szCs w:val="26"/>
              </w:rPr>
              <w:t xml:space="preserve">Không có cam kết đảm bảo chất lượng các dịch vụ theo </w:t>
            </w:r>
            <w:r w:rsidRPr="00963773">
              <w:rPr>
                <w:sz w:val="26"/>
                <w:szCs w:val="26"/>
                <w:lang w:val="nl-NL"/>
              </w:rPr>
              <w:t>quy định tại Chương V – Phần 3 – Yêu cầu về kỹ thuật của E-HSMT</w:t>
            </w:r>
            <w:r w:rsidRPr="00963773">
              <w:rPr>
                <w:sz w:val="26"/>
                <w:szCs w:val="26"/>
              </w:rPr>
              <w:t xml:space="preserve"> trong suốt quá trình thực hiện hợp đồng; đảm bảo hỗ trợ kỹ thuật cho </w:t>
            </w:r>
            <w:r w:rsidRPr="00963773">
              <w:rPr>
                <w:sz w:val="26"/>
                <w:szCs w:val="26"/>
              </w:rPr>
              <w:lastRenderedPageBreak/>
              <w:t>bên sử dụng khi phát sinh các vấn đề kỹ thuật trong thời gian cung cấp dịch vụ.</w:t>
            </w:r>
          </w:p>
        </w:tc>
        <w:tc>
          <w:tcPr>
            <w:tcW w:w="2126" w:type="dxa"/>
          </w:tcPr>
          <w:p w:rsidR="00963773" w:rsidRPr="00963773" w:rsidRDefault="00963773" w:rsidP="00D65709">
            <w:pPr>
              <w:spacing w:before="120" w:after="120"/>
              <w:jc w:val="center"/>
              <w:rPr>
                <w:b/>
                <w:sz w:val="26"/>
                <w:szCs w:val="26"/>
                <w:lang w:val="vi-VN"/>
              </w:rPr>
            </w:pPr>
            <w:r w:rsidRPr="00963773">
              <w:rPr>
                <w:b/>
                <w:sz w:val="26"/>
                <w:szCs w:val="26"/>
                <w:lang w:val="vi-VN"/>
              </w:rPr>
              <w:lastRenderedPageBreak/>
              <w:t>Không đạt</w:t>
            </w:r>
          </w:p>
        </w:tc>
      </w:tr>
      <w:tr w:rsidR="00963773" w:rsidRPr="00963773" w:rsidTr="00D65709">
        <w:tblPrEx>
          <w:tblCellMar>
            <w:left w:w="108" w:type="dxa"/>
            <w:right w:w="108" w:type="dxa"/>
          </w:tblCellMar>
          <w:tblLook w:val="04A0" w:firstRow="1" w:lastRow="0" w:firstColumn="1" w:lastColumn="0" w:noHBand="0" w:noVBand="1"/>
        </w:tblPrEx>
        <w:trPr>
          <w:trHeight w:val="283"/>
        </w:trPr>
        <w:tc>
          <w:tcPr>
            <w:tcW w:w="10065" w:type="dxa"/>
            <w:gridSpan w:val="3"/>
            <w:vAlign w:val="center"/>
          </w:tcPr>
          <w:p w:rsidR="00963773" w:rsidRPr="00963773" w:rsidRDefault="00963773" w:rsidP="00D65709">
            <w:pPr>
              <w:spacing w:before="120" w:after="120"/>
              <w:rPr>
                <w:b/>
                <w:sz w:val="26"/>
                <w:szCs w:val="26"/>
                <w:lang w:val="vi-VN"/>
              </w:rPr>
            </w:pPr>
            <w:r w:rsidRPr="00963773">
              <w:rPr>
                <w:b/>
                <w:bCs/>
                <w:sz w:val="26"/>
                <w:szCs w:val="26"/>
              </w:rPr>
              <w:lastRenderedPageBreak/>
              <w:t>5. Tính hiệu quả của việc cung cấp dịch vụ</w:t>
            </w:r>
          </w:p>
        </w:tc>
      </w:tr>
      <w:tr w:rsidR="00963773" w:rsidRPr="00963773" w:rsidTr="00D65709">
        <w:tblPrEx>
          <w:tblCellMar>
            <w:left w:w="108" w:type="dxa"/>
            <w:right w:w="108" w:type="dxa"/>
          </w:tblCellMar>
          <w:tblLook w:val="04A0" w:firstRow="1" w:lastRow="0" w:firstColumn="1" w:lastColumn="0" w:noHBand="0" w:noVBand="1"/>
        </w:tblPrEx>
        <w:trPr>
          <w:trHeight w:val="283"/>
        </w:trPr>
        <w:tc>
          <w:tcPr>
            <w:tcW w:w="2694" w:type="dxa"/>
            <w:vMerge w:val="restart"/>
            <w:vAlign w:val="center"/>
          </w:tcPr>
          <w:p w:rsidR="00963773" w:rsidRPr="00963773" w:rsidRDefault="00963773" w:rsidP="00D65709">
            <w:pPr>
              <w:spacing w:before="120" w:after="120"/>
              <w:ind w:right="43"/>
              <w:rPr>
                <w:bCs/>
                <w:sz w:val="26"/>
                <w:szCs w:val="26"/>
              </w:rPr>
            </w:pPr>
            <w:r w:rsidRPr="00963773">
              <w:rPr>
                <w:bCs/>
                <w:sz w:val="26"/>
                <w:szCs w:val="26"/>
              </w:rPr>
              <w:t>Hiệu quả của việc cung cấp dịch vụ</w:t>
            </w:r>
          </w:p>
        </w:tc>
        <w:tc>
          <w:tcPr>
            <w:tcW w:w="5245" w:type="dxa"/>
            <w:vAlign w:val="center"/>
          </w:tcPr>
          <w:p w:rsidR="00963773" w:rsidRPr="00963773" w:rsidRDefault="00963773" w:rsidP="00D65709">
            <w:pPr>
              <w:spacing w:before="120" w:after="120"/>
              <w:rPr>
                <w:sz w:val="26"/>
                <w:szCs w:val="26"/>
              </w:rPr>
            </w:pPr>
            <w:r w:rsidRPr="00963773">
              <w:rPr>
                <w:sz w:val="26"/>
                <w:szCs w:val="26"/>
              </w:rPr>
              <w:t xml:space="preserve">Có cam kết về hiệu quả của dữ liệu do nhà thầu cung cấp theo </w:t>
            </w:r>
            <w:r w:rsidRPr="00963773">
              <w:rPr>
                <w:sz w:val="26"/>
                <w:szCs w:val="26"/>
                <w:lang w:val="nl-NL"/>
              </w:rPr>
              <w:t>quy định tại Chương V – Phần 3 – Yêu cầu về kỹ thuật của E-HSMT và</w:t>
            </w:r>
            <w:r w:rsidRPr="00963773">
              <w:rPr>
                <w:sz w:val="26"/>
                <w:szCs w:val="26"/>
              </w:rPr>
              <w:t xml:space="preserve"> kèm tài liệu chứng minh.</w:t>
            </w:r>
          </w:p>
        </w:tc>
        <w:tc>
          <w:tcPr>
            <w:tcW w:w="2126" w:type="dxa"/>
          </w:tcPr>
          <w:p w:rsidR="00963773" w:rsidRPr="00963773" w:rsidRDefault="00963773" w:rsidP="00D65709">
            <w:pPr>
              <w:spacing w:before="120" w:after="120"/>
              <w:jc w:val="center"/>
              <w:rPr>
                <w:b/>
                <w:sz w:val="26"/>
                <w:szCs w:val="26"/>
              </w:rPr>
            </w:pPr>
            <w:r w:rsidRPr="00963773">
              <w:rPr>
                <w:b/>
                <w:sz w:val="26"/>
                <w:szCs w:val="26"/>
              </w:rPr>
              <w:t>Đạt</w:t>
            </w:r>
          </w:p>
        </w:tc>
      </w:tr>
      <w:tr w:rsidR="00963773" w:rsidRPr="00963773" w:rsidTr="00D65709">
        <w:tblPrEx>
          <w:tblCellMar>
            <w:left w:w="108" w:type="dxa"/>
            <w:right w:w="108" w:type="dxa"/>
          </w:tblCellMar>
          <w:tblLook w:val="04A0" w:firstRow="1" w:lastRow="0" w:firstColumn="1" w:lastColumn="0" w:noHBand="0" w:noVBand="1"/>
        </w:tblPrEx>
        <w:trPr>
          <w:trHeight w:val="283"/>
        </w:trPr>
        <w:tc>
          <w:tcPr>
            <w:tcW w:w="2694" w:type="dxa"/>
            <w:vMerge/>
            <w:vAlign w:val="center"/>
          </w:tcPr>
          <w:p w:rsidR="00963773" w:rsidRPr="00963773" w:rsidRDefault="00963773" w:rsidP="00D65709">
            <w:pPr>
              <w:spacing w:before="120" w:after="120"/>
              <w:ind w:right="43"/>
              <w:rPr>
                <w:b/>
                <w:bCs/>
                <w:sz w:val="26"/>
                <w:szCs w:val="26"/>
              </w:rPr>
            </w:pPr>
          </w:p>
        </w:tc>
        <w:tc>
          <w:tcPr>
            <w:tcW w:w="5245" w:type="dxa"/>
            <w:vAlign w:val="center"/>
          </w:tcPr>
          <w:p w:rsidR="00963773" w:rsidRPr="00963773" w:rsidRDefault="00963773" w:rsidP="00D65709">
            <w:pPr>
              <w:spacing w:before="120" w:after="120"/>
              <w:rPr>
                <w:sz w:val="26"/>
                <w:szCs w:val="26"/>
              </w:rPr>
            </w:pPr>
            <w:r w:rsidRPr="00963773">
              <w:rPr>
                <w:sz w:val="26"/>
                <w:szCs w:val="26"/>
              </w:rPr>
              <w:t xml:space="preserve">Không có cam kết về hiệu quả của dữ liệu do nhà thầu cung cấp theo </w:t>
            </w:r>
            <w:r w:rsidRPr="00963773">
              <w:rPr>
                <w:sz w:val="26"/>
                <w:szCs w:val="26"/>
                <w:lang w:val="nl-NL"/>
              </w:rPr>
              <w:t>quy định tại Chương V – Phần 3 – Yêu cầu về kỹ thuật của E-HSMT, không</w:t>
            </w:r>
            <w:r w:rsidRPr="00963773">
              <w:rPr>
                <w:sz w:val="26"/>
                <w:szCs w:val="26"/>
              </w:rPr>
              <w:t xml:space="preserve"> kèm tài liệu chứng minh.</w:t>
            </w:r>
          </w:p>
        </w:tc>
        <w:tc>
          <w:tcPr>
            <w:tcW w:w="2126" w:type="dxa"/>
          </w:tcPr>
          <w:p w:rsidR="00963773" w:rsidRPr="00963773" w:rsidRDefault="00963773" w:rsidP="00D65709">
            <w:pPr>
              <w:spacing w:before="120" w:after="120"/>
              <w:jc w:val="center"/>
              <w:rPr>
                <w:b/>
                <w:sz w:val="26"/>
                <w:szCs w:val="26"/>
                <w:lang w:val="vi-VN"/>
              </w:rPr>
            </w:pPr>
            <w:r w:rsidRPr="00963773">
              <w:rPr>
                <w:b/>
                <w:sz w:val="26"/>
                <w:szCs w:val="26"/>
                <w:lang w:val="vi-VN"/>
              </w:rPr>
              <w:t>Không đạt</w:t>
            </w:r>
          </w:p>
        </w:tc>
      </w:tr>
      <w:tr w:rsidR="00963773" w:rsidRPr="00963773" w:rsidTr="00D65709">
        <w:tblPrEx>
          <w:tblCellMar>
            <w:left w:w="108" w:type="dxa"/>
            <w:right w:w="108" w:type="dxa"/>
          </w:tblCellMar>
          <w:tblLook w:val="04A0" w:firstRow="1" w:lastRow="0" w:firstColumn="1" w:lastColumn="0" w:noHBand="0" w:noVBand="1"/>
        </w:tblPrEx>
        <w:trPr>
          <w:trHeight w:val="283"/>
        </w:trPr>
        <w:tc>
          <w:tcPr>
            <w:tcW w:w="10065" w:type="dxa"/>
            <w:gridSpan w:val="3"/>
            <w:vAlign w:val="center"/>
          </w:tcPr>
          <w:p w:rsidR="00963773" w:rsidRPr="00963773" w:rsidRDefault="00963773" w:rsidP="00D65709">
            <w:pPr>
              <w:spacing w:before="120" w:after="120"/>
              <w:rPr>
                <w:b/>
                <w:sz w:val="26"/>
                <w:szCs w:val="26"/>
                <w:lang w:val="vi-VN"/>
              </w:rPr>
            </w:pPr>
            <w:r w:rsidRPr="00963773">
              <w:rPr>
                <w:b/>
                <w:bCs/>
                <w:sz w:val="26"/>
                <w:szCs w:val="26"/>
              </w:rPr>
              <w:t>6. Uy tín và Kết quả thực hiện hợp đồng của nhà thầu (theo quy định tại Điều 19 và Điều 20 của Nghị định số 214/2025/NĐ-CP)</w:t>
            </w:r>
          </w:p>
        </w:tc>
      </w:tr>
      <w:tr w:rsidR="00963773" w:rsidRPr="00963773" w:rsidTr="00D65709">
        <w:tblPrEx>
          <w:tblCellMar>
            <w:left w:w="108" w:type="dxa"/>
            <w:right w:w="108" w:type="dxa"/>
          </w:tblCellMar>
          <w:tblLook w:val="04A0" w:firstRow="1" w:lastRow="0" w:firstColumn="1" w:lastColumn="0" w:noHBand="0" w:noVBand="1"/>
        </w:tblPrEx>
        <w:trPr>
          <w:trHeight w:val="283"/>
        </w:trPr>
        <w:tc>
          <w:tcPr>
            <w:tcW w:w="2694" w:type="dxa"/>
            <w:vMerge w:val="restart"/>
          </w:tcPr>
          <w:p w:rsidR="00963773" w:rsidRPr="00963773" w:rsidRDefault="00963773" w:rsidP="00D65709">
            <w:pPr>
              <w:spacing w:before="40" w:after="40" w:line="288" w:lineRule="auto"/>
              <w:ind w:right="43"/>
              <w:rPr>
                <w:bCs/>
                <w:sz w:val="26"/>
                <w:szCs w:val="26"/>
              </w:rPr>
            </w:pPr>
            <w:r w:rsidRPr="00963773">
              <w:rPr>
                <w:bCs/>
                <w:sz w:val="26"/>
                <w:szCs w:val="26"/>
              </w:rPr>
              <w:t>6.1. Uy tín của nhà thầu trong việc tham dự thầu bao gồm thông tin về các hành vi vi phạm trong quá trình tham dự thầu. (trong thời gian 03 năm gần đây tính đến thời điểm đóng thầu)</w:t>
            </w:r>
          </w:p>
        </w:tc>
        <w:tc>
          <w:tcPr>
            <w:tcW w:w="5245" w:type="dxa"/>
          </w:tcPr>
          <w:p w:rsidR="00963773" w:rsidRPr="00963773" w:rsidRDefault="00963773" w:rsidP="00D65709">
            <w:pPr>
              <w:spacing w:before="120" w:after="60" w:line="264" w:lineRule="auto"/>
              <w:ind w:right="68"/>
              <w:rPr>
                <w:bCs/>
                <w:i/>
                <w:sz w:val="26"/>
                <w:szCs w:val="26"/>
              </w:rPr>
            </w:pPr>
            <w:r w:rsidRPr="00963773">
              <w:rPr>
                <w:bCs/>
                <w:sz w:val="26"/>
                <w:szCs w:val="26"/>
              </w:rPr>
              <w:t xml:space="preserve">Nhà thầu đáp ứng yêu cầu </w:t>
            </w:r>
            <w:r w:rsidRPr="00963773">
              <w:rPr>
                <w:sz w:val="26"/>
                <w:szCs w:val="26"/>
                <w:lang w:val="nl-NL"/>
              </w:rPr>
              <w:t>quy định tại Chương V – Phần 3 – Yêu cầu về kỹ thuật của E-HSMT</w:t>
            </w:r>
            <w:r w:rsidRPr="00963773">
              <w:rPr>
                <w:b/>
                <w:bCs/>
                <w:i/>
                <w:sz w:val="26"/>
                <w:szCs w:val="26"/>
                <w:lang w:val="en-AU"/>
              </w:rPr>
              <w:t xml:space="preserve"> </w:t>
            </w:r>
          </w:p>
        </w:tc>
        <w:tc>
          <w:tcPr>
            <w:tcW w:w="2126" w:type="dxa"/>
            <w:vAlign w:val="center"/>
          </w:tcPr>
          <w:p w:rsidR="00963773" w:rsidRPr="00963773" w:rsidRDefault="00963773" w:rsidP="00D65709">
            <w:pPr>
              <w:spacing w:before="40" w:after="40" w:line="288" w:lineRule="auto"/>
              <w:jc w:val="center"/>
              <w:rPr>
                <w:b/>
                <w:sz w:val="26"/>
                <w:szCs w:val="26"/>
                <w:lang w:val="en-AU"/>
              </w:rPr>
            </w:pPr>
            <w:r w:rsidRPr="00963773">
              <w:rPr>
                <w:b/>
                <w:sz w:val="26"/>
                <w:szCs w:val="26"/>
              </w:rPr>
              <w:t>Đạt</w:t>
            </w:r>
          </w:p>
        </w:tc>
      </w:tr>
      <w:tr w:rsidR="00963773" w:rsidRPr="00963773" w:rsidTr="00D65709">
        <w:tblPrEx>
          <w:tblCellMar>
            <w:left w:w="108" w:type="dxa"/>
            <w:right w:w="108" w:type="dxa"/>
          </w:tblCellMar>
          <w:tblLook w:val="04A0" w:firstRow="1" w:lastRow="0" w:firstColumn="1" w:lastColumn="0" w:noHBand="0" w:noVBand="1"/>
        </w:tblPrEx>
        <w:trPr>
          <w:trHeight w:val="283"/>
        </w:trPr>
        <w:tc>
          <w:tcPr>
            <w:tcW w:w="2694" w:type="dxa"/>
            <w:vMerge/>
            <w:vAlign w:val="center"/>
          </w:tcPr>
          <w:p w:rsidR="00963773" w:rsidRPr="00963773" w:rsidRDefault="00963773" w:rsidP="00D65709">
            <w:pPr>
              <w:spacing w:before="120" w:after="120"/>
              <w:ind w:right="43"/>
              <w:rPr>
                <w:b/>
                <w:bCs/>
                <w:sz w:val="26"/>
                <w:szCs w:val="26"/>
              </w:rPr>
            </w:pPr>
          </w:p>
        </w:tc>
        <w:tc>
          <w:tcPr>
            <w:tcW w:w="5245" w:type="dxa"/>
          </w:tcPr>
          <w:p w:rsidR="00963773" w:rsidRPr="00963773" w:rsidRDefault="00963773" w:rsidP="00D65709">
            <w:pPr>
              <w:spacing w:before="120" w:after="60" w:line="264" w:lineRule="auto"/>
              <w:ind w:right="68"/>
              <w:rPr>
                <w:bCs/>
                <w:sz w:val="26"/>
                <w:szCs w:val="26"/>
              </w:rPr>
            </w:pPr>
            <w:r w:rsidRPr="00963773">
              <w:rPr>
                <w:bCs/>
                <w:sz w:val="26"/>
                <w:szCs w:val="26"/>
              </w:rPr>
              <w:t>Nhà thầu không đáp ứng các quy định nêu trên tại mục 6.1</w:t>
            </w:r>
          </w:p>
        </w:tc>
        <w:tc>
          <w:tcPr>
            <w:tcW w:w="2126" w:type="dxa"/>
            <w:vAlign w:val="center"/>
          </w:tcPr>
          <w:p w:rsidR="00963773" w:rsidRPr="00963773" w:rsidRDefault="00963773" w:rsidP="00D65709">
            <w:pPr>
              <w:spacing w:before="120" w:after="120"/>
              <w:jc w:val="center"/>
              <w:rPr>
                <w:b/>
                <w:sz w:val="26"/>
                <w:szCs w:val="26"/>
                <w:lang w:val="vi-VN"/>
              </w:rPr>
            </w:pPr>
            <w:r w:rsidRPr="00963773">
              <w:rPr>
                <w:b/>
                <w:sz w:val="26"/>
                <w:szCs w:val="26"/>
                <w:lang w:val="vi-VN"/>
              </w:rPr>
              <w:t>Không đạt</w:t>
            </w:r>
          </w:p>
        </w:tc>
      </w:tr>
      <w:tr w:rsidR="00963773" w:rsidRPr="00963773" w:rsidTr="00D65709">
        <w:tblPrEx>
          <w:tblCellMar>
            <w:left w:w="108" w:type="dxa"/>
            <w:right w:w="108" w:type="dxa"/>
          </w:tblCellMar>
          <w:tblLook w:val="04A0" w:firstRow="1" w:lastRow="0" w:firstColumn="1" w:lastColumn="0" w:noHBand="0" w:noVBand="1"/>
        </w:tblPrEx>
        <w:trPr>
          <w:trHeight w:val="283"/>
        </w:trPr>
        <w:tc>
          <w:tcPr>
            <w:tcW w:w="2694" w:type="dxa"/>
            <w:vMerge w:val="restart"/>
            <w:vAlign w:val="center"/>
          </w:tcPr>
          <w:p w:rsidR="00963773" w:rsidRPr="00963773" w:rsidRDefault="00963773" w:rsidP="00D65709">
            <w:pPr>
              <w:spacing w:before="40" w:after="40" w:line="288" w:lineRule="auto"/>
              <w:ind w:right="43"/>
              <w:rPr>
                <w:bCs/>
                <w:sz w:val="26"/>
                <w:szCs w:val="26"/>
              </w:rPr>
            </w:pPr>
            <w:r w:rsidRPr="00963773">
              <w:rPr>
                <w:bCs/>
                <w:sz w:val="26"/>
                <w:szCs w:val="26"/>
              </w:rPr>
              <w:t xml:space="preserve">6.2. Kết quả thực hiện hợp đồng của nhà thầu thông qua việc thực hiện các hợp đồng tương tự </w:t>
            </w:r>
            <w:r w:rsidRPr="00963773">
              <w:rPr>
                <w:sz w:val="26"/>
                <w:szCs w:val="26"/>
              </w:rPr>
              <w:t xml:space="preserve">(hợp đồng cung cấp dịch vụ nghiên cứu truyền thông, đo lường định lượng khán giả xem truyền hình tại thị </w:t>
            </w:r>
            <w:r w:rsidRPr="00963773">
              <w:rPr>
                <w:sz w:val="26"/>
                <w:szCs w:val="26"/>
              </w:rPr>
              <w:lastRenderedPageBreak/>
              <w:t xml:space="preserve">trường Việt Nam) </w:t>
            </w:r>
            <w:r w:rsidRPr="00963773">
              <w:rPr>
                <w:bCs/>
                <w:sz w:val="26"/>
                <w:szCs w:val="26"/>
              </w:rPr>
              <w:t>trong thời gian 03 năm gần đây tính đến thời điểm đóng thầu.</w:t>
            </w:r>
          </w:p>
        </w:tc>
        <w:tc>
          <w:tcPr>
            <w:tcW w:w="5245" w:type="dxa"/>
          </w:tcPr>
          <w:p w:rsidR="00963773" w:rsidRPr="00963773" w:rsidRDefault="00963773" w:rsidP="00D65709">
            <w:pPr>
              <w:spacing w:before="40" w:after="40" w:line="288" w:lineRule="auto"/>
              <w:rPr>
                <w:sz w:val="26"/>
                <w:szCs w:val="26"/>
                <w:lang w:val="en-AU"/>
              </w:rPr>
            </w:pPr>
            <w:r w:rsidRPr="00963773">
              <w:rPr>
                <w:bCs/>
                <w:sz w:val="26"/>
                <w:szCs w:val="26"/>
              </w:rPr>
              <w:lastRenderedPageBreak/>
              <w:t xml:space="preserve">Nhà thầu đáp ứng yêu cầu </w:t>
            </w:r>
            <w:r w:rsidRPr="00963773">
              <w:rPr>
                <w:sz w:val="26"/>
                <w:szCs w:val="26"/>
                <w:lang w:val="nl-NL"/>
              </w:rPr>
              <w:t>quy định tại Chương V – Phần 3 – Yêu cầu về kỹ thuật của E-HSMT</w:t>
            </w:r>
            <w:r w:rsidRPr="00963773">
              <w:rPr>
                <w:b/>
                <w:bCs/>
                <w:i/>
                <w:sz w:val="26"/>
                <w:szCs w:val="26"/>
                <w:lang w:val="en-AU"/>
              </w:rPr>
              <w:t xml:space="preserve"> </w:t>
            </w:r>
          </w:p>
        </w:tc>
        <w:tc>
          <w:tcPr>
            <w:tcW w:w="2126" w:type="dxa"/>
          </w:tcPr>
          <w:p w:rsidR="00963773" w:rsidRPr="00963773" w:rsidRDefault="00963773" w:rsidP="00D65709">
            <w:pPr>
              <w:spacing w:before="40" w:after="40" w:line="288" w:lineRule="auto"/>
              <w:jc w:val="center"/>
              <w:rPr>
                <w:b/>
                <w:sz w:val="26"/>
                <w:szCs w:val="26"/>
                <w:lang w:val="en-AU"/>
              </w:rPr>
            </w:pPr>
            <w:r w:rsidRPr="00963773">
              <w:rPr>
                <w:b/>
                <w:sz w:val="26"/>
                <w:szCs w:val="26"/>
                <w:lang w:val="en-AU"/>
              </w:rPr>
              <w:t>Đạt</w:t>
            </w:r>
          </w:p>
        </w:tc>
      </w:tr>
      <w:tr w:rsidR="00963773" w:rsidRPr="00963773" w:rsidTr="00D65709">
        <w:tblPrEx>
          <w:tblCellMar>
            <w:left w:w="108" w:type="dxa"/>
            <w:right w:w="108" w:type="dxa"/>
          </w:tblCellMar>
          <w:tblLook w:val="04A0" w:firstRow="1" w:lastRow="0" w:firstColumn="1" w:lastColumn="0" w:noHBand="0" w:noVBand="1"/>
        </w:tblPrEx>
        <w:trPr>
          <w:trHeight w:val="283"/>
        </w:trPr>
        <w:tc>
          <w:tcPr>
            <w:tcW w:w="2694" w:type="dxa"/>
            <w:vMerge/>
            <w:vAlign w:val="center"/>
          </w:tcPr>
          <w:p w:rsidR="00963773" w:rsidRPr="00963773" w:rsidRDefault="00963773" w:rsidP="00D65709">
            <w:pPr>
              <w:spacing w:before="120" w:after="120"/>
              <w:ind w:right="43"/>
              <w:rPr>
                <w:b/>
                <w:bCs/>
                <w:sz w:val="26"/>
                <w:szCs w:val="26"/>
              </w:rPr>
            </w:pPr>
          </w:p>
        </w:tc>
        <w:tc>
          <w:tcPr>
            <w:tcW w:w="5245" w:type="dxa"/>
          </w:tcPr>
          <w:p w:rsidR="00963773" w:rsidRPr="00963773" w:rsidRDefault="00963773" w:rsidP="00D65709">
            <w:pPr>
              <w:spacing w:before="120" w:after="120"/>
              <w:rPr>
                <w:bCs/>
                <w:sz w:val="26"/>
                <w:szCs w:val="26"/>
              </w:rPr>
            </w:pPr>
            <w:r w:rsidRPr="00963773">
              <w:rPr>
                <w:bCs/>
                <w:sz w:val="26"/>
                <w:szCs w:val="26"/>
              </w:rPr>
              <w:t>Nhà thầu không đáp ứng các quy định nêu trên tại mục 6.2.</w:t>
            </w:r>
          </w:p>
        </w:tc>
        <w:tc>
          <w:tcPr>
            <w:tcW w:w="2126" w:type="dxa"/>
          </w:tcPr>
          <w:p w:rsidR="00963773" w:rsidRPr="00963773" w:rsidRDefault="00963773" w:rsidP="00D65709">
            <w:pPr>
              <w:spacing w:before="120" w:after="120"/>
              <w:jc w:val="center"/>
              <w:rPr>
                <w:b/>
                <w:sz w:val="26"/>
                <w:szCs w:val="26"/>
                <w:lang w:val="vi-VN"/>
              </w:rPr>
            </w:pPr>
            <w:r w:rsidRPr="00963773">
              <w:rPr>
                <w:b/>
                <w:sz w:val="26"/>
                <w:szCs w:val="26"/>
                <w:lang w:val="vi-VN"/>
              </w:rPr>
              <w:t>Không đạt</w:t>
            </w:r>
          </w:p>
        </w:tc>
      </w:tr>
      <w:tr w:rsidR="00963773" w:rsidRPr="00963773" w:rsidTr="00D65709">
        <w:tblPrEx>
          <w:tblCellMar>
            <w:left w:w="108" w:type="dxa"/>
            <w:right w:w="108" w:type="dxa"/>
          </w:tblCellMar>
          <w:tblLook w:val="04A0" w:firstRow="1" w:lastRow="0" w:firstColumn="1" w:lastColumn="0" w:noHBand="0" w:noVBand="1"/>
        </w:tblPrEx>
        <w:trPr>
          <w:trHeight w:val="283"/>
        </w:trPr>
        <w:tc>
          <w:tcPr>
            <w:tcW w:w="2694" w:type="dxa"/>
            <w:vMerge w:val="restart"/>
            <w:vAlign w:val="center"/>
          </w:tcPr>
          <w:p w:rsidR="00963773" w:rsidRPr="00963773" w:rsidRDefault="00963773" w:rsidP="00D65709">
            <w:pPr>
              <w:spacing w:before="120" w:after="120"/>
              <w:ind w:firstLine="90"/>
              <w:jc w:val="center"/>
              <w:rPr>
                <w:b/>
                <w:sz w:val="26"/>
                <w:szCs w:val="26"/>
                <w:lang w:val="nl-NL"/>
              </w:rPr>
            </w:pPr>
            <w:r w:rsidRPr="00963773">
              <w:rPr>
                <w:b/>
                <w:sz w:val="26"/>
                <w:szCs w:val="26"/>
                <w:lang w:val="nl-NL"/>
              </w:rPr>
              <w:lastRenderedPageBreak/>
              <w:t>KẾT LUẬN:</w:t>
            </w:r>
          </w:p>
        </w:tc>
        <w:tc>
          <w:tcPr>
            <w:tcW w:w="5245" w:type="dxa"/>
          </w:tcPr>
          <w:p w:rsidR="00963773" w:rsidRPr="00963773" w:rsidRDefault="00963773" w:rsidP="00D65709">
            <w:pPr>
              <w:spacing w:before="120" w:after="120"/>
              <w:ind w:right="43"/>
              <w:rPr>
                <w:b/>
                <w:sz w:val="26"/>
                <w:szCs w:val="26"/>
                <w:lang w:val="nl-NL"/>
              </w:rPr>
            </w:pPr>
            <w:r w:rsidRPr="00963773">
              <w:rPr>
                <w:b/>
                <w:sz w:val="26"/>
                <w:szCs w:val="26"/>
                <w:lang w:val="nl-NL"/>
              </w:rPr>
              <w:t>Tất cả các tiêu chuẩn được đánh giá là “Đạt” hoặc “Chấp nhận được”</w:t>
            </w:r>
          </w:p>
        </w:tc>
        <w:tc>
          <w:tcPr>
            <w:tcW w:w="2126" w:type="dxa"/>
          </w:tcPr>
          <w:p w:rsidR="00963773" w:rsidRPr="00963773" w:rsidRDefault="00963773" w:rsidP="00D65709">
            <w:pPr>
              <w:spacing w:before="120" w:after="120"/>
              <w:jc w:val="center"/>
              <w:rPr>
                <w:b/>
                <w:sz w:val="26"/>
                <w:szCs w:val="26"/>
              </w:rPr>
            </w:pPr>
            <w:r w:rsidRPr="00963773">
              <w:rPr>
                <w:b/>
                <w:sz w:val="26"/>
                <w:szCs w:val="26"/>
              </w:rPr>
              <w:t>Đạt</w:t>
            </w:r>
          </w:p>
        </w:tc>
      </w:tr>
      <w:tr w:rsidR="00963773" w:rsidRPr="00963773" w:rsidTr="00D65709">
        <w:tblPrEx>
          <w:tblCellMar>
            <w:left w:w="108" w:type="dxa"/>
            <w:right w:w="108" w:type="dxa"/>
          </w:tblCellMar>
          <w:tblLook w:val="04A0" w:firstRow="1" w:lastRow="0" w:firstColumn="1" w:lastColumn="0" w:noHBand="0" w:noVBand="1"/>
        </w:tblPrEx>
        <w:trPr>
          <w:trHeight w:val="283"/>
        </w:trPr>
        <w:tc>
          <w:tcPr>
            <w:tcW w:w="2694" w:type="dxa"/>
            <w:vMerge/>
            <w:vAlign w:val="center"/>
          </w:tcPr>
          <w:p w:rsidR="00963773" w:rsidRPr="00963773" w:rsidRDefault="00963773" w:rsidP="00D65709">
            <w:pPr>
              <w:spacing w:before="120" w:after="120"/>
              <w:ind w:right="43"/>
              <w:rPr>
                <w:bCs/>
                <w:sz w:val="26"/>
                <w:szCs w:val="26"/>
              </w:rPr>
            </w:pPr>
          </w:p>
        </w:tc>
        <w:tc>
          <w:tcPr>
            <w:tcW w:w="5245" w:type="dxa"/>
          </w:tcPr>
          <w:p w:rsidR="00963773" w:rsidRPr="00963773" w:rsidRDefault="00963773" w:rsidP="00D65709">
            <w:pPr>
              <w:spacing w:before="120" w:after="120"/>
              <w:ind w:right="43"/>
              <w:rPr>
                <w:b/>
                <w:sz w:val="26"/>
                <w:szCs w:val="26"/>
              </w:rPr>
            </w:pPr>
            <w:r w:rsidRPr="00963773">
              <w:rPr>
                <w:b/>
                <w:sz w:val="26"/>
                <w:szCs w:val="26"/>
              </w:rPr>
              <w:t>“Không đạt” bất cứ nội dung nào nêu trên</w:t>
            </w:r>
          </w:p>
        </w:tc>
        <w:tc>
          <w:tcPr>
            <w:tcW w:w="2126" w:type="dxa"/>
          </w:tcPr>
          <w:p w:rsidR="00963773" w:rsidRPr="00963773" w:rsidRDefault="00963773" w:rsidP="00D65709">
            <w:pPr>
              <w:spacing w:before="120" w:after="120"/>
              <w:jc w:val="center"/>
              <w:rPr>
                <w:b/>
                <w:sz w:val="26"/>
                <w:szCs w:val="26"/>
                <w:lang w:val="vi-VN"/>
              </w:rPr>
            </w:pPr>
            <w:r w:rsidRPr="00963773">
              <w:rPr>
                <w:b/>
                <w:sz w:val="26"/>
                <w:szCs w:val="26"/>
                <w:lang w:val="vi-VN"/>
              </w:rPr>
              <w:t>Không đạt</w:t>
            </w:r>
          </w:p>
        </w:tc>
      </w:tr>
      <w:bookmarkEnd w:id="0"/>
    </w:tbl>
    <w:p w:rsidR="00963773" w:rsidRPr="00963773" w:rsidRDefault="00963773" w:rsidP="00963773">
      <w:pPr>
        <w:widowControl w:val="0"/>
        <w:spacing w:before="120" w:after="120"/>
        <w:ind w:firstLine="709"/>
        <w:rPr>
          <w:iCs/>
          <w:sz w:val="28"/>
          <w:szCs w:val="28"/>
        </w:rPr>
      </w:pPr>
    </w:p>
    <w:p w:rsidR="008127F9" w:rsidRPr="00963773" w:rsidRDefault="008127F9"/>
    <w:sectPr w:rsidR="008127F9" w:rsidRPr="0096377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2A4" w:rsidRDefault="008732A4" w:rsidP="00963773">
      <w:r>
        <w:separator/>
      </w:r>
    </w:p>
  </w:endnote>
  <w:endnote w:type="continuationSeparator" w:id="0">
    <w:p w:rsidR="008732A4" w:rsidRDefault="008732A4" w:rsidP="00963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2A4" w:rsidRDefault="008732A4" w:rsidP="00963773">
      <w:r>
        <w:separator/>
      </w:r>
    </w:p>
  </w:footnote>
  <w:footnote w:type="continuationSeparator" w:id="0">
    <w:p w:rsidR="008732A4" w:rsidRDefault="008732A4" w:rsidP="009637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773"/>
    <w:rsid w:val="000174D9"/>
    <w:rsid w:val="008127F9"/>
    <w:rsid w:val="008732A4"/>
    <w:rsid w:val="00963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10D635-7535-4138-BC9A-DEA38E96A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77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963773"/>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963773"/>
    <w:rPr>
      <w:rFonts w:ascii="Times New Roman" w:eastAsia="Times New Roman" w:hAnsi="Times New Roman" w:cs="Times New Roman"/>
      <w:sz w:val="20"/>
      <w:szCs w:val="20"/>
      <w:lang w:val="x-none" w:eastAsia="x-none"/>
    </w:rPr>
  </w:style>
  <w:style w:type="character" w:styleId="FootnoteReference">
    <w:name w:val="footnote reference"/>
    <w:aliases w:val="callout"/>
    <w:uiPriority w:val="99"/>
    <w:rsid w:val="00963773"/>
    <w:rPr>
      <w:vertAlign w:val="superscript"/>
    </w:rPr>
  </w:style>
  <w:style w:type="paragraph" w:customStyle="1" w:styleId="Sub-ClauseText">
    <w:name w:val="Sub-Clause Text"/>
    <w:basedOn w:val="Normal"/>
    <w:rsid w:val="00963773"/>
    <w:pPr>
      <w:spacing w:before="120" w:after="120"/>
    </w:pPr>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Anh</dc:creator>
  <cp:keywords/>
  <dc:description/>
  <cp:lastModifiedBy>Van Anh</cp:lastModifiedBy>
  <cp:revision>2</cp:revision>
  <dcterms:created xsi:type="dcterms:W3CDTF">2026-03-06T11:51:00Z</dcterms:created>
  <dcterms:modified xsi:type="dcterms:W3CDTF">2026-03-06T11:53:00Z</dcterms:modified>
</cp:coreProperties>
</file>