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0B9FA" w14:textId="77777777" w:rsidR="00533B88" w:rsidRPr="00C02CB5" w:rsidRDefault="00533B88" w:rsidP="00533B88">
      <w:pPr>
        <w:pStyle w:val="TOC1"/>
        <w:spacing w:line="264" w:lineRule="auto"/>
        <w:rPr>
          <w:rFonts w:ascii="Times New Roman" w:hAnsi="Times New Roman" w:cs="Times New Roman"/>
          <w:sz w:val="26"/>
          <w:szCs w:val="26"/>
        </w:rPr>
      </w:pPr>
      <w:bookmarkStart w:id="0" w:name="_Hlk168988831"/>
      <w:r w:rsidRPr="00C02CB5">
        <w:rPr>
          <w:rFonts w:ascii="Times New Roman" w:hAnsi="Times New Roman" w:cs="Times New Roman"/>
          <w:sz w:val="26"/>
          <w:szCs w:val="26"/>
        </w:rPr>
        <w:t xml:space="preserve">Mục </w:t>
      </w:r>
      <w:r w:rsidRPr="00C02CB5">
        <w:rPr>
          <w:rFonts w:ascii="Times New Roman" w:hAnsi="Times New Roman" w:cs="Times New Roman"/>
          <w:sz w:val="26"/>
          <w:szCs w:val="26"/>
          <w:lang w:val="pl-PL"/>
        </w:rPr>
        <w:t>3</w:t>
      </w:r>
      <w:r w:rsidRPr="00C02CB5">
        <w:rPr>
          <w:rFonts w:ascii="Times New Roman" w:hAnsi="Times New Roman" w:cs="Times New Roman"/>
          <w:sz w:val="26"/>
          <w:szCs w:val="26"/>
        </w:rPr>
        <w:t>. Tiêu chuẩn đánh giá về kỹ thuật</w:t>
      </w:r>
    </w:p>
    <w:p w14:paraId="5BAB8FD9" w14:textId="77777777" w:rsidR="00533B88" w:rsidRDefault="00533B88" w:rsidP="00533B88">
      <w:pPr>
        <w:spacing w:before="80" w:after="80" w:line="264" w:lineRule="auto"/>
        <w:ind w:firstLine="709"/>
        <w:rPr>
          <w:sz w:val="26"/>
          <w:szCs w:val="26"/>
        </w:rPr>
      </w:pPr>
      <w:r w:rsidRPr="00C02CB5">
        <w:rPr>
          <w:sz w:val="26"/>
          <w:szCs w:val="26"/>
          <w:lang w:val="vi-VN"/>
        </w:rPr>
        <w:t>Sử dụng tiêu chí đạt/không đạt để xây dựng tiêu chuẩn đánh giá về kỹ thuật.</w:t>
      </w:r>
    </w:p>
    <w:p w14:paraId="1502C582" w14:textId="77777777" w:rsidR="005E57EA" w:rsidRDefault="005E57EA" w:rsidP="00533B88">
      <w:pPr>
        <w:spacing w:before="80" w:after="80" w:line="264" w:lineRule="auto"/>
        <w:ind w:firstLine="709"/>
        <w:rPr>
          <w:sz w:val="26"/>
          <w:szCs w:val="26"/>
        </w:rPr>
      </w:pPr>
    </w:p>
    <w:tbl>
      <w:tblPr>
        <w:tblW w:w="558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7435"/>
        <w:gridCol w:w="2115"/>
      </w:tblGrid>
      <w:tr w:rsidR="005E57EA" w:rsidRPr="005E57EA" w14:paraId="145E7CF3" w14:textId="77777777" w:rsidTr="005E57EA">
        <w:trPr>
          <w:trHeight w:val="20"/>
        </w:trPr>
        <w:tc>
          <w:tcPr>
            <w:tcW w:w="448" w:type="pct"/>
            <w:shd w:val="clear" w:color="000000" w:fill="C6E0B4"/>
            <w:noWrap/>
            <w:vAlign w:val="center"/>
            <w:hideMark/>
          </w:tcPr>
          <w:p w14:paraId="591E6836" w14:textId="77777777" w:rsidR="005E57EA" w:rsidRPr="005E57EA" w:rsidRDefault="005E57EA" w:rsidP="00A910FC">
            <w:pPr>
              <w:widowControl w:val="0"/>
              <w:spacing w:before="40" w:after="40" w:line="288" w:lineRule="auto"/>
              <w:jc w:val="center"/>
              <w:rPr>
                <w:b/>
                <w:bCs/>
                <w:sz w:val="26"/>
                <w:szCs w:val="26"/>
              </w:rPr>
            </w:pPr>
            <w:r w:rsidRPr="005E57EA">
              <w:rPr>
                <w:b/>
                <w:bCs/>
                <w:sz w:val="26"/>
                <w:szCs w:val="26"/>
                <w:lang w:val="vi-VN"/>
              </w:rPr>
              <w:t>TT</w:t>
            </w:r>
          </w:p>
        </w:tc>
        <w:tc>
          <w:tcPr>
            <w:tcW w:w="3544" w:type="pct"/>
            <w:shd w:val="clear" w:color="000000" w:fill="C6E0B4"/>
            <w:noWrap/>
            <w:vAlign w:val="center"/>
            <w:hideMark/>
          </w:tcPr>
          <w:p w14:paraId="7E90B28F" w14:textId="77777777" w:rsidR="005E57EA" w:rsidRPr="005E57EA" w:rsidRDefault="005E57EA" w:rsidP="00A910FC">
            <w:pPr>
              <w:widowControl w:val="0"/>
              <w:spacing w:before="40" w:after="40" w:line="288" w:lineRule="auto"/>
              <w:rPr>
                <w:b/>
                <w:bCs/>
                <w:sz w:val="26"/>
                <w:szCs w:val="26"/>
              </w:rPr>
            </w:pPr>
            <w:r w:rsidRPr="005E57EA">
              <w:rPr>
                <w:b/>
                <w:bCs/>
                <w:sz w:val="26"/>
                <w:szCs w:val="26"/>
                <w:lang w:val="vi-VN"/>
              </w:rPr>
              <w:t>Nội dung đánh giá</w:t>
            </w:r>
          </w:p>
        </w:tc>
        <w:tc>
          <w:tcPr>
            <w:tcW w:w="1008" w:type="pct"/>
            <w:shd w:val="clear" w:color="000000" w:fill="C6E0B4"/>
            <w:vAlign w:val="center"/>
            <w:hideMark/>
          </w:tcPr>
          <w:p w14:paraId="101F1B14" w14:textId="77777777" w:rsidR="005E57EA" w:rsidRPr="005E57EA" w:rsidRDefault="005E57EA" w:rsidP="00A910FC">
            <w:pPr>
              <w:widowControl w:val="0"/>
              <w:spacing w:before="40" w:after="40" w:line="288" w:lineRule="auto"/>
              <w:jc w:val="center"/>
              <w:rPr>
                <w:b/>
                <w:bCs/>
                <w:sz w:val="26"/>
                <w:szCs w:val="26"/>
              </w:rPr>
            </w:pPr>
            <w:r w:rsidRPr="005E57EA">
              <w:rPr>
                <w:b/>
                <w:bCs/>
                <w:sz w:val="26"/>
                <w:szCs w:val="26"/>
                <w:lang w:val="vi-VN"/>
              </w:rPr>
              <w:t>Sử dụng tiêu chí đạt, không đạt</w:t>
            </w:r>
          </w:p>
        </w:tc>
      </w:tr>
      <w:tr w:rsidR="005E57EA" w:rsidRPr="005E57EA" w14:paraId="0639D534" w14:textId="77777777" w:rsidTr="005E57EA">
        <w:trPr>
          <w:trHeight w:val="20"/>
        </w:trPr>
        <w:tc>
          <w:tcPr>
            <w:tcW w:w="448" w:type="pct"/>
            <w:shd w:val="clear" w:color="000000" w:fill="C6E0B4"/>
            <w:noWrap/>
            <w:vAlign w:val="center"/>
            <w:hideMark/>
          </w:tcPr>
          <w:p w14:paraId="07EC2FFA" w14:textId="77777777" w:rsidR="005E57EA" w:rsidRPr="005E57EA" w:rsidRDefault="005E57EA" w:rsidP="00A910FC">
            <w:pPr>
              <w:widowControl w:val="0"/>
              <w:spacing w:before="40" w:after="40" w:line="288" w:lineRule="auto"/>
              <w:jc w:val="center"/>
              <w:rPr>
                <w:b/>
                <w:bCs/>
                <w:sz w:val="26"/>
                <w:szCs w:val="26"/>
              </w:rPr>
            </w:pPr>
            <w:r w:rsidRPr="005E57EA">
              <w:rPr>
                <w:b/>
                <w:bCs/>
                <w:sz w:val="26"/>
                <w:szCs w:val="26"/>
                <w:lang w:val="vi-VN"/>
              </w:rPr>
              <w:t>1</w:t>
            </w:r>
          </w:p>
        </w:tc>
        <w:tc>
          <w:tcPr>
            <w:tcW w:w="3544" w:type="pct"/>
            <w:shd w:val="clear" w:color="000000" w:fill="C6E0B4"/>
            <w:vAlign w:val="center"/>
            <w:hideMark/>
          </w:tcPr>
          <w:p w14:paraId="0AF9380E" w14:textId="77777777" w:rsidR="005E57EA" w:rsidRPr="005E57EA" w:rsidRDefault="005E57EA" w:rsidP="00A910FC">
            <w:pPr>
              <w:widowControl w:val="0"/>
              <w:spacing w:before="40" w:after="40" w:line="288" w:lineRule="auto"/>
              <w:rPr>
                <w:b/>
                <w:bCs/>
                <w:sz w:val="26"/>
                <w:szCs w:val="26"/>
              </w:rPr>
            </w:pPr>
            <w:r w:rsidRPr="005E57EA">
              <w:rPr>
                <w:b/>
                <w:bCs/>
                <w:sz w:val="26"/>
                <w:szCs w:val="26"/>
                <w:lang w:val="vi-VN"/>
              </w:rPr>
              <w:t>Đặc tính, thông số kỹ thuật của hàng hóa, tiêu chuẩn sản xuất, tiêu chuẩn chế tạo và công nghệ</w:t>
            </w:r>
          </w:p>
        </w:tc>
        <w:tc>
          <w:tcPr>
            <w:tcW w:w="1008" w:type="pct"/>
            <w:shd w:val="clear" w:color="000000" w:fill="C6E0B4"/>
            <w:noWrap/>
            <w:vAlign w:val="center"/>
            <w:hideMark/>
          </w:tcPr>
          <w:p w14:paraId="15E82756" w14:textId="77777777" w:rsidR="005E57EA" w:rsidRPr="005E57EA" w:rsidRDefault="005E57EA" w:rsidP="00A910FC">
            <w:pPr>
              <w:widowControl w:val="0"/>
              <w:spacing w:before="40" w:after="40" w:line="288" w:lineRule="auto"/>
              <w:jc w:val="center"/>
              <w:rPr>
                <w:sz w:val="26"/>
                <w:szCs w:val="26"/>
              </w:rPr>
            </w:pPr>
            <w:r w:rsidRPr="005E57EA">
              <w:rPr>
                <w:sz w:val="26"/>
                <w:szCs w:val="26"/>
              </w:rPr>
              <w:t> </w:t>
            </w:r>
          </w:p>
        </w:tc>
      </w:tr>
      <w:tr w:rsidR="005E57EA" w:rsidRPr="005E57EA" w14:paraId="494DAC8B" w14:textId="77777777" w:rsidTr="005E57EA">
        <w:trPr>
          <w:trHeight w:val="20"/>
        </w:trPr>
        <w:tc>
          <w:tcPr>
            <w:tcW w:w="448" w:type="pct"/>
            <w:vMerge w:val="restart"/>
            <w:noWrap/>
            <w:vAlign w:val="center"/>
            <w:hideMark/>
          </w:tcPr>
          <w:p w14:paraId="73B4DFE3"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 </w:t>
            </w:r>
          </w:p>
        </w:tc>
        <w:tc>
          <w:tcPr>
            <w:tcW w:w="3544" w:type="pct"/>
            <w:vAlign w:val="center"/>
            <w:hideMark/>
          </w:tcPr>
          <w:p w14:paraId="7CFE09E9" w14:textId="77777777" w:rsidR="005E57EA" w:rsidRPr="005E57EA" w:rsidRDefault="005E57EA" w:rsidP="00A910FC">
            <w:pPr>
              <w:widowControl w:val="0"/>
              <w:spacing w:before="40" w:after="40" w:line="288" w:lineRule="auto"/>
              <w:rPr>
                <w:sz w:val="26"/>
                <w:szCs w:val="26"/>
                <w:lang w:val="vi-VN"/>
              </w:rPr>
            </w:pPr>
            <w:r w:rsidRPr="005E57EA">
              <w:rPr>
                <w:sz w:val="26"/>
                <w:szCs w:val="26"/>
                <w:lang w:val="vi-VN"/>
              </w:rPr>
              <w:t xml:space="preserve">- </w:t>
            </w:r>
            <w:r w:rsidRPr="005E57EA">
              <w:rPr>
                <w:sz w:val="26"/>
                <w:szCs w:val="26"/>
              </w:rPr>
              <w:t>Nhà thầu phải có bảng tuyên đố đ</w:t>
            </w:r>
            <w:r w:rsidRPr="005E57EA">
              <w:rPr>
                <w:sz w:val="26"/>
                <w:szCs w:val="26"/>
                <w:lang w:val="vi-VN"/>
              </w:rPr>
              <w:t>áp ứng</w:t>
            </w:r>
            <w:r w:rsidRPr="005E57EA">
              <w:rPr>
                <w:sz w:val="26"/>
                <w:szCs w:val="26"/>
              </w:rPr>
              <w:t xml:space="preserve"> các yêu cầu kỹ thuật </w:t>
            </w:r>
            <w:r w:rsidRPr="005E57EA">
              <w:rPr>
                <w:sz w:val="26"/>
                <w:szCs w:val="26"/>
                <w:lang w:val="vi-VN"/>
              </w:rPr>
              <w:t xml:space="preserve"> theo yêu cầu tại Chương V của E-HSMT. Trong đó hàng hóa nhà thầu để xuất phải được nêu rõ: Nguồn gốc xuất xứ, hãn sản xuất, chủng loại, ký mã hiệu hoặc model, tình trạng hàng hóa và năm sản xuất của thiết bị dự thầu. </w:t>
            </w:r>
          </w:p>
          <w:p w14:paraId="38CF38FD" w14:textId="77777777" w:rsidR="005E57EA" w:rsidRPr="005E57EA" w:rsidRDefault="005E57EA" w:rsidP="00A910FC">
            <w:pPr>
              <w:widowControl w:val="0"/>
              <w:spacing w:before="40" w:after="40" w:line="288" w:lineRule="auto"/>
              <w:rPr>
                <w:strike/>
                <w:sz w:val="26"/>
                <w:szCs w:val="26"/>
                <w:lang w:val="vi-VN"/>
              </w:rPr>
            </w:pPr>
            <w:r w:rsidRPr="005E57EA">
              <w:rPr>
                <w:sz w:val="26"/>
                <w:szCs w:val="26"/>
                <w:lang w:val="vi-VN"/>
              </w:rPr>
              <w:t>- Nhà thầu phải nộp theo E-HSDT Catalog của từng hàng hóa dự thầu. Catalogue phải là bản của nhà sản xuất ban hành hoặc bản công bố thông số kỹ thuật của nhà sản xuất đã được tiêu chuẩn hóa và công khai trên website chính thức của nhà sản xuất. Trường hợp sản phẩm là hàng hóa chưa được tiêu chuẩn hóa nhà thầu cần phải có bảng công bố thông số kỹ thuật do đại diện pháp luật của nhà sản xuất ký và xác nhận, Nhưng phải đảm bảo các thông số kỹ thuật ban hành phải logic với thông số kỹ thuật đề xuất của nhà thầu.</w:t>
            </w:r>
          </w:p>
          <w:p w14:paraId="00CA19CE" w14:textId="77777777" w:rsidR="005E57EA" w:rsidRPr="005E57EA" w:rsidRDefault="005E57EA" w:rsidP="00A910FC">
            <w:pPr>
              <w:widowControl w:val="0"/>
              <w:spacing w:before="40" w:after="40" w:line="288" w:lineRule="auto"/>
              <w:rPr>
                <w:sz w:val="26"/>
                <w:szCs w:val="26"/>
                <w:lang w:val="vi-VN"/>
              </w:rPr>
            </w:pPr>
            <w:r w:rsidRPr="005E57EA">
              <w:rPr>
                <w:sz w:val="26"/>
                <w:szCs w:val="26"/>
                <w:lang w:val="vi-VN"/>
              </w:rPr>
              <w:t>- Trong bảng tuyến bố đáp ứng các yêu cầu kỹ thuật nhà thầu cần phải phân tích đánh giá mức độ đáp ứng về yêu cầu kỹ thuật của hàng hóa thiết bị dự thầu.</w:t>
            </w:r>
          </w:p>
          <w:p w14:paraId="644CA9C8" w14:textId="77777777" w:rsidR="005E57EA" w:rsidRPr="005E57EA" w:rsidRDefault="005E57EA" w:rsidP="00A910FC">
            <w:pPr>
              <w:widowControl w:val="0"/>
              <w:spacing w:before="40" w:after="40" w:line="288" w:lineRule="auto"/>
              <w:rPr>
                <w:sz w:val="26"/>
                <w:szCs w:val="26"/>
                <w:lang w:val="vi-VN"/>
              </w:rPr>
            </w:pPr>
            <w:r w:rsidRPr="005E57EA">
              <w:rPr>
                <w:sz w:val="26"/>
                <w:szCs w:val="26"/>
                <w:lang w:val="vi-VN"/>
              </w:rPr>
              <w:t>-  Bảng đáp ứng yêu cầu kỹ thuật của nhà thầu phải có chữ ký và con dấu của đại diện hợp pháp của nhà thầu ký xác nhận và chịu trách nhiệm trước pháp luật về các đề xuất kỹ thuật nêu trên.</w:t>
            </w:r>
          </w:p>
        </w:tc>
        <w:tc>
          <w:tcPr>
            <w:tcW w:w="1008" w:type="pct"/>
            <w:vAlign w:val="center"/>
            <w:hideMark/>
          </w:tcPr>
          <w:p w14:paraId="6C1A5577"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Đạt</w:t>
            </w:r>
          </w:p>
        </w:tc>
      </w:tr>
      <w:tr w:rsidR="005E57EA" w:rsidRPr="005E57EA" w14:paraId="42EA2BD0" w14:textId="77777777" w:rsidTr="005E57EA">
        <w:trPr>
          <w:trHeight w:val="20"/>
        </w:trPr>
        <w:tc>
          <w:tcPr>
            <w:tcW w:w="448" w:type="pct"/>
            <w:vMerge/>
            <w:vAlign w:val="center"/>
            <w:hideMark/>
          </w:tcPr>
          <w:p w14:paraId="43E12324" w14:textId="77777777" w:rsidR="005E57EA" w:rsidRPr="005E57EA" w:rsidRDefault="005E57EA" w:rsidP="00A910FC">
            <w:pPr>
              <w:widowControl w:val="0"/>
              <w:spacing w:before="40" w:after="40" w:line="288" w:lineRule="auto"/>
              <w:rPr>
                <w:sz w:val="26"/>
                <w:szCs w:val="26"/>
              </w:rPr>
            </w:pPr>
          </w:p>
        </w:tc>
        <w:tc>
          <w:tcPr>
            <w:tcW w:w="3544" w:type="pct"/>
            <w:vAlign w:val="center"/>
            <w:hideMark/>
          </w:tcPr>
          <w:p w14:paraId="2F0E0355" w14:textId="77777777" w:rsidR="005E57EA" w:rsidRPr="005E57EA" w:rsidRDefault="005E57EA" w:rsidP="00A910FC">
            <w:pPr>
              <w:widowControl w:val="0"/>
              <w:spacing w:before="40" w:after="40" w:line="288" w:lineRule="auto"/>
              <w:rPr>
                <w:sz w:val="26"/>
                <w:szCs w:val="26"/>
              </w:rPr>
            </w:pPr>
            <w:r w:rsidRPr="005E57EA">
              <w:rPr>
                <w:sz w:val="26"/>
                <w:szCs w:val="26"/>
                <w:lang w:val="vi-VN"/>
              </w:rPr>
              <w:t xml:space="preserve">- Nhà thầu không đáp ứng </w:t>
            </w:r>
            <w:r w:rsidRPr="005E57EA">
              <w:rPr>
                <w:sz w:val="26"/>
                <w:szCs w:val="26"/>
              </w:rPr>
              <w:t>một trong các yêu cầu cụ thể nêu trên</w:t>
            </w:r>
          </w:p>
        </w:tc>
        <w:tc>
          <w:tcPr>
            <w:tcW w:w="1008" w:type="pct"/>
            <w:vAlign w:val="center"/>
            <w:hideMark/>
          </w:tcPr>
          <w:p w14:paraId="47A292E5"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Không đạt</w:t>
            </w:r>
          </w:p>
        </w:tc>
      </w:tr>
      <w:tr w:rsidR="005E57EA" w:rsidRPr="005E57EA" w14:paraId="329857D8" w14:textId="77777777" w:rsidTr="005E57EA">
        <w:trPr>
          <w:trHeight w:val="20"/>
        </w:trPr>
        <w:tc>
          <w:tcPr>
            <w:tcW w:w="448" w:type="pct"/>
            <w:shd w:val="clear" w:color="000000" w:fill="C6E0B4"/>
            <w:noWrap/>
            <w:vAlign w:val="center"/>
            <w:hideMark/>
          </w:tcPr>
          <w:p w14:paraId="2C9FB57D" w14:textId="77777777" w:rsidR="005E57EA" w:rsidRPr="005E57EA" w:rsidRDefault="005E57EA" w:rsidP="00A910FC">
            <w:pPr>
              <w:widowControl w:val="0"/>
              <w:spacing w:before="40" w:after="40" w:line="288" w:lineRule="auto"/>
              <w:jc w:val="center"/>
              <w:rPr>
                <w:b/>
                <w:bCs/>
                <w:sz w:val="26"/>
                <w:szCs w:val="26"/>
              </w:rPr>
            </w:pPr>
            <w:r w:rsidRPr="005E57EA">
              <w:rPr>
                <w:b/>
                <w:bCs/>
                <w:sz w:val="26"/>
                <w:szCs w:val="26"/>
                <w:lang w:val="vi-VN"/>
              </w:rPr>
              <w:t>2</w:t>
            </w:r>
          </w:p>
        </w:tc>
        <w:tc>
          <w:tcPr>
            <w:tcW w:w="3544" w:type="pct"/>
            <w:shd w:val="clear" w:color="000000" w:fill="C6E0B4"/>
            <w:vAlign w:val="center"/>
            <w:hideMark/>
          </w:tcPr>
          <w:p w14:paraId="0602379B" w14:textId="77777777" w:rsidR="005E57EA" w:rsidRPr="005E57EA" w:rsidRDefault="005E57EA" w:rsidP="00A910FC">
            <w:pPr>
              <w:widowControl w:val="0"/>
              <w:spacing w:before="40" w:after="40" w:line="288" w:lineRule="auto"/>
              <w:rPr>
                <w:b/>
                <w:bCs/>
                <w:sz w:val="26"/>
                <w:szCs w:val="26"/>
              </w:rPr>
            </w:pPr>
            <w:r w:rsidRPr="005E57EA">
              <w:rPr>
                <w:b/>
                <w:bCs/>
                <w:sz w:val="26"/>
                <w:szCs w:val="26"/>
                <w:lang w:val="vi-VN"/>
              </w:rPr>
              <w:t>Tính hợp lý và hiệu quả kinh tế của các giải pháp kỹ thuật, biện pháp tổ chức cung cấp, lắp đặt hàng hóa;</w:t>
            </w:r>
          </w:p>
        </w:tc>
        <w:tc>
          <w:tcPr>
            <w:tcW w:w="1008" w:type="pct"/>
            <w:shd w:val="clear" w:color="000000" w:fill="C6E0B4"/>
            <w:vAlign w:val="center"/>
            <w:hideMark/>
          </w:tcPr>
          <w:p w14:paraId="1E1BFBD2" w14:textId="77777777" w:rsidR="005E57EA" w:rsidRPr="005E57EA" w:rsidRDefault="005E57EA" w:rsidP="00A910FC">
            <w:pPr>
              <w:widowControl w:val="0"/>
              <w:spacing w:before="40" w:after="40" w:line="288" w:lineRule="auto"/>
              <w:jc w:val="center"/>
              <w:rPr>
                <w:sz w:val="26"/>
                <w:szCs w:val="26"/>
              </w:rPr>
            </w:pPr>
            <w:r w:rsidRPr="005E57EA">
              <w:rPr>
                <w:sz w:val="26"/>
                <w:szCs w:val="26"/>
              </w:rPr>
              <w:t> </w:t>
            </w:r>
          </w:p>
        </w:tc>
      </w:tr>
      <w:tr w:rsidR="005E57EA" w:rsidRPr="005E57EA" w14:paraId="533A7552" w14:textId="77777777" w:rsidTr="005E57EA">
        <w:trPr>
          <w:trHeight w:val="20"/>
        </w:trPr>
        <w:tc>
          <w:tcPr>
            <w:tcW w:w="448" w:type="pct"/>
            <w:vMerge w:val="restart"/>
            <w:noWrap/>
            <w:vAlign w:val="center"/>
            <w:hideMark/>
          </w:tcPr>
          <w:p w14:paraId="196EC7EC"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 </w:t>
            </w:r>
          </w:p>
        </w:tc>
        <w:tc>
          <w:tcPr>
            <w:tcW w:w="3544" w:type="pct"/>
            <w:vAlign w:val="center"/>
            <w:hideMark/>
          </w:tcPr>
          <w:p w14:paraId="49F86307" w14:textId="59ABBA1A" w:rsidR="005E57EA" w:rsidRPr="005E57EA" w:rsidRDefault="005E57EA" w:rsidP="00A910FC">
            <w:pPr>
              <w:widowControl w:val="0"/>
              <w:spacing w:before="40" w:after="40" w:line="288" w:lineRule="auto"/>
              <w:rPr>
                <w:sz w:val="26"/>
                <w:szCs w:val="26"/>
                <w:lang w:val="vi-VN"/>
              </w:rPr>
            </w:pPr>
            <w:r w:rsidRPr="005E57EA">
              <w:rPr>
                <w:sz w:val="26"/>
                <w:szCs w:val="26"/>
                <w:lang w:val="vi-VN"/>
              </w:rPr>
              <w:t>Nhà thầu phải xây dựng được giải pháp kỹ thuật, biện pháp tổ chức cung cấp hàng hóa</w:t>
            </w:r>
            <w:r w:rsidRPr="005E57EA">
              <w:rPr>
                <w:sz w:val="26"/>
                <w:szCs w:val="26"/>
              </w:rPr>
              <w:t>, biện pháp vận chuyển hàng hóa, biện pháp kết nối thiết bị ngoại vi, biện pháp an toàn phòng cháy chữa cháy, biện pháp an toàn điện, biện pháp dự phòng trong trường hợp thiên tai mưa lũ xẩy ra trong quá trình thực hiện cung cấp hàng Hóa. Các biện pháp nhà thầu đưa ra phải đảm bảo</w:t>
            </w:r>
            <w:r w:rsidRPr="005E57EA">
              <w:rPr>
                <w:sz w:val="26"/>
                <w:szCs w:val="26"/>
                <w:lang w:val="vi-VN"/>
              </w:rPr>
              <w:t xml:space="preserve"> hợp lý và hiệu quả kinh tế phù hợp với các yêu cầu của E-HSMT </w:t>
            </w:r>
            <w:r w:rsidRPr="005E57EA">
              <w:rPr>
                <w:i/>
                <w:iCs/>
                <w:sz w:val="26"/>
                <w:szCs w:val="26"/>
                <w:lang w:val="vi-VN"/>
              </w:rPr>
              <w:t xml:space="preserve">(Có phương án thuyết minh cụ thể, bảng thuyết minh phải có chữ ký và con dấu đại diện hợp pháp của nhà </w:t>
            </w:r>
            <w:r w:rsidRPr="005E57EA">
              <w:rPr>
                <w:i/>
                <w:iCs/>
                <w:sz w:val="26"/>
                <w:szCs w:val="26"/>
                <w:lang w:val="vi-VN"/>
              </w:rPr>
              <w:lastRenderedPageBreak/>
              <w:t>thầu).</w:t>
            </w:r>
          </w:p>
        </w:tc>
        <w:tc>
          <w:tcPr>
            <w:tcW w:w="1008" w:type="pct"/>
            <w:vAlign w:val="center"/>
            <w:hideMark/>
          </w:tcPr>
          <w:p w14:paraId="58FBE985"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lastRenderedPageBreak/>
              <w:t>Đạt</w:t>
            </w:r>
          </w:p>
        </w:tc>
      </w:tr>
      <w:tr w:rsidR="005E57EA" w:rsidRPr="005E57EA" w14:paraId="606E37A6" w14:textId="77777777" w:rsidTr="005E57EA">
        <w:trPr>
          <w:trHeight w:val="20"/>
        </w:trPr>
        <w:tc>
          <w:tcPr>
            <w:tcW w:w="448" w:type="pct"/>
            <w:vMerge/>
            <w:vAlign w:val="center"/>
            <w:hideMark/>
          </w:tcPr>
          <w:p w14:paraId="04B3BB1C" w14:textId="77777777" w:rsidR="005E57EA" w:rsidRPr="005E57EA" w:rsidRDefault="005E57EA" w:rsidP="00A910FC">
            <w:pPr>
              <w:widowControl w:val="0"/>
              <w:spacing w:before="40" w:after="40" w:line="288" w:lineRule="auto"/>
              <w:rPr>
                <w:sz w:val="26"/>
                <w:szCs w:val="26"/>
              </w:rPr>
            </w:pPr>
          </w:p>
        </w:tc>
        <w:tc>
          <w:tcPr>
            <w:tcW w:w="3544" w:type="pct"/>
            <w:vAlign w:val="center"/>
            <w:hideMark/>
          </w:tcPr>
          <w:p w14:paraId="7E1DDF5C" w14:textId="77777777" w:rsidR="005E57EA" w:rsidRPr="005E57EA" w:rsidRDefault="005E57EA" w:rsidP="00A910FC">
            <w:pPr>
              <w:widowControl w:val="0"/>
              <w:spacing w:before="40" w:after="40" w:line="288" w:lineRule="auto"/>
              <w:rPr>
                <w:sz w:val="26"/>
                <w:szCs w:val="26"/>
              </w:rPr>
            </w:pPr>
            <w:r w:rsidRPr="005E57EA">
              <w:rPr>
                <w:sz w:val="26"/>
                <w:szCs w:val="26"/>
                <w:lang w:val="vi-VN"/>
              </w:rPr>
              <w:t>Không nêu được giải pháp, biện pháp tổ chức cung cấp hàng hóa hợp lý và hiệu quả kinh tế phù hợp với các yêu cầu của E-HSMT (không có phương án thuyết minh cụ thể hoạc bản thuyết minh được đại diên hợp pháp của nhà thầu ký và đóng dấu)</w:t>
            </w:r>
          </w:p>
        </w:tc>
        <w:tc>
          <w:tcPr>
            <w:tcW w:w="1008" w:type="pct"/>
            <w:vAlign w:val="center"/>
            <w:hideMark/>
          </w:tcPr>
          <w:p w14:paraId="5B0EC37B"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Không đạt</w:t>
            </w:r>
          </w:p>
        </w:tc>
      </w:tr>
      <w:tr w:rsidR="005E57EA" w:rsidRPr="005E57EA" w14:paraId="42FCB9C9" w14:textId="77777777" w:rsidTr="005E57EA">
        <w:trPr>
          <w:trHeight w:val="20"/>
        </w:trPr>
        <w:tc>
          <w:tcPr>
            <w:tcW w:w="448" w:type="pct"/>
            <w:shd w:val="clear" w:color="000000" w:fill="C6E0B4"/>
            <w:noWrap/>
            <w:vAlign w:val="center"/>
            <w:hideMark/>
          </w:tcPr>
          <w:p w14:paraId="7F59BFB4" w14:textId="77777777" w:rsidR="005E57EA" w:rsidRPr="005E57EA" w:rsidRDefault="005E57EA" w:rsidP="00A910FC">
            <w:pPr>
              <w:widowControl w:val="0"/>
              <w:spacing w:before="40" w:after="40" w:line="288" w:lineRule="auto"/>
              <w:jc w:val="center"/>
              <w:rPr>
                <w:b/>
                <w:bCs/>
                <w:sz w:val="26"/>
                <w:szCs w:val="26"/>
              </w:rPr>
            </w:pPr>
            <w:r w:rsidRPr="005E57EA">
              <w:rPr>
                <w:b/>
                <w:bCs/>
                <w:sz w:val="26"/>
                <w:szCs w:val="26"/>
                <w:lang w:val="vi-VN"/>
              </w:rPr>
              <w:t>3</w:t>
            </w:r>
          </w:p>
        </w:tc>
        <w:tc>
          <w:tcPr>
            <w:tcW w:w="3544" w:type="pct"/>
            <w:shd w:val="clear" w:color="000000" w:fill="C6E0B4"/>
            <w:vAlign w:val="center"/>
            <w:hideMark/>
          </w:tcPr>
          <w:p w14:paraId="311C6BE1" w14:textId="77777777" w:rsidR="005E57EA" w:rsidRPr="005E57EA" w:rsidRDefault="005E57EA" w:rsidP="00A910FC">
            <w:pPr>
              <w:widowControl w:val="0"/>
              <w:spacing w:before="40" w:after="40" w:line="288" w:lineRule="auto"/>
              <w:rPr>
                <w:b/>
                <w:bCs/>
                <w:sz w:val="26"/>
                <w:szCs w:val="26"/>
              </w:rPr>
            </w:pPr>
            <w:r w:rsidRPr="005E57EA">
              <w:rPr>
                <w:b/>
                <w:bCs/>
                <w:sz w:val="26"/>
                <w:szCs w:val="26"/>
                <w:lang w:val="vi-VN"/>
              </w:rPr>
              <w:t>Mức độ đáp ứng các yêu cầu về bảo hành, bảo trì: Nhà thầu phải trình bày được kế hoạch cung cấp dịch vụ bảo hành sản phẩm;</w:t>
            </w:r>
          </w:p>
        </w:tc>
        <w:tc>
          <w:tcPr>
            <w:tcW w:w="1008" w:type="pct"/>
            <w:shd w:val="clear" w:color="000000" w:fill="C6E0B4"/>
            <w:vAlign w:val="center"/>
            <w:hideMark/>
          </w:tcPr>
          <w:p w14:paraId="2A636A96" w14:textId="77777777" w:rsidR="005E57EA" w:rsidRPr="005E57EA" w:rsidRDefault="005E57EA" w:rsidP="00A910FC">
            <w:pPr>
              <w:widowControl w:val="0"/>
              <w:spacing w:before="40" w:after="40" w:line="288" w:lineRule="auto"/>
              <w:jc w:val="center"/>
              <w:rPr>
                <w:sz w:val="26"/>
                <w:szCs w:val="26"/>
              </w:rPr>
            </w:pPr>
            <w:r w:rsidRPr="005E57EA">
              <w:rPr>
                <w:sz w:val="26"/>
                <w:szCs w:val="26"/>
              </w:rPr>
              <w:t> </w:t>
            </w:r>
          </w:p>
        </w:tc>
      </w:tr>
      <w:tr w:rsidR="005E57EA" w:rsidRPr="005E57EA" w14:paraId="11693A58" w14:textId="77777777" w:rsidTr="005E57EA">
        <w:trPr>
          <w:trHeight w:val="20"/>
        </w:trPr>
        <w:tc>
          <w:tcPr>
            <w:tcW w:w="448" w:type="pct"/>
            <w:vMerge w:val="restart"/>
            <w:noWrap/>
            <w:vAlign w:val="center"/>
            <w:hideMark/>
          </w:tcPr>
          <w:p w14:paraId="74701DD2"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 </w:t>
            </w:r>
          </w:p>
        </w:tc>
        <w:tc>
          <w:tcPr>
            <w:tcW w:w="3544" w:type="pct"/>
            <w:vAlign w:val="center"/>
            <w:hideMark/>
          </w:tcPr>
          <w:p w14:paraId="0C34FE46" w14:textId="77777777" w:rsidR="005E57EA" w:rsidRPr="005E57EA" w:rsidRDefault="005E57EA" w:rsidP="00A910FC">
            <w:pPr>
              <w:widowControl w:val="0"/>
              <w:spacing w:before="40" w:after="40" w:line="288" w:lineRule="auto"/>
              <w:rPr>
                <w:sz w:val="26"/>
                <w:szCs w:val="26"/>
                <w:lang w:val="vi-VN"/>
              </w:rPr>
            </w:pPr>
            <w:r w:rsidRPr="005E57EA">
              <w:rPr>
                <w:sz w:val="26"/>
                <w:szCs w:val="26"/>
                <w:lang w:val="vi-VN"/>
              </w:rPr>
              <w:t>- Nhà thầu cam kết có năng lực tự thực hiện các nghĩa vụ bảo hành, hoặc cung cấp các dịch vụ sau bán hàng theo yêu cầu của E-HSM</w:t>
            </w:r>
            <w:r w:rsidRPr="005E57EA">
              <w:rPr>
                <w:sz w:val="26"/>
                <w:szCs w:val="26"/>
              </w:rPr>
              <w:t>T</w:t>
            </w:r>
            <w:r w:rsidRPr="005E57EA">
              <w:rPr>
                <w:sz w:val="26"/>
                <w:szCs w:val="26"/>
                <w:lang w:val="vi-VN"/>
              </w:rPr>
              <w:t xml:space="preserve">. Hoặc Nhà thầu ký hợp đồng nguyên tắc với đơn vị có đủ khả năng thực hiện nghĩa vụ bảo hành, hoặc cung cấp các dịch vụ sau bán hàng theo yêu cầu của E-HSMT. </w:t>
            </w:r>
          </w:p>
          <w:p w14:paraId="680B7601" w14:textId="77777777" w:rsidR="005E57EA" w:rsidRPr="005E57EA" w:rsidRDefault="005E57EA" w:rsidP="00A910FC">
            <w:pPr>
              <w:widowControl w:val="0"/>
              <w:spacing w:before="40" w:after="40" w:line="288" w:lineRule="auto"/>
              <w:rPr>
                <w:i/>
                <w:iCs/>
                <w:sz w:val="26"/>
                <w:szCs w:val="26"/>
                <w:lang w:val="vi-VN"/>
              </w:rPr>
            </w:pPr>
            <w:r w:rsidRPr="005E57EA">
              <w:rPr>
                <w:sz w:val="26"/>
                <w:szCs w:val="26"/>
                <w:lang w:val="vi-VN"/>
              </w:rPr>
              <w:t xml:space="preserve">- Nhà thầu phải có bảng đề xuất thời gian bảo hành hàng hóa chi tiết cho tứng sản phẩm hàng hóa tham dự thầu và không được thấp hơn thời gian bảo hành của nhà sản sản xuất. </w:t>
            </w:r>
            <w:r w:rsidRPr="005E57EA">
              <w:rPr>
                <w:i/>
                <w:iCs/>
                <w:sz w:val="26"/>
                <w:szCs w:val="26"/>
                <w:lang w:val="vi-VN"/>
              </w:rPr>
              <w:t>(Tất cả các bản cam kết phải có chữ ký và dấu của người đại diện pháp luật của nhầ thầu)</w:t>
            </w:r>
          </w:p>
        </w:tc>
        <w:tc>
          <w:tcPr>
            <w:tcW w:w="1008" w:type="pct"/>
            <w:vAlign w:val="center"/>
            <w:hideMark/>
          </w:tcPr>
          <w:p w14:paraId="1ABAF582"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Đạt</w:t>
            </w:r>
          </w:p>
        </w:tc>
      </w:tr>
      <w:tr w:rsidR="005E57EA" w:rsidRPr="005E57EA" w14:paraId="071D2334" w14:textId="77777777" w:rsidTr="005E57EA">
        <w:trPr>
          <w:trHeight w:val="20"/>
        </w:trPr>
        <w:tc>
          <w:tcPr>
            <w:tcW w:w="448" w:type="pct"/>
            <w:vMerge/>
            <w:vAlign w:val="center"/>
            <w:hideMark/>
          </w:tcPr>
          <w:p w14:paraId="0CF00BB4" w14:textId="77777777" w:rsidR="005E57EA" w:rsidRPr="005E57EA" w:rsidRDefault="005E57EA" w:rsidP="00A910FC">
            <w:pPr>
              <w:widowControl w:val="0"/>
              <w:spacing w:before="40" w:after="40" w:line="288" w:lineRule="auto"/>
              <w:rPr>
                <w:sz w:val="26"/>
                <w:szCs w:val="26"/>
              </w:rPr>
            </w:pPr>
          </w:p>
        </w:tc>
        <w:tc>
          <w:tcPr>
            <w:tcW w:w="3544" w:type="pct"/>
            <w:vAlign w:val="center"/>
            <w:hideMark/>
          </w:tcPr>
          <w:p w14:paraId="6FFDA1AC" w14:textId="77777777" w:rsidR="005E57EA" w:rsidRPr="005E57EA" w:rsidRDefault="005E57EA" w:rsidP="00A910FC">
            <w:pPr>
              <w:widowControl w:val="0"/>
              <w:spacing w:before="40" w:after="40" w:line="288" w:lineRule="auto"/>
              <w:rPr>
                <w:sz w:val="26"/>
                <w:szCs w:val="26"/>
              </w:rPr>
            </w:pPr>
            <w:r w:rsidRPr="005E57EA">
              <w:rPr>
                <w:sz w:val="26"/>
                <w:szCs w:val="26"/>
                <w:lang w:val="vi-VN"/>
              </w:rPr>
              <w:t>Không đáp ứng các yêu cầu nêu trên</w:t>
            </w:r>
          </w:p>
        </w:tc>
        <w:tc>
          <w:tcPr>
            <w:tcW w:w="1008" w:type="pct"/>
            <w:vAlign w:val="center"/>
            <w:hideMark/>
          </w:tcPr>
          <w:p w14:paraId="703046E8"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Không đạt</w:t>
            </w:r>
          </w:p>
        </w:tc>
      </w:tr>
      <w:tr w:rsidR="005E57EA" w:rsidRPr="005E57EA" w14:paraId="171B1ADD" w14:textId="77777777" w:rsidTr="005E57EA">
        <w:trPr>
          <w:trHeight w:val="20"/>
        </w:trPr>
        <w:tc>
          <w:tcPr>
            <w:tcW w:w="448" w:type="pct"/>
            <w:shd w:val="clear" w:color="000000" w:fill="C6E0B4"/>
            <w:noWrap/>
            <w:vAlign w:val="center"/>
            <w:hideMark/>
          </w:tcPr>
          <w:p w14:paraId="03DC2B2E" w14:textId="77777777" w:rsidR="005E57EA" w:rsidRPr="005E57EA" w:rsidRDefault="005E57EA" w:rsidP="00A910FC">
            <w:pPr>
              <w:widowControl w:val="0"/>
              <w:spacing w:before="40" w:after="40" w:line="288" w:lineRule="auto"/>
              <w:jc w:val="center"/>
              <w:rPr>
                <w:b/>
                <w:bCs/>
                <w:sz w:val="26"/>
                <w:szCs w:val="26"/>
              </w:rPr>
            </w:pPr>
            <w:r w:rsidRPr="005E57EA">
              <w:rPr>
                <w:b/>
                <w:bCs/>
                <w:sz w:val="26"/>
                <w:szCs w:val="26"/>
              </w:rPr>
              <w:t>4</w:t>
            </w:r>
          </w:p>
        </w:tc>
        <w:tc>
          <w:tcPr>
            <w:tcW w:w="3544" w:type="pct"/>
            <w:shd w:val="clear" w:color="000000" w:fill="C6E0B4"/>
            <w:vAlign w:val="center"/>
            <w:hideMark/>
          </w:tcPr>
          <w:p w14:paraId="30713A69" w14:textId="77777777" w:rsidR="005E57EA" w:rsidRPr="005E57EA" w:rsidRDefault="005E57EA" w:rsidP="00A910FC">
            <w:pPr>
              <w:widowControl w:val="0"/>
              <w:spacing w:before="40" w:after="40" w:line="288" w:lineRule="auto"/>
              <w:rPr>
                <w:b/>
                <w:bCs/>
                <w:sz w:val="26"/>
                <w:szCs w:val="26"/>
              </w:rPr>
            </w:pPr>
            <w:r w:rsidRPr="005E57EA">
              <w:rPr>
                <w:b/>
                <w:bCs/>
                <w:sz w:val="26"/>
                <w:szCs w:val="26"/>
              </w:rPr>
              <w:t xml:space="preserve">Mức độ đáp ứng các yêu cầu về cung cấp vật tư, thiết bị thay thế và các dịch vụ liên quan khác (nếu có) trong toàn bộ quá trình sử dụng của hàng hóa: </w:t>
            </w:r>
            <w:r w:rsidRPr="005E57EA">
              <w:rPr>
                <w:sz w:val="26"/>
                <w:szCs w:val="26"/>
              </w:rPr>
              <w:t>Không yêu cầu</w:t>
            </w:r>
          </w:p>
        </w:tc>
        <w:tc>
          <w:tcPr>
            <w:tcW w:w="1008" w:type="pct"/>
            <w:shd w:val="clear" w:color="000000" w:fill="C6E0B4"/>
            <w:vAlign w:val="center"/>
            <w:hideMark/>
          </w:tcPr>
          <w:p w14:paraId="02DA988D" w14:textId="77777777" w:rsidR="005E57EA" w:rsidRPr="005E57EA" w:rsidRDefault="005E57EA" w:rsidP="00A910FC">
            <w:pPr>
              <w:widowControl w:val="0"/>
              <w:spacing w:before="40" w:after="40" w:line="288" w:lineRule="auto"/>
              <w:jc w:val="center"/>
              <w:rPr>
                <w:sz w:val="26"/>
                <w:szCs w:val="26"/>
              </w:rPr>
            </w:pPr>
            <w:r w:rsidRPr="005E57EA">
              <w:rPr>
                <w:sz w:val="26"/>
                <w:szCs w:val="26"/>
              </w:rPr>
              <w:t> </w:t>
            </w:r>
          </w:p>
        </w:tc>
      </w:tr>
      <w:tr w:rsidR="005E57EA" w:rsidRPr="005E57EA" w14:paraId="3A95AF02" w14:textId="77777777" w:rsidTr="005E57EA">
        <w:trPr>
          <w:trHeight w:val="20"/>
        </w:trPr>
        <w:tc>
          <w:tcPr>
            <w:tcW w:w="448" w:type="pct"/>
            <w:shd w:val="clear" w:color="000000" w:fill="C6E0B4"/>
            <w:noWrap/>
            <w:vAlign w:val="center"/>
            <w:hideMark/>
          </w:tcPr>
          <w:p w14:paraId="05E24843" w14:textId="77777777" w:rsidR="005E57EA" w:rsidRPr="005E57EA" w:rsidRDefault="005E57EA" w:rsidP="00A910FC">
            <w:pPr>
              <w:widowControl w:val="0"/>
              <w:spacing w:before="40" w:after="40" w:line="288" w:lineRule="auto"/>
              <w:jc w:val="center"/>
              <w:rPr>
                <w:b/>
                <w:bCs/>
                <w:sz w:val="26"/>
                <w:szCs w:val="26"/>
              </w:rPr>
            </w:pPr>
            <w:r w:rsidRPr="005E57EA">
              <w:rPr>
                <w:b/>
                <w:bCs/>
                <w:sz w:val="26"/>
                <w:szCs w:val="26"/>
                <w:lang w:val="vi-VN"/>
              </w:rPr>
              <w:t>5</w:t>
            </w:r>
          </w:p>
        </w:tc>
        <w:tc>
          <w:tcPr>
            <w:tcW w:w="3544" w:type="pct"/>
            <w:shd w:val="clear" w:color="000000" w:fill="C6E0B4"/>
            <w:vAlign w:val="center"/>
            <w:hideMark/>
          </w:tcPr>
          <w:p w14:paraId="54FAF0C1" w14:textId="77777777" w:rsidR="005E57EA" w:rsidRPr="005E57EA" w:rsidRDefault="005E57EA" w:rsidP="00A910FC">
            <w:pPr>
              <w:widowControl w:val="0"/>
              <w:spacing w:before="40" w:after="40" w:line="288" w:lineRule="auto"/>
              <w:rPr>
                <w:b/>
                <w:bCs/>
                <w:sz w:val="26"/>
                <w:szCs w:val="26"/>
              </w:rPr>
            </w:pPr>
            <w:r w:rsidRPr="005E57EA">
              <w:rPr>
                <w:b/>
                <w:bCs/>
                <w:sz w:val="26"/>
                <w:szCs w:val="26"/>
                <w:lang w:val="vi-VN"/>
              </w:rPr>
              <w:t>Khả năng thích ứng về địa lý, môi trường</w:t>
            </w:r>
          </w:p>
        </w:tc>
        <w:tc>
          <w:tcPr>
            <w:tcW w:w="1008" w:type="pct"/>
            <w:shd w:val="clear" w:color="000000" w:fill="C6E0B4"/>
            <w:vAlign w:val="center"/>
            <w:hideMark/>
          </w:tcPr>
          <w:p w14:paraId="39F301B7" w14:textId="77777777" w:rsidR="005E57EA" w:rsidRPr="005E57EA" w:rsidRDefault="005E57EA" w:rsidP="00A910FC">
            <w:pPr>
              <w:widowControl w:val="0"/>
              <w:spacing w:before="40" w:after="40" w:line="288" w:lineRule="auto"/>
              <w:jc w:val="center"/>
              <w:rPr>
                <w:sz w:val="26"/>
                <w:szCs w:val="26"/>
              </w:rPr>
            </w:pPr>
            <w:r w:rsidRPr="005E57EA">
              <w:rPr>
                <w:sz w:val="26"/>
                <w:szCs w:val="26"/>
              </w:rPr>
              <w:t> </w:t>
            </w:r>
          </w:p>
        </w:tc>
      </w:tr>
      <w:tr w:rsidR="005E57EA" w:rsidRPr="005E57EA" w14:paraId="7677E034" w14:textId="77777777" w:rsidTr="005E57EA">
        <w:trPr>
          <w:trHeight w:val="20"/>
        </w:trPr>
        <w:tc>
          <w:tcPr>
            <w:tcW w:w="448" w:type="pct"/>
            <w:vMerge w:val="restart"/>
            <w:noWrap/>
            <w:vAlign w:val="center"/>
            <w:hideMark/>
          </w:tcPr>
          <w:p w14:paraId="1B67BE4A"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 </w:t>
            </w:r>
          </w:p>
        </w:tc>
        <w:tc>
          <w:tcPr>
            <w:tcW w:w="3544" w:type="pct"/>
            <w:vAlign w:val="center"/>
            <w:hideMark/>
          </w:tcPr>
          <w:p w14:paraId="75FBD932" w14:textId="77777777" w:rsidR="005E57EA" w:rsidRPr="005E57EA" w:rsidRDefault="005E57EA" w:rsidP="00A910FC">
            <w:pPr>
              <w:widowControl w:val="0"/>
              <w:spacing w:before="40" w:after="40" w:line="288" w:lineRule="auto"/>
              <w:rPr>
                <w:sz w:val="26"/>
                <w:szCs w:val="26"/>
              </w:rPr>
            </w:pPr>
            <w:r w:rsidRPr="005E57EA">
              <w:rPr>
                <w:sz w:val="26"/>
                <w:szCs w:val="26"/>
                <w:lang w:val="vi-VN"/>
              </w:rPr>
              <w:t>Nhà thầu có cam kết, sản phẩm của chào thầu nhà thầu có khả năng hoạt động tốt trong điều kiện môi trường, địa lý của tỉnh Thanh Hóa</w:t>
            </w:r>
            <w:r w:rsidRPr="005E57EA">
              <w:rPr>
                <w:sz w:val="26"/>
                <w:szCs w:val="26"/>
              </w:rPr>
              <w:t>.</w:t>
            </w:r>
          </w:p>
        </w:tc>
        <w:tc>
          <w:tcPr>
            <w:tcW w:w="1008" w:type="pct"/>
            <w:vAlign w:val="center"/>
            <w:hideMark/>
          </w:tcPr>
          <w:p w14:paraId="59C85BD5"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Đạt</w:t>
            </w:r>
          </w:p>
        </w:tc>
      </w:tr>
      <w:tr w:rsidR="005E57EA" w:rsidRPr="005E57EA" w14:paraId="72A1671B" w14:textId="77777777" w:rsidTr="005E57EA">
        <w:trPr>
          <w:trHeight w:val="20"/>
        </w:trPr>
        <w:tc>
          <w:tcPr>
            <w:tcW w:w="448" w:type="pct"/>
            <w:vMerge/>
            <w:vAlign w:val="center"/>
            <w:hideMark/>
          </w:tcPr>
          <w:p w14:paraId="6FE12552" w14:textId="77777777" w:rsidR="005E57EA" w:rsidRPr="005E57EA" w:rsidRDefault="005E57EA" w:rsidP="00A910FC">
            <w:pPr>
              <w:widowControl w:val="0"/>
              <w:spacing w:before="40" w:after="40" w:line="288" w:lineRule="auto"/>
              <w:rPr>
                <w:sz w:val="26"/>
                <w:szCs w:val="26"/>
              </w:rPr>
            </w:pPr>
          </w:p>
        </w:tc>
        <w:tc>
          <w:tcPr>
            <w:tcW w:w="3544" w:type="pct"/>
            <w:vAlign w:val="center"/>
            <w:hideMark/>
          </w:tcPr>
          <w:p w14:paraId="2B61B380" w14:textId="77777777" w:rsidR="005E57EA" w:rsidRPr="005E57EA" w:rsidRDefault="005E57EA" w:rsidP="00A910FC">
            <w:pPr>
              <w:widowControl w:val="0"/>
              <w:spacing w:before="40" w:after="40" w:line="288" w:lineRule="auto"/>
              <w:rPr>
                <w:sz w:val="26"/>
                <w:szCs w:val="26"/>
              </w:rPr>
            </w:pPr>
            <w:r w:rsidRPr="005E57EA">
              <w:rPr>
                <w:sz w:val="26"/>
                <w:szCs w:val="26"/>
                <w:lang w:val="vi-VN"/>
              </w:rPr>
              <w:t>Nhà thầu không có cam kết, không có tài liệu chứng minh sản phẩm chào thầu của nhà thầu có khả năng hoạt động tốt trong điều kiện môi trường, địa lý của tỉnh Thanh Hóa</w:t>
            </w:r>
          </w:p>
        </w:tc>
        <w:tc>
          <w:tcPr>
            <w:tcW w:w="1008" w:type="pct"/>
            <w:vAlign w:val="center"/>
            <w:hideMark/>
          </w:tcPr>
          <w:p w14:paraId="5E3000F4"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Không đạt</w:t>
            </w:r>
          </w:p>
        </w:tc>
      </w:tr>
      <w:tr w:rsidR="005E57EA" w:rsidRPr="005E57EA" w14:paraId="00D44868" w14:textId="77777777" w:rsidTr="005E57EA">
        <w:trPr>
          <w:trHeight w:val="20"/>
        </w:trPr>
        <w:tc>
          <w:tcPr>
            <w:tcW w:w="448" w:type="pct"/>
            <w:shd w:val="clear" w:color="000000" w:fill="C6E0B4"/>
            <w:noWrap/>
            <w:vAlign w:val="center"/>
            <w:hideMark/>
          </w:tcPr>
          <w:p w14:paraId="34FD682D" w14:textId="77777777" w:rsidR="005E57EA" w:rsidRPr="005E57EA" w:rsidRDefault="005E57EA" w:rsidP="00A910FC">
            <w:pPr>
              <w:widowControl w:val="0"/>
              <w:spacing w:before="40" w:after="40" w:line="288" w:lineRule="auto"/>
              <w:jc w:val="center"/>
              <w:rPr>
                <w:b/>
                <w:bCs/>
                <w:sz w:val="26"/>
                <w:szCs w:val="26"/>
              </w:rPr>
            </w:pPr>
            <w:r w:rsidRPr="005E57EA">
              <w:rPr>
                <w:b/>
                <w:bCs/>
                <w:sz w:val="26"/>
                <w:szCs w:val="26"/>
                <w:lang w:val="vi-VN"/>
              </w:rPr>
              <w:t>6</w:t>
            </w:r>
          </w:p>
        </w:tc>
        <w:tc>
          <w:tcPr>
            <w:tcW w:w="3544" w:type="pct"/>
            <w:shd w:val="clear" w:color="000000" w:fill="C6E0B4"/>
            <w:vAlign w:val="center"/>
            <w:hideMark/>
          </w:tcPr>
          <w:p w14:paraId="78925971" w14:textId="77777777" w:rsidR="005E57EA" w:rsidRPr="005E57EA" w:rsidRDefault="005E57EA" w:rsidP="00A910FC">
            <w:pPr>
              <w:widowControl w:val="0"/>
              <w:spacing w:before="40" w:after="40" w:line="288" w:lineRule="auto"/>
              <w:rPr>
                <w:b/>
                <w:bCs/>
                <w:sz w:val="26"/>
                <w:szCs w:val="26"/>
              </w:rPr>
            </w:pPr>
            <w:r w:rsidRPr="005E57EA">
              <w:rPr>
                <w:b/>
                <w:bCs/>
                <w:sz w:val="26"/>
                <w:szCs w:val="26"/>
                <w:lang w:val="vi-VN"/>
              </w:rPr>
              <w:t xml:space="preserve">Tác động đối với môi trường và biện pháp giải quyết: </w:t>
            </w:r>
            <w:r w:rsidRPr="005E57EA">
              <w:rPr>
                <w:sz w:val="26"/>
                <w:szCs w:val="26"/>
                <w:lang w:val="vi-VN"/>
              </w:rPr>
              <w:t>Không yêu cầu</w:t>
            </w:r>
          </w:p>
        </w:tc>
        <w:tc>
          <w:tcPr>
            <w:tcW w:w="1008" w:type="pct"/>
            <w:shd w:val="clear" w:color="000000" w:fill="C6E0B4"/>
            <w:vAlign w:val="center"/>
            <w:hideMark/>
          </w:tcPr>
          <w:p w14:paraId="217E2EC0" w14:textId="77777777" w:rsidR="005E57EA" w:rsidRPr="005E57EA" w:rsidRDefault="005E57EA" w:rsidP="00A910FC">
            <w:pPr>
              <w:widowControl w:val="0"/>
              <w:spacing w:before="40" w:after="40" w:line="288" w:lineRule="auto"/>
              <w:jc w:val="center"/>
              <w:rPr>
                <w:sz w:val="26"/>
                <w:szCs w:val="26"/>
              </w:rPr>
            </w:pPr>
            <w:r w:rsidRPr="005E57EA">
              <w:rPr>
                <w:sz w:val="26"/>
                <w:szCs w:val="26"/>
              </w:rPr>
              <w:t> </w:t>
            </w:r>
          </w:p>
        </w:tc>
      </w:tr>
      <w:tr w:rsidR="005E57EA" w:rsidRPr="005E57EA" w14:paraId="55A76AFC" w14:textId="77777777" w:rsidTr="005E57EA">
        <w:trPr>
          <w:trHeight w:val="20"/>
        </w:trPr>
        <w:tc>
          <w:tcPr>
            <w:tcW w:w="448" w:type="pct"/>
            <w:shd w:val="clear" w:color="000000" w:fill="C6E0B4"/>
            <w:noWrap/>
            <w:vAlign w:val="center"/>
            <w:hideMark/>
          </w:tcPr>
          <w:p w14:paraId="6AEA6A49" w14:textId="77777777" w:rsidR="005E57EA" w:rsidRPr="005E57EA" w:rsidRDefault="005E57EA" w:rsidP="00A910FC">
            <w:pPr>
              <w:widowControl w:val="0"/>
              <w:spacing w:before="40" w:after="40" w:line="288" w:lineRule="auto"/>
              <w:jc w:val="center"/>
              <w:rPr>
                <w:b/>
                <w:bCs/>
                <w:sz w:val="26"/>
                <w:szCs w:val="26"/>
              </w:rPr>
            </w:pPr>
            <w:r w:rsidRPr="005E57EA">
              <w:rPr>
                <w:b/>
                <w:bCs/>
                <w:sz w:val="26"/>
                <w:szCs w:val="26"/>
                <w:lang w:val="vi-VN"/>
              </w:rPr>
              <w:t>7</w:t>
            </w:r>
          </w:p>
        </w:tc>
        <w:tc>
          <w:tcPr>
            <w:tcW w:w="3544" w:type="pct"/>
            <w:shd w:val="clear" w:color="000000" w:fill="C6E0B4"/>
            <w:vAlign w:val="center"/>
            <w:hideMark/>
          </w:tcPr>
          <w:p w14:paraId="3DFC6EAD" w14:textId="77777777" w:rsidR="005E57EA" w:rsidRPr="005E57EA" w:rsidRDefault="005E57EA" w:rsidP="00A910FC">
            <w:pPr>
              <w:widowControl w:val="0"/>
              <w:spacing w:before="40" w:after="40" w:line="288" w:lineRule="auto"/>
              <w:rPr>
                <w:b/>
                <w:bCs/>
                <w:sz w:val="26"/>
                <w:szCs w:val="26"/>
              </w:rPr>
            </w:pPr>
            <w:r w:rsidRPr="005E57EA">
              <w:rPr>
                <w:b/>
                <w:bCs/>
                <w:sz w:val="26"/>
                <w:szCs w:val="26"/>
              </w:rPr>
              <w:t xml:space="preserve">Đầu thầu bên vững: </w:t>
            </w:r>
            <w:r w:rsidRPr="005E57EA">
              <w:rPr>
                <w:sz w:val="26"/>
                <w:szCs w:val="26"/>
              </w:rPr>
              <w:t>Không yêu cầu</w:t>
            </w:r>
            <w:r w:rsidRPr="005E57EA">
              <w:rPr>
                <w:b/>
                <w:bCs/>
                <w:sz w:val="26"/>
                <w:szCs w:val="26"/>
                <w:lang w:val="vi-VN"/>
              </w:rPr>
              <w:t xml:space="preserve"> </w:t>
            </w:r>
          </w:p>
        </w:tc>
        <w:tc>
          <w:tcPr>
            <w:tcW w:w="1008" w:type="pct"/>
            <w:shd w:val="clear" w:color="000000" w:fill="C6E0B4"/>
            <w:vAlign w:val="center"/>
            <w:hideMark/>
          </w:tcPr>
          <w:p w14:paraId="182EC77B" w14:textId="77777777" w:rsidR="005E57EA" w:rsidRPr="005E57EA" w:rsidRDefault="005E57EA" w:rsidP="00A910FC">
            <w:pPr>
              <w:widowControl w:val="0"/>
              <w:spacing w:before="40" w:after="40" w:line="288" w:lineRule="auto"/>
              <w:jc w:val="center"/>
              <w:rPr>
                <w:sz w:val="26"/>
                <w:szCs w:val="26"/>
              </w:rPr>
            </w:pPr>
            <w:r w:rsidRPr="005E57EA">
              <w:rPr>
                <w:sz w:val="26"/>
                <w:szCs w:val="26"/>
              </w:rPr>
              <w:t> </w:t>
            </w:r>
          </w:p>
        </w:tc>
      </w:tr>
      <w:tr w:rsidR="005E57EA" w:rsidRPr="005E57EA" w14:paraId="3C57868C" w14:textId="77777777" w:rsidTr="005E57EA">
        <w:trPr>
          <w:trHeight w:val="20"/>
        </w:trPr>
        <w:tc>
          <w:tcPr>
            <w:tcW w:w="448" w:type="pct"/>
            <w:shd w:val="clear" w:color="000000" w:fill="C6E0B4"/>
            <w:noWrap/>
            <w:vAlign w:val="center"/>
            <w:hideMark/>
          </w:tcPr>
          <w:p w14:paraId="12C03352" w14:textId="77777777" w:rsidR="005E57EA" w:rsidRPr="005E57EA" w:rsidRDefault="005E57EA" w:rsidP="00A910FC">
            <w:pPr>
              <w:widowControl w:val="0"/>
              <w:spacing w:before="40" w:after="40" w:line="288" w:lineRule="auto"/>
              <w:jc w:val="center"/>
              <w:rPr>
                <w:b/>
                <w:bCs/>
                <w:sz w:val="26"/>
                <w:szCs w:val="26"/>
              </w:rPr>
            </w:pPr>
            <w:r w:rsidRPr="005E57EA">
              <w:rPr>
                <w:b/>
                <w:bCs/>
                <w:sz w:val="26"/>
                <w:szCs w:val="26"/>
                <w:lang w:val="vi-VN"/>
              </w:rPr>
              <w:t>8</w:t>
            </w:r>
          </w:p>
        </w:tc>
        <w:tc>
          <w:tcPr>
            <w:tcW w:w="3544" w:type="pct"/>
            <w:shd w:val="clear" w:color="000000" w:fill="C6E0B4"/>
            <w:vAlign w:val="center"/>
            <w:hideMark/>
          </w:tcPr>
          <w:p w14:paraId="727D883C" w14:textId="77777777" w:rsidR="005E57EA" w:rsidRPr="005E57EA" w:rsidRDefault="005E57EA" w:rsidP="00A910FC">
            <w:pPr>
              <w:widowControl w:val="0"/>
              <w:spacing w:before="40" w:after="40" w:line="288" w:lineRule="auto"/>
              <w:rPr>
                <w:b/>
                <w:bCs/>
                <w:sz w:val="26"/>
                <w:szCs w:val="26"/>
              </w:rPr>
            </w:pPr>
            <w:r w:rsidRPr="005E57EA">
              <w:rPr>
                <w:b/>
                <w:bCs/>
                <w:sz w:val="26"/>
                <w:szCs w:val="26"/>
                <w:lang w:val="vi-VN"/>
              </w:rPr>
              <w:t>Các yếu tố về điều kiện thương mại, thời gian giao hàng, đào tạo chuyển giao công nghệ, cung cấp các dịch vụ sau bán hàng</w:t>
            </w:r>
          </w:p>
        </w:tc>
        <w:tc>
          <w:tcPr>
            <w:tcW w:w="1008" w:type="pct"/>
            <w:shd w:val="clear" w:color="000000" w:fill="C6E0B4"/>
            <w:vAlign w:val="center"/>
            <w:hideMark/>
          </w:tcPr>
          <w:p w14:paraId="54E04F85" w14:textId="77777777" w:rsidR="005E57EA" w:rsidRPr="005E57EA" w:rsidRDefault="005E57EA" w:rsidP="00A910FC">
            <w:pPr>
              <w:widowControl w:val="0"/>
              <w:spacing w:before="40" w:after="40" w:line="288" w:lineRule="auto"/>
              <w:jc w:val="center"/>
              <w:rPr>
                <w:sz w:val="26"/>
                <w:szCs w:val="26"/>
              </w:rPr>
            </w:pPr>
            <w:r w:rsidRPr="005E57EA">
              <w:rPr>
                <w:sz w:val="26"/>
                <w:szCs w:val="26"/>
              </w:rPr>
              <w:t> </w:t>
            </w:r>
          </w:p>
        </w:tc>
      </w:tr>
      <w:tr w:rsidR="005E57EA" w:rsidRPr="005E57EA" w14:paraId="3ECCD271" w14:textId="77777777" w:rsidTr="005E57EA">
        <w:trPr>
          <w:trHeight w:val="20"/>
        </w:trPr>
        <w:tc>
          <w:tcPr>
            <w:tcW w:w="448" w:type="pct"/>
            <w:vMerge w:val="restart"/>
            <w:noWrap/>
            <w:vAlign w:val="center"/>
            <w:hideMark/>
          </w:tcPr>
          <w:p w14:paraId="04D16B8D"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 </w:t>
            </w:r>
          </w:p>
        </w:tc>
        <w:tc>
          <w:tcPr>
            <w:tcW w:w="3544" w:type="pct"/>
            <w:vAlign w:val="center"/>
            <w:hideMark/>
          </w:tcPr>
          <w:p w14:paraId="7117A6A9" w14:textId="77777777" w:rsidR="005E57EA" w:rsidRPr="005E57EA" w:rsidRDefault="005E57EA" w:rsidP="00A910FC">
            <w:pPr>
              <w:widowControl w:val="0"/>
              <w:spacing w:before="40" w:after="40" w:line="288" w:lineRule="auto"/>
              <w:rPr>
                <w:sz w:val="26"/>
                <w:szCs w:val="26"/>
              </w:rPr>
            </w:pPr>
            <w:r w:rsidRPr="005E57EA">
              <w:rPr>
                <w:sz w:val="26"/>
                <w:szCs w:val="26"/>
                <w:lang w:val="vi-VN" w:eastAsia="vi-VN"/>
              </w:rPr>
              <w:t xml:space="preserve">- Nhà thầu </w:t>
            </w:r>
            <w:r w:rsidRPr="005E57EA">
              <w:rPr>
                <w:sz w:val="26"/>
                <w:szCs w:val="26"/>
                <w:lang w:eastAsia="vi-VN"/>
              </w:rPr>
              <w:t>có bảng đề xuất các điều kiện thương mại khi tham dự thầu và đảm bảo các điều kiện đưa ra</w:t>
            </w:r>
            <w:r w:rsidRPr="005E57EA">
              <w:rPr>
                <w:sz w:val="26"/>
                <w:szCs w:val="26"/>
                <w:lang w:val="vi-VN" w:eastAsia="vi-VN"/>
              </w:rPr>
              <w:t>, không gây ra các điều kiện bất lợi cho bên mời thầu</w:t>
            </w:r>
          </w:p>
        </w:tc>
        <w:tc>
          <w:tcPr>
            <w:tcW w:w="1008" w:type="pct"/>
            <w:vMerge w:val="restart"/>
            <w:vAlign w:val="center"/>
            <w:hideMark/>
          </w:tcPr>
          <w:p w14:paraId="33618234"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Đạt</w:t>
            </w:r>
          </w:p>
        </w:tc>
      </w:tr>
      <w:tr w:rsidR="005E57EA" w:rsidRPr="005E57EA" w14:paraId="510969DA" w14:textId="77777777" w:rsidTr="005E57EA">
        <w:trPr>
          <w:trHeight w:val="20"/>
        </w:trPr>
        <w:tc>
          <w:tcPr>
            <w:tcW w:w="448" w:type="pct"/>
            <w:vMerge/>
            <w:vAlign w:val="center"/>
            <w:hideMark/>
          </w:tcPr>
          <w:p w14:paraId="52B212D0" w14:textId="77777777" w:rsidR="005E57EA" w:rsidRPr="005E57EA" w:rsidRDefault="005E57EA" w:rsidP="00A910FC">
            <w:pPr>
              <w:widowControl w:val="0"/>
              <w:spacing w:before="40" w:after="40" w:line="288" w:lineRule="auto"/>
              <w:rPr>
                <w:sz w:val="26"/>
                <w:szCs w:val="26"/>
              </w:rPr>
            </w:pPr>
          </w:p>
        </w:tc>
        <w:tc>
          <w:tcPr>
            <w:tcW w:w="3544" w:type="pct"/>
            <w:vAlign w:val="center"/>
            <w:hideMark/>
          </w:tcPr>
          <w:p w14:paraId="1488A6A2" w14:textId="77777777" w:rsidR="005E57EA" w:rsidRPr="005E57EA" w:rsidRDefault="005E57EA" w:rsidP="00A910FC">
            <w:pPr>
              <w:widowControl w:val="0"/>
              <w:spacing w:before="40" w:after="40" w:line="288" w:lineRule="auto"/>
              <w:rPr>
                <w:sz w:val="26"/>
                <w:szCs w:val="26"/>
              </w:rPr>
            </w:pPr>
            <w:r w:rsidRPr="005E57EA">
              <w:rPr>
                <w:sz w:val="26"/>
                <w:szCs w:val="26"/>
                <w:lang w:val="vi-VN"/>
              </w:rPr>
              <w:t xml:space="preserve">- Nhà thầu có đề xuất về các điều kiện thương mại không ngây bất lợi </w:t>
            </w:r>
            <w:r w:rsidRPr="005E57EA">
              <w:rPr>
                <w:sz w:val="26"/>
                <w:szCs w:val="26"/>
                <w:lang w:val="vi-VN"/>
              </w:rPr>
              <w:lastRenderedPageBreak/>
              <w:t>cho bên mới thầu như: Có thời gian thực hiện, chạy thử khi giao hàng hợp lý, khả thi, phù hợp với đề xuất về tiến độ cung cấp của nhà thầu.</w:t>
            </w:r>
          </w:p>
        </w:tc>
        <w:tc>
          <w:tcPr>
            <w:tcW w:w="1008" w:type="pct"/>
            <w:vMerge/>
            <w:vAlign w:val="center"/>
            <w:hideMark/>
          </w:tcPr>
          <w:p w14:paraId="596D4BFF" w14:textId="77777777" w:rsidR="005E57EA" w:rsidRPr="005E57EA" w:rsidRDefault="005E57EA" w:rsidP="00A910FC">
            <w:pPr>
              <w:widowControl w:val="0"/>
              <w:spacing w:before="40" w:after="40" w:line="288" w:lineRule="auto"/>
              <w:rPr>
                <w:sz w:val="26"/>
                <w:szCs w:val="26"/>
              </w:rPr>
            </w:pPr>
          </w:p>
        </w:tc>
      </w:tr>
      <w:tr w:rsidR="005E57EA" w:rsidRPr="005E57EA" w14:paraId="4153490F" w14:textId="77777777" w:rsidTr="005E57EA">
        <w:trPr>
          <w:trHeight w:val="20"/>
        </w:trPr>
        <w:tc>
          <w:tcPr>
            <w:tcW w:w="448" w:type="pct"/>
            <w:vMerge/>
            <w:vAlign w:val="center"/>
            <w:hideMark/>
          </w:tcPr>
          <w:p w14:paraId="712E9F77" w14:textId="77777777" w:rsidR="005E57EA" w:rsidRPr="005E57EA" w:rsidRDefault="005E57EA" w:rsidP="00A910FC">
            <w:pPr>
              <w:widowControl w:val="0"/>
              <w:spacing w:before="40" w:after="40" w:line="288" w:lineRule="auto"/>
              <w:rPr>
                <w:sz w:val="26"/>
                <w:szCs w:val="26"/>
              </w:rPr>
            </w:pPr>
          </w:p>
        </w:tc>
        <w:tc>
          <w:tcPr>
            <w:tcW w:w="3544" w:type="pct"/>
            <w:vAlign w:val="center"/>
            <w:hideMark/>
          </w:tcPr>
          <w:p w14:paraId="24A89F2E" w14:textId="77777777" w:rsidR="005E57EA" w:rsidRPr="005E57EA" w:rsidRDefault="005E57EA" w:rsidP="00A910FC">
            <w:pPr>
              <w:widowControl w:val="0"/>
              <w:spacing w:before="40" w:after="40" w:line="288" w:lineRule="auto"/>
              <w:rPr>
                <w:sz w:val="26"/>
                <w:szCs w:val="26"/>
              </w:rPr>
            </w:pPr>
            <w:r w:rsidRPr="005E57EA">
              <w:rPr>
                <w:sz w:val="26"/>
                <w:szCs w:val="26"/>
                <w:lang w:val="vi-VN"/>
              </w:rPr>
              <w:t>- Nhà thầu phải đưa ra kế hoạch cụ thể chi tiết trong công tác đào tạo chuyển giao công nghệ</w:t>
            </w:r>
          </w:p>
        </w:tc>
        <w:tc>
          <w:tcPr>
            <w:tcW w:w="1008" w:type="pct"/>
            <w:vMerge/>
            <w:vAlign w:val="center"/>
            <w:hideMark/>
          </w:tcPr>
          <w:p w14:paraId="73EF606E" w14:textId="77777777" w:rsidR="005E57EA" w:rsidRPr="005E57EA" w:rsidRDefault="005E57EA" w:rsidP="00A910FC">
            <w:pPr>
              <w:widowControl w:val="0"/>
              <w:spacing w:before="40" w:after="40" w:line="288" w:lineRule="auto"/>
              <w:rPr>
                <w:sz w:val="26"/>
                <w:szCs w:val="26"/>
              </w:rPr>
            </w:pPr>
          </w:p>
        </w:tc>
      </w:tr>
      <w:tr w:rsidR="005E57EA" w:rsidRPr="005E57EA" w14:paraId="6F80EBE4" w14:textId="77777777" w:rsidTr="005E57EA">
        <w:trPr>
          <w:trHeight w:val="20"/>
        </w:trPr>
        <w:tc>
          <w:tcPr>
            <w:tcW w:w="448" w:type="pct"/>
            <w:vMerge/>
            <w:vAlign w:val="center"/>
            <w:hideMark/>
          </w:tcPr>
          <w:p w14:paraId="332689E9" w14:textId="77777777" w:rsidR="005E57EA" w:rsidRPr="005E57EA" w:rsidRDefault="005E57EA" w:rsidP="00A910FC">
            <w:pPr>
              <w:widowControl w:val="0"/>
              <w:spacing w:before="40" w:after="40" w:line="288" w:lineRule="auto"/>
              <w:rPr>
                <w:sz w:val="26"/>
                <w:szCs w:val="26"/>
              </w:rPr>
            </w:pPr>
          </w:p>
        </w:tc>
        <w:tc>
          <w:tcPr>
            <w:tcW w:w="3544" w:type="pct"/>
            <w:vAlign w:val="center"/>
            <w:hideMark/>
          </w:tcPr>
          <w:p w14:paraId="688571BB" w14:textId="77777777" w:rsidR="005E57EA" w:rsidRPr="005E57EA" w:rsidRDefault="005E57EA" w:rsidP="00A910FC">
            <w:pPr>
              <w:widowControl w:val="0"/>
              <w:spacing w:before="40" w:after="40" w:line="288" w:lineRule="auto"/>
              <w:rPr>
                <w:sz w:val="26"/>
                <w:szCs w:val="26"/>
              </w:rPr>
            </w:pPr>
            <w:r w:rsidRPr="005E57EA">
              <w:rPr>
                <w:sz w:val="26"/>
                <w:szCs w:val="26"/>
                <w:lang w:val="vi-VN"/>
              </w:rPr>
              <w:t>- Nhà thầu phải có để xuất, chuẩn bị kỹ thuật viên, tài liệu chi tiết trong công tác đào tạo chuyển giao công nghệ</w:t>
            </w:r>
          </w:p>
        </w:tc>
        <w:tc>
          <w:tcPr>
            <w:tcW w:w="1008" w:type="pct"/>
            <w:vMerge/>
            <w:vAlign w:val="center"/>
            <w:hideMark/>
          </w:tcPr>
          <w:p w14:paraId="6268F4B7" w14:textId="77777777" w:rsidR="005E57EA" w:rsidRPr="005E57EA" w:rsidRDefault="005E57EA" w:rsidP="00A910FC">
            <w:pPr>
              <w:widowControl w:val="0"/>
              <w:spacing w:before="40" w:after="40" w:line="288" w:lineRule="auto"/>
              <w:rPr>
                <w:sz w:val="26"/>
                <w:szCs w:val="26"/>
              </w:rPr>
            </w:pPr>
          </w:p>
        </w:tc>
      </w:tr>
      <w:tr w:rsidR="005E57EA" w:rsidRPr="005E57EA" w14:paraId="2392AE49" w14:textId="77777777" w:rsidTr="005E57EA">
        <w:trPr>
          <w:trHeight w:val="20"/>
        </w:trPr>
        <w:tc>
          <w:tcPr>
            <w:tcW w:w="448" w:type="pct"/>
            <w:vMerge/>
            <w:vAlign w:val="center"/>
            <w:hideMark/>
          </w:tcPr>
          <w:p w14:paraId="3FE67ABF" w14:textId="77777777" w:rsidR="005E57EA" w:rsidRPr="005E57EA" w:rsidRDefault="005E57EA" w:rsidP="00A910FC">
            <w:pPr>
              <w:widowControl w:val="0"/>
              <w:spacing w:before="40" w:after="40" w:line="288" w:lineRule="auto"/>
              <w:rPr>
                <w:sz w:val="26"/>
                <w:szCs w:val="26"/>
              </w:rPr>
            </w:pPr>
          </w:p>
        </w:tc>
        <w:tc>
          <w:tcPr>
            <w:tcW w:w="3544" w:type="pct"/>
            <w:vAlign w:val="center"/>
            <w:hideMark/>
          </w:tcPr>
          <w:p w14:paraId="07FFC10A" w14:textId="77777777" w:rsidR="005E57EA" w:rsidRPr="005E57EA" w:rsidRDefault="005E57EA" w:rsidP="00A910FC">
            <w:pPr>
              <w:widowControl w:val="0"/>
              <w:spacing w:before="40" w:after="40" w:line="288" w:lineRule="auto"/>
              <w:rPr>
                <w:sz w:val="26"/>
                <w:szCs w:val="26"/>
              </w:rPr>
            </w:pPr>
            <w:r w:rsidRPr="005E57EA">
              <w:rPr>
                <w:sz w:val="26"/>
                <w:szCs w:val="26"/>
                <w:lang w:val="vi-VN"/>
              </w:rPr>
              <w:t>- Không đáp ứng các yêu cầu nêu trên</w:t>
            </w:r>
          </w:p>
        </w:tc>
        <w:tc>
          <w:tcPr>
            <w:tcW w:w="1008" w:type="pct"/>
            <w:vAlign w:val="center"/>
            <w:hideMark/>
          </w:tcPr>
          <w:p w14:paraId="799D5354"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Không đạt</w:t>
            </w:r>
          </w:p>
        </w:tc>
      </w:tr>
      <w:tr w:rsidR="005E57EA" w:rsidRPr="005E57EA" w14:paraId="36553C1C" w14:textId="77777777" w:rsidTr="005E57EA">
        <w:trPr>
          <w:trHeight w:val="20"/>
        </w:trPr>
        <w:tc>
          <w:tcPr>
            <w:tcW w:w="448" w:type="pct"/>
            <w:shd w:val="clear" w:color="000000" w:fill="C6E0B4"/>
            <w:noWrap/>
            <w:vAlign w:val="center"/>
            <w:hideMark/>
          </w:tcPr>
          <w:p w14:paraId="4D34E83B" w14:textId="77777777" w:rsidR="005E57EA" w:rsidRPr="005E57EA" w:rsidRDefault="005E57EA" w:rsidP="00A910FC">
            <w:pPr>
              <w:widowControl w:val="0"/>
              <w:spacing w:before="40" w:after="40" w:line="288" w:lineRule="auto"/>
              <w:jc w:val="center"/>
              <w:rPr>
                <w:b/>
                <w:bCs/>
                <w:sz w:val="26"/>
                <w:szCs w:val="26"/>
              </w:rPr>
            </w:pPr>
            <w:r w:rsidRPr="005E57EA">
              <w:rPr>
                <w:b/>
                <w:bCs/>
                <w:sz w:val="26"/>
                <w:szCs w:val="26"/>
                <w:lang w:val="vi-VN"/>
              </w:rPr>
              <w:t>9</w:t>
            </w:r>
          </w:p>
        </w:tc>
        <w:tc>
          <w:tcPr>
            <w:tcW w:w="3544" w:type="pct"/>
            <w:shd w:val="clear" w:color="000000" w:fill="C6E0B4"/>
            <w:vAlign w:val="center"/>
            <w:hideMark/>
          </w:tcPr>
          <w:p w14:paraId="01BE04BE" w14:textId="77777777" w:rsidR="005E57EA" w:rsidRPr="005E57EA" w:rsidRDefault="005E57EA" w:rsidP="00A910FC">
            <w:pPr>
              <w:widowControl w:val="0"/>
              <w:spacing w:before="40" w:after="40" w:line="288" w:lineRule="auto"/>
              <w:rPr>
                <w:b/>
                <w:bCs/>
                <w:sz w:val="26"/>
                <w:szCs w:val="26"/>
              </w:rPr>
            </w:pPr>
            <w:r w:rsidRPr="005E57EA">
              <w:rPr>
                <w:b/>
                <w:bCs/>
                <w:sz w:val="26"/>
                <w:szCs w:val="26"/>
                <w:lang w:val="vi-VN"/>
              </w:rPr>
              <w:t>Tiến độ cung cấp hàng hóa</w:t>
            </w:r>
          </w:p>
        </w:tc>
        <w:tc>
          <w:tcPr>
            <w:tcW w:w="1008" w:type="pct"/>
            <w:shd w:val="clear" w:color="000000" w:fill="C6E0B4"/>
            <w:vAlign w:val="center"/>
            <w:hideMark/>
          </w:tcPr>
          <w:p w14:paraId="71C89050" w14:textId="77777777" w:rsidR="005E57EA" w:rsidRPr="005E57EA" w:rsidRDefault="005E57EA" w:rsidP="00A910FC">
            <w:pPr>
              <w:widowControl w:val="0"/>
              <w:spacing w:before="40" w:after="40" w:line="288" w:lineRule="auto"/>
              <w:jc w:val="center"/>
              <w:rPr>
                <w:sz w:val="26"/>
                <w:szCs w:val="26"/>
              </w:rPr>
            </w:pPr>
            <w:r w:rsidRPr="005E57EA">
              <w:rPr>
                <w:sz w:val="26"/>
                <w:szCs w:val="26"/>
              </w:rPr>
              <w:t> </w:t>
            </w:r>
          </w:p>
        </w:tc>
      </w:tr>
      <w:tr w:rsidR="005E57EA" w:rsidRPr="005E57EA" w14:paraId="027E962B" w14:textId="77777777" w:rsidTr="005E57EA">
        <w:trPr>
          <w:trHeight w:val="20"/>
        </w:trPr>
        <w:tc>
          <w:tcPr>
            <w:tcW w:w="448" w:type="pct"/>
            <w:vMerge w:val="restart"/>
            <w:noWrap/>
            <w:vAlign w:val="center"/>
            <w:hideMark/>
          </w:tcPr>
          <w:p w14:paraId="7EEFD011"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 </w:t>
            </w:r>
          </w:p>
        </w:tc>
        <w:tc>
          <w:tcPr>
            <w:tcW w:w="3544" w:type="pct"/>
            <w:vAlign w:val="center"/>
            <w:hideMark/>
          </w:tcPr>
          <w:p w14:paraId="510E0A78" w14:textId="64F2D511" w:rsidR="005E57EA" w:rsidRPr="005E57EA" w:rsidRDefault="005E57EA" w:rsidP="00A910FC">
            <w:pPr>
              <w:widowControl w:val="0"/>
              <w:spacing w:before="40" w:after="40" w:line="288" w:lineRule="auto"/>
              <w:rPr>
                <w:sz w:val="26"/>
                <w:szCs w:val="26"/>
              </w:rPr>
            </w:pPr>
            <w:r w:rsidRPr="005E57EA">
              <w:rPr>
                <w:sz w:val="26"/>
                <w:szCs w:val="26"/>
                <w:lang w:val="vi-VN"/>
              </w:rPr>
              <w:t xml:space="preserve">Có bảng tiến độ cung cấp hàng hóa ≤ </w:t>
            </w:r>
            <w:r>
              <w:rPr>
                <w:sz w:val="26"/>
                <w:szCs w:val="26"/>
              </w:rPr>
              <w:t>3</w:t>
            </w:r>
            <w:r w:rsidRPr="005E57EA">
              <w:rPr>
                <w:sz w:val="26"/>
                <w:szCs w:val="26"/>
              </w:rPr>
              <w:t>0</w:t>
            </w:r>
            <w:r w:rsidRPr="005E57EA">
              <w:rPr>
                <w:sz w:val="26"/>
                <w:szCs w:val="26"/>
                <w:lang w:val="vi-VN"/>
              </w:rPr>
              <w:t xml:space="preserve"> ngày</w:t>
            </w:r>
            <w:r w:rsidRPr="005E57EA">
              <w:rPr>
                <w:sz w:val="26"/>
                <w:szCs w:val="26"/>
              </w:rPr>
              <w:t>. Bảng tiến độ phải</w:t>
            </w:r>
            <w:r w:rsidRPr="005E57EA">
              <w:rPr>
                <w:sz w:val="26"/>
                <w:szCs w:val="26"/>
                <w:lang w:val="vi-VN"/>
              </w:rPr>
              <w:t xml:space="preserve"> hợp lý, khả thi và phù hợp và đáp ứng yêu cầu của E-HSMT.</w:t>
            </w:r>
            <w:r w:rsidRPr="005E57EA">
              <w:rPr>
                <w:sz w:val="26"/>
                <w:szCs w:val="26"/>
              </w:rPr>
              <w:t xml:space="preserve"> Nhà thầu phải có bảng trình bầy chi tiết kế hoạch, tiến độ cung cấp hàng hóa, bàn giao hàng hóa đến các địa điểm nhận hàng theo yêu cầu của Chương V, E-HSMT</w:t>
            </w:r>
          </w:p>
        </w:tc>
        <w:tc>
          <w:tcPr>
            <w:tcW w:w="1008" w:type="pct"/>
            <w:vAlign w:val="center"/>
            <w:hideMark/>
          </w:tcPr>
          <w:p w14:paraId="22B485D2"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Đạt</w:t>
            </w:r>
          </w:p>
        </w:tc>
      </w:tr>
      <w:tr w:rsidR="005E57EA" w:rsidRPr="005E57EA" w14:paraId="32BAB11A" w14:textId="77777777" w:rsidTr="005E57EA">
        <w:trPr>
          <w:trHeight w:val="20"/>
        </w:trPr>
        <w:tc>
          <w:tcPr>
            <w:tcW w:w="448" w:type="pct"/>
            <w:vMerge/>
            <w:vAlign w:val="center"/>
            <w:hideMark/>
          </w:tcPr>
          <w:p w14:paraId="4D53B108" w14:textId="77777777" w:rsidR="005E57EA" w:rsidRPr="005E57EA" w:rsidRDefault="005E57EA" w:rsidP="00A910FC">
            <w:pPr>
              <w:widowControl w:val="0"/>
              <w:spacing w:before="40" w:after="40" w:line="288" w:lineRule="auto"/>
              <w:rPr>
                <w:sz w:val="26"/>
                <w:szCs w:val="26"/>
              </w:rPr>
            </w:pPr>
          </w:p>
        </w:tc>
        <w:tc>
          <w:tcPr>
            <w:tcW w:w="3544" w:type="pct"/>
            <w:vAlign w:val="center"/>
            <w:hideMark/>
          </w:tcPr>
          <w:p w14:paraId="1EBB6FB4" w14:textId="4125D1DC" w:rsidR="005E57EA" w:rsidRPr="005E57EA" w:rsidRDefault="005E57EA" w:rsidP="00A910FC">
            <w:pPr>
              <w:widowControl w:val="0"/>
              <w:spacing w:before="40" w:after="40" w:line="288" w:lineRule="auto"/>
              <w:rPr>
                <w:sz w:val="26"/>
                <w:szCs w:val="26"/>
              </w:rPr>
            </w:pPr>
            <w:r w:rsidRPr="005E57EA">
              <w:rPr>
                <w:sz w:val="26"/>
                <w:szCs w:val="26"/>
                <w:lang w:val="vi-VN"/>
              </w:rPr>
              <w:t xml:space="preserve">Không có </w:t>
            </w:r>
            <w:r w:rsidRPr="005E57EA">
              <w:rPr>
                <w:sz w:val="26"/>
                <w:szCs w:val="26"/>
              </w:rPr>
              <w:t>b</w:t>
            </w:r>
            <w:r w:rsidRPr="005E57EA">
              <w:rPr>
                <w:sz w:val="26"/>
                <w:szCs w:val="26"/>
                <w:lang w:val="vi-VN"/>
              </w:rPr>
              <w:t xml:space="preserve">ảng tiến độ cung cấp hàng hóa hoặc có bảng tiến độ cung cấp hàng hoá nhưng &gt; </w:t>
            </w:r>
            <w:r>
              <w:rPr>
                <w:sz w:val="26"/>
                <w:szCs w:val="26"/>
              </w:rPr>
              <w:t>3</w:t>
            </w:r>
            <w:r w:rsidRPr="005E57EA">
              <w:rPr>
                <w:sz w:val="26"/>
                <w:szCs w:val="26"/>
              </w:rPr>
              <w:t>0</w:t>
            </w:r>
            <w:r w:rsidRPr="005E57EA">
              <w:rPr>
                <w:sz w:val="26"/>
                <w:szCs w:val="26"/>
                <w:lang w:val="vi-VN"/>
              </w:rPr>
              <w:t xml:space="preserve"> ngày</w:t>
            </w:r>
            <w:r w:rsidRPr="005E57EA">
              <w:rPr>
                <w:sz w:val="26"/>
                <w:szCs w:val="26"/>
              </w:rPr>
              <w:t>. Bảng trình b</w:t>
            </w:r>
            <w:r>
              <w:rPr>
                <w:sz w:val="26"/>
                <w:szCs w:val="26"/>
              </w:rPr>
              <w:t>à</w:t>
            </w:r>
            <w:r w:rsidRPr="005E57EA">
              <w:rPr>
                <w:sz w:val="26"/>
                <w:szCs w:val="26"/>
              </w:rPr>
              <w:t>y tiến độ</w:t>
            </w:r>
            <w:r w:rsidRPr="005E57EA">
              <w:rPr>
                <w:sz w:val="26"/>
                <w:szCs w:val="26"/>
                <w:lang w:val="vi-VN"/>
              </w:rPr>
              <w:t xml:space="preserve"> không hợp lý, không khả thi, không đáp ứng yêu cầu của E-HSMT.</w:t>
            </w:r>
            <w:r w:rsidRPr="005E57EA">
              <w:rPr>
                <w:sz w:val="26"/>
                <w:szCs w:val="26"/>
              </w:rPr>
              <w:t xml:space="preserve"> Không thể hiện được phương án bàn giao, lắp đặt hàng hóa đến các địa điểm nhận hàng theo yêu cầu của chương V, E-HSMT.</w:t>
            </w:r>
          </w:p>
        </w:tc>
        <w:tc>
          <w:tcPr>
            <w:tcW w:w="1008" w:type="pct"/>
            <w:vAlign w:val="center"/>
            <w:hideMark/>
          </w:tcPr>
          <w:p w14:paraId="17B9172C"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Không đạt</w:t>
            </w:r>
          </w:p>
        </w:tc>
      </w:tr>
      <w:tr w:rsidR="005E57EA" w:rsidRPr="005E57EA" w14:paraId="6AA7256E" w14:textId="77777777" w:rsidTr="005E57EA">
        <w:trPr>
          <w:trHeight w:val="20"/>
        </w:trPr>
        <w:tc>
          <w:tcPr>
            <w:tcW w:w="448" w:type="pct"/>
            <w:shd w:val="clear" w:color="000000" w:fill="C6E0B4"/>
            <w:noWrap/>
            <w:vAlign w:val="center"/>
            <w:hideMark/>
          </w:tcPr>
          <w:p w14:paraId="3F28FC2D" w14:textId="77777777" w:rsidR="005E57EA" w:rsidRPr="005E57EA" w:rsidRDefault="005E57EA" w:rsidP="00A910FC">
            <w:pPr>
              <w:widowControl w:val="0"/>
              <w:spacing w:before="40" w:after="40" w:line="288" w:lineRule="auto"/>
              <w:jc w:val="center"/>
              <w:rPr>
                <w:b/>
                <w:bCs/>
                <w:sz w:val="26"/>
                <w:szCs w:val="26"/>
              </w:rPr>
            </w:pPr>
            <w:r w:rsidRPr="005E57EA">
              <w:rPr>
                <w:b/>
                <w:bCs/>
                <w:sz w:val="26"/>
                <w:szCs w:val="26"/>
              </w:rPr>
              <w:t>10</w:t>
            </w:r>
          </w:p>
        </w:tc>
        <w:tc>
          <w:tcPr>
            <w:tcW w:w="3544" w:type="pct"/>
            <w:shd w:val="clear" w:color="000000" w:fill="C6E0B4"/>
            <w:vAlign w:val="center"/>
            <w:hideMark/>
          </w:tcPr>
          <w:p w14:paraId="225F1A00" w14:textId="77777777" w:rsidR="005E57EA" w:rsidRPr="005E57EA" w:rsidRDefault="005E57EA" w:rsidP="00A910FC">
            <w:pPr>
              <w:widowControl w:val="0"/>
              <w:spacing w:before="40" w:after="40" w:line="288" w:lineRule="auto"/>
              <w:rPr>
                <w:b/>
                <w:bCs/>
                <w:sz w:val="26"/>
                <w:szCs w:val="26"/>
              </w:rPr>
            </w:pPr>
            <w:r w:rsidRPr="005E57EA">
              <w:rPr>
                <w:b/>
                <w:bCs/>
                <w:sz w:val="26"/>
                <w:szCs w:val="26"/>
              </w:rPr>
              <w:t xml:space="preserve">Yêu tố thân thiện môi trường: </w:t>
            </w:r>
            <w:r w:rsidRPr="005E57EA">
              <w:rPr>
                <w:sz w:val="26"/>
                <w:szCs w:val="26"/>
              </w:rPr>
              <w:t>Không yêu cầu</w:t>
            </w:r>
          </w:p>
        </w:tc>
        <w:tc>
          <w:tcPr>
            <w:tcW w:w="1008" w:type="pct"/>
            <w:shd w:val="clear" w:color="000000" w:fill="C6E0B4"/>
            <w:vAlign w:val="center"/>
            <w:hideMark/>
          </w:tcPr>
          <w:p w14:paraId="357528B3" w14:textId="77777777" w:rsidR="005E57EA" w:rsidRPr="005E57EA" w:rsidRDefault="005E57EA" w:rsidP="00A910FC">
            <w:pPr>
              <w:widowControl w:val="0"/>
              <w:spacing w:before="40" w:after="40" w:line="288" w:lineRule="auto"/>
              <w:jc w:val="center"/>
              <w:rPr>
                <w:sz w:val="26"/>
                <w:szCs w:val="26"/>
              </w:rPr>
            </w:pPr>
            <w:r w:rsidRPr="005E57EA">
              <w:rPr>
                <w:sz w:val="26"/>
                <w:szCs w:val="26"/>
              </w:rPr>
              <w:t> </w:t>
            </w:r>
          </w:p>
        </w:tc>
      </w:tr>
      <w:tr w:rsidR="005E57EA" w:rsidRPr="005E57EA" w14:paraId="7E6E7BEC" w14:textId="77777777" w:rsidTr="005E57EA">
        <w:trPr>
          <w:trHeight w:val="20"/>
        </w:trPr>
        <w:tc>
          <w:tcPr>
            <w:tcW w:w="448" w:type="pct"/>
            <w:shd w:val="clear" w:color="000000" w:fill="C6E0B4"/>
            <w:noWrap/>
            <w:vAlign w:val="center"/>
            <w:hideMark/>
          </w:tcPr>
          <w:p w14:paraId="2953D4F7" w14:textId="77777777" w:rsidR="005E57EA" w:rsidRPr="005E57EA" w:rsidRDefault="005E57EA" w:rsidP="00A910FC">
            <w:pPr>
              <w:widowControl w:val="0"/>
              <w:spacing w:before="40" w:after="40" w:line="288" w:lineRule="auto"/>
              <w:jc w:val="center"/>
              <w:rPr>
                <w:b/>
                <w:bCs/>
                <w:sz w:val="26"/>
                <w:szCs w:val="26"/>
              </w:rPr>
            </w:pPr>
            <w:r w:rsidRPr="005E57EA">
              <w:rPr>
                <w:b/>
                <w:bCs/>
                <w:sz w:val="26"/>
                <w:szCs w:val="26"/>
              </w:rPr>
              <w:t>11</w:t>
            </w:r>
          </w:p>
        </w:tc>
        <w:tc>
          <w:tcPr>
            <w:tcW w:w="3544" w:type="pct"/>
            <w:shd w:val="clear" w:color="000000" w:fill="C6E0B4"/>
            <w:vAlign w:val="center"/>
            <w:hideMark/>
          </w:tcPr>
          <w:p w14:paraId="101DBFB5" w14:textId="367CFBCD" w:rsidR="005E57EA" w:rsidRPr="005E57EA" w:rsidRDefault="005E57EA" w:rsidP="00A910FC">
            <w:pPr>
              <w:widowControl w:val="0"/>
              <w:spacing w:before="40" w:after="40" w:line="288" w:lineRule="auto"/>
              <w:rPr>
                <w:b/>
                <w:bCs/>
                <w:sz w:val="26"/>
                <w:szCs w:val="26"/>
              </w:rPr>
            </w:pPr>
            <w:r w:rsidRPr="0022507C">
              <w:rPr>
                <w:b/>
                <w:sz w:val="26"/>
                <w:szCs w:val="26"/>
                <w:lang w:val="es-ES"/>
              </w:rPr>
              <w:t>Thông tin về kết quả thực hiện hợp đồng của nhà thầu theo quy định tại Điều 19 và Điều 20 của Nghị định số 214/2025/NĐ-CP</w:t>
            </w:r>
          </w:p>
        </w:tc>
        <w:tc>
          <w:tcPr>
            <w:tcW w:w="1008" w:type="pct"/>
            <w:shd w:val="clear" w:color="000000" w:fill="C6E0B4"/>
            <w:vAlign w:val="center"/>
            <w:hideMark/>
          </w:tcPr>
          <w:p w14:paraId="60502A2A"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 </w:t>
            </w:r>
          </w:p>
        </w:tc>
      </w:tr>
      <w:tr w:rsidR="005E57EA" w:rsidRPr="005E57EA" w14:paraId="3E3E498F" w14:textId="77777777" w:rsidTr="005E57EA">
        <w:trPr>
          <w:trHeight w:val="20"/>
        </w:trPr>
        <w:tc>
          <w:tcPr>
            <w:tcW w:w="448" w:type="pct"/>
            <w:vMerge w:val="restart"/>
            <w:noWrap/>
            <w:vAlign w:val="center"/>
            <w:hideMark/>
          </w:tcPr>
          <w:p w14:paraId="6F9517CC"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 </w:t>
            </w:r>
          </w:p>
        </w:tc>
        <w:tc>
          <w:tcPr>
            <w:tcW w:w="3544" w:type="pct"/>
            <w:vAlign w:val="center"/>
            <w:hideMark/>
          </w:tcPr>
          <w:p w14:paraId="57366E0C" w14:textId="77777777" w:rsidR="005E57EA" w:rsidRPr="00826283" w:rsidRDefault="005E57EA" w:rsidP="005E57EA">
            <w:pPr>
              <w:spacing w:before="120" w:after="100" w:line="256" w:lineRule="auto"/>
              <w:rPr>
                <w:sz w:val="26"/>
                <w:szCs w:val="26"/>
              </w:rPr>
            </w:pPr>
            <w:r w:rsidRPr="00826283">
              <w:rPr>
                <w:sz w:val="26"/>
                <w:szCs w:val="26"/>
              </w:rPr>
              <w:t>Thông tin về kết quả thực hiện hợp đồng của nhà thầu (cung cấp hàng hoá) trong thời hạn 03 năm trở lại đây tính đến thời điểm đóng thầu.</w:t>
            </w:r>
          </w:p>
          <w:p w14:paraId="5E289A06" w14:textId="77777777" w:rsidR="005E57EA" w:rsidRPr="00826283" w:rsidRDefault="005E57EA" w:rsidP="005E57EA">
            <w:pPr>
              <w:spacing w:before="120" w:after="100" w:line="256" w:lineRule="auto"/>
              <w:rPr>
                <w:sz w:val="26"/>
                <w:szCs w:val="26"/>
              </w:rPr>
            </w:pPr>
            <w:r w:rsidRPr="00826283">
              <w:rPr>
                <w:sz w:val="26"/>
                <w:szCs w:val="26"/>
              </w:rPr>
              <w:t xml:space="preserve"> a) Tiến độ thực hiện hợp đồng; </w:t>
            </w:r>
          </w:p>
          <w:p w14:paraId="56A9C5F3" w14:textId="77777777" w:rsidR="005E57EA" w:rsidRPr="00826283" w:rsidRDefault="005E57EA" w:rsidP="005E57EA">
            <w:pPr>
              <w:spacing w:before="120" w:after="100" w:line="256" w:lineRule="auto"/>
              <w:rPr>
                <w:sz w:val="26"/>
                <w:szCs w:val="26"/>
              </w:rPr>
            </w:pPr>
            <w:r w:rsidRPr="00826283">
              <w:rPr>
                <w:sz w:val="26"/>
                <w:szCs w:val="26"/>
              </w:rPr>
              <w:t xml:space="preserve">b) Chất lượng hàng hoá, dịch vụ, bao gồm các sự cố xảy ra trong quá trình thực hiện hợp đồng (nếu có) và các yếu tố khác có liên quan; </w:t>
            </w:r>
          </w:p>
          <w:p w14:paraId="45BEF21B" w14:textId="4A1BD916" w:rsidR="005E57EA" w:rsidRPr="005E57EA" w:rsidRDefault="005E57EA" w:rsidP="005E57EA">
            <w:pPr>
              <w:widowControl w:val="0"/>
              <w:spacing w:before="40" w:after="40" w:line="288" w:lineRule="auto"/>
              <w:rPr>
                <w:sz w:val="26"/>
                <w:szCs w:val="26"/>
              </w:rPr>
            </w:pPr>
            <w:r w:rsidRPr="00826283">
              <w:rPr>
                <w:sz w:val="26"/>
                <w:szCs w:val="26"/>
              </w:rPr>
              <w:t xml:space="preserve">c) Vi phạm hợp đồng, chấm dứt hợp đồng và lý do; </w:t>
            </w:r>
          </w:p>
        </w:tc>
        <w:tc>
          <w:tcPr>
            <w:tcW w:w="1008" w:type="pct"/>
            <w:vAlign w:val="center"/>
            <w:hideMark/>
          </w:tcPr>
          <w:p w14:paraId="495ADF88" w14:textId="77777777" w:rsidR="005E57EA" w:rsidRPr="005E57EA" w:rsidRDefault="005E57EA" w:rsidP="00A910FC">
            <w:pPr>
              <w:widowControl w:val="0"/>
              <w:spacing w:before="40" w:after="40" w:line="288" w:lineRule="auto"/>
              <w:jc w:val="center"/>
              <w:rPr>
                <w:sz w:val="26"/>
                <w:szCs w:val="26"/>
              </w:rPr>
            </w:pPr>
            <w:r w:rsidRPr="005E57EA">
              <w:rPr>
                <w:sz w:val="26"/>
                <w:szCs w:val="26"/>
                <w:lang w:val="vi-VN"/>
              </w:rPr>
              <w:t>Đạt</w:t>
            </w:r>
          </w:p>
        </w:tc>
      </w:tr>
      <w:tr w:rsidR="005E57EA" w:rsidRPr="005E57EA" w14:paraId="346F81DA" w14:textId="77777777" w:rsidTr="005E57EA">
        <w:trPr>
          <w:trHeight w:val="20"/>
        </w:trPr>
        <w:tc>
          <w:tcPr>
            <w:tcW w:w="448" w:type="pct"/>
            <w:vMerge/>
            <w:vAlign w:val="center"/>
            <w:hideMark/>
          </w:tcPr>
          <w:p w14:paraId="7698D507" w14:textId="77777777" w:rsidR="005E57EA" w:rsidRPr="005E57EA" w:rsidRDefault="005E57EA" w:rsidP="00A910FC">
            <w:pPr>
              <w:widowControl w:val="0"/>
              <w:spacing w:before="40" w:after="40" w:line="288" w:lineRule="auto"/>
              <w:rPr>
                <w:sz w:val="26"/>
                <w:szCs w:val="26"/>
              </w:rPr>
            </w:pPr>
          </w:p>
        </w:tc>
        <w:tc>
          <w:tcPr>
            <w:tcW w:w="3544" w:type="pct"/>
            <w:vAlign w:val="center"/>
            <w:hideMark/>
          </w:tcPr>
          <w:p w14:paraId="603164D4" w14:textId="35D8F4D3" w:rsidR="005E57EA" w:rsidRPr="005E57EA" w:rsidRDefault="005E57EA" w:rsidP="00A910FC">
            <w:pPr>
              <w:widowControl w:val="0"/>
              <w:spacing w:before="40" w:after="40"/>
              <w:rPr>
                <w:sz w:val="26"/>
                <w:szCs w:val="26"/>
              </w:rPr>
            </w:pPr>
            <w:r w:rsidRPr="00826283">
              <w:rPr>
                <w:sz w:val="26"/>
                <w:szCs w:val="26"/>
              </w:rPr>
              <w:t>Nhà thầu không có thuyết minh về kết quả thực hiện hợp đồng của nhà thầu hoặc có thuyết minh về kết quả thực hiện hợp đồng của nhà thầu nhưng không đầy đủ theo 03 nội dung a), b), c). * Trường hợp phát hiện nhà thầu cam kết không trung thực thì E-HSDT bị loại và nhà thầu sẽ bị coi là có hành vi gian lận trong đấu thầu.</w:t>
            </w:r>
          </w:p>
        </w:tc>
        <w:tc>
          <w:tcPr>
            <w:tcW w:w="1008" w:type="pct"/>
            <w:vAlign w:val="center"/>
            <w:hideMark/>
          </w:tcPr>
          <w:p w14:paraId="61F5F972" w14:textId="77777777" w:rsidR="005E57EA" w:rsidRPr="005E57EA" w:rsidRDefault="005E57EA" w:rsidP="00A910FC">
            <w:pPr>
              <w:widowControl w:val="0"/>
              <w:spacing w:before="40" w:after="40"/>
              <w:jc w:val="center"/>
              <w:rPr>
                <w:sz w:val="26"/>
                <w:szCs w:val="26"/>
              </w:rPr>
            </w:pPr>
            <w:r w:rsidRPr="005E57EA">
              <w:rPr>
                <w:sz w:val="26"/>
                <w:szCs w:val="26"/>
                <w:lang w:val="vi-VN"/>
              </w:rPr>
              <w:t>Không đạt  </w:t>
            </w:r>
          </w:p>
        </w:tc>
      </w:tr>
      <w:tr w:rsidR="005E57EA" w:rsidRPr="005E57EA" w14:paraId="3B679D98" w14:textId="77777777" w:rsidTr="005E57EA">
        <w:trPr>
          <w:trHeight w:val="20"/>
        </w:trPr>
        <w:tc>
          <w:tcPr>
            <w:tcW w:w="448" w:type="pct"/>
            <w:shd w:val="clear" w:color="000000" w:fill="C6E0B4"/>
            <w:noWrap/>
            <w:vAlign w:val="center"/>
            <w:hideMark/>
          </w:tcPr>
          <w:p w14:paraId="34D55034" w14:textId="77777777" w:rsidR="005E57EA" w:rsidRPr="005E57EA" w:rsidRDefault="005E57EA" w:rsidP="00A910FC">
            <w:pPr>
              <w:widowControl w:val="0"/>
              <w:spacing w:before="40" w:after="40" w:line="288" w:lineRule="auto"/>
              <w:jc w:val="center"/>
              <w:rPr>
                <w:b/>
                <w:bCs/>
                <w:sz w:val="26"/>
                <w:szCs w:val="26"/>
              </w:rPr>
            </w:pPr>
            <w:r w:rsidRPr="005E57EA">
              <w:rPr>
                <w:b/>
                <w:bCs/>
                <w:sz w:val="26"/>
                <w:szCs w:val="26"/>
                <w:lang w:val="vi-VN"/>
              </w:rPr>
              <w:t>12</w:t>
            </w:r>
          </w:p>
        </w:tc>
        <w:tc>
          <w:tcPr>
            <w:tcW w:w="3544" w:type="pct"/>
            <w:shd w:val="clear" w:color="000000" w:fill="C6E0B4"/>
            <w:vAlign w:val="center"/>
            <w:hideMark/>
          </w:tcPr>
          <w:p w14:paraId="7672A3B8" w14:textId="77777777" w:rsidR="005E57EA" w:rsidRPr="005E57EA" w:rsidRDefault="005E57EA" w:rsidP="00A910FC">
            <w:pPr>
              <w:widowControl w:val="0"/>
              <w:spacing w:before="40" w:after="40"/>
              <w:rPr>
                <w:b/>
                <w:bCs/>
                <w:sz w:val="26"/>
                <w:szCs w:val="26"/>
              </w:rPr>
            </w:pPr>
            <w:r w:rsidRPr="005E57EA">
              <w:rPr>
                <w:b/>
                <w:bCs/>
                <w:sz w:val="26"/>
                <w:szCs w:val="26"/>
                <w:lang w:val="vi-VN"/>
              </w:rPr>
              <w:t xml:space="preserve"> Các yếu tố cần thiết khác: </w:t>
            </w:r>
          </w:p>
        </w:tc>
        <w:tc>
          <w:tcPr>
            <w:tcW w:w="1008" w:type="pct"/>
            <w:shd w:val="clear" w:color="000000" w:fill="C6E0B4"/>
            <w:vAlign w:val="center"/>
            <w:hideMark/>
          </w:tcPr>
          <w:p w14:paraId="26FFB8F7" w14:textId="77777777" w:rsidR="005E57EA" w:rsidRPr="005E57EA" w:rsidRDefault="005E57EA" w:rsidP="00A910FC">
            <w:pPr>
              <w:widowControl w:val="0"/>
              <w:spacing w:before="40" w:after="40"/>
              <w:jc w:val="center"/>
              <w:rPr>
                <w:sz w:val="26"/>
                <w:szCs w:val="26"/>
              </w:rPr>
            </w:pPr>
            <w:r w:rsidRPr="005E57EA">
              <w:rPr>
                <w:sz w:val="26"/>
                <w:szCs w:val="26"/>
              </w:rPr>
              <w:t> </w:t>
            </w:r>
          </w:p>
        </w:tc>
      </w:tr>
      <w:tr w:rsidR="005E57EA" w:rsidRPr="005E57EA" w14:paraId="3C4012D1" w14:textId="77777777" w:rsidTr="005E57EA">
        <w:trPr>
          <w:trHeight w:val="20"/>
        </w:trPr>
        <w:tc>
          <w:tcPr>
            <w:tcW w:w="448" w:type="pct"/>
            <w:vMerge w:val="restart"/>
            <w:noWrap/>
            <w:vAlign w:val="center"/>
            <w:hideMark/>
          </w:tcPr>
          <w:p w14:paraId="11159D19" w14:textId="77777777" w:rsidR="005E57EA" w:rsidRPr="005E57EA" w:rsidRDefault="005E57EA" w:rsidP="00A910FC">
            <w:pPr>
              <w:widowControl w:val="0"/>
              <w:spacing w:before="40" w:after="40" w:line="288" w:lineRule="auto"/>
              <w:jc w:val="center"/>
              <w:rPr>
                <w:sz w:val="26"/>
                <w:szCs w:val="26"/>
              </w:rPr>
            </w:pPr>
            <w:r w:rsidRPr="005E57EA">
              <w:rPr>
                <w:sz w:val="26"/>
                <w:szCs w:val="26"/>
              </w:rPr>
              <w:t>12.1</w:t>
            </w:r>
          </w:p>
        </w:tc>
        <w:tc>
          <w:tcPr>
            <w:tcW w:w="3544" w:type="pct"/>
            <w:vAlign w:val="center"/>
            <w:hideMark/>
          </w:tcPr>
          <w:p w14:paraId="05388980" w14:textId="77777777" w:rsidR="005E57EA" w:rsidRPr="005E57EA" w:rsidRDefault="005E57EA" w:rsidP="00A910FC">
            <w:pPr>
              <w:widowControl w:val="0"/>
              <w:spacing w:before="40" w:after="40"/>
              <w:rPr>
                <w:b/>
                <w:bCs/>
                <w:sz w:val="26"/>
                <w:szCs w:val="26"/>
              </w:rPr>
            </w:pPr>
            <w:r w:rsidRPr="005E57EA">
              <w:rPr>
                <w:b/>
                <w:bCs/>
                <w:sz w:val="26"/>
                <w:szCs w:val="26"/>
              </w:rPr>
              <w:t>Cung cấp chứng nhận:</w:t>
            </w:r>
          </w:p>
        </w:tc>
        <w:tc>
          <w:tcPr>
            <w:tcW w:w="1008" w:type="pct"/>
            <w:vMerge w:val="restart"/>
            <w:vAlign w:val="center"/>
            <w:hideMark/>
          </w:tcPr>
          <w:p w14:paraId="64FF9691" w14:textId="77777777" w:rsidR="005E57EA" w:rsidRPr="005E57EA" w:rsidRDefault="005E57EA" w:rsidP="00A910FC">
            <w:pPr>
              <w:widowControl w:val="0"/>
              <w:spacing w:before="40" w:after="40"/>
              <w:jc w:val="center"/>
              <w:rPr>
                <w:sz w:val="26"/>
                <w:szCs w:val="26"/>
              </w:rPr>
            </w:pPr>
            <w:r w:rsidRPr="005E57EA">
              <w:rPr>
                <w:sz w:val="26"/>
                <w:szCs w:val="26"/>
                <w:lang w:val="vi-VN"/>
              </w:rPr>
              <w:t>Đạt</w:t>
            </w:r>
          </w:p>
        </w:tc>
      </w:tr>
      <w:tr w:rsidR="005E57EA" w:rsidRPr="005E57EA" w14:paraId="2519F171" w14:textId="77777777" w:rsidTr="005E57EA">
        <w:trPr>
          <w:trHeight w:val="20"/>
        </w:trPr>
        <w:tc>
          <w:tcPr>
            <w:tcW w:w="448" w:type="pct"/>
            <w:vMerge/>
            <w:vAlign w:val="center"/>
            <w:hideMark/>
          </w:tcPr>
          <w:p w14:paraId="011EA31D" w14:textId="77777777" w:rsidR="005E57EA" w:rsidRPr="005E57EA" w:rsidRDefault="005E57EA" w:rsidP="00A910FC">
            <w:pPr>
              <w:widowControl w:val="0"/>
              <w:spacing w:before="40" w:after="40" w:line="288" w:lineRule="auto"/>
              <w:rPr>
                <w:sz w:val="26"/>
                <w:szCs w:val="26"/>
              </w:rPr>
            </w:pPr>
          </w:p>
        </w:tc>
        <w:tc>
          <w:tcPr>
            <w:tcW w:w="3544" w:type="pct"/>
            <w:vAlign w:val="center"/>
            <w:hideMark/>
          </w:tcPr>
          <w:p w14:paraId="0F643215" w14:textId="77777777" w:rsidR="005E57EA" w:rsidRPr="005E57EA" w:rsidRDefault="005E57EA" w:rsidP="00A910FC">
            <w:pPr>
              <w:widowControl w:val="0"/>
              <w:spacing w:before="40" w:after="40"/>
              <w:rPr>
                <w:sz w:val="26"/>
                <w:szCs w:val="26"/>
              </w:rPr>
            </w:pPr>
            <w:r w:rsidRPr="005E57EA">
              <w:rPr>
                <w:sz w:val="26"/>
                <w:szCs w:val="26"/>
              </w:rPr>
              <w:t xml:space="preserve">Có cam kết có giấy chứng nhận nguồn gốc hàng hoá hoặc giấy chứng nhận xuất xứ CO, giấy chứng nhận chất lượng CQ  đối với hàng hóa </w:t>
            </w:r>
            <w:r w:rsidRPr="005E57EA">
              <w:rPr>
                <w:sz w:val="26"/>
                <w:szCs w:val="26"/>
              </w:rPr>
              <w:lastRenderedPageBreak/>
              <w:t>nhập khẩu khi giao hàng của nhà sản xuất khi giao hàng.</w:t>
            </w:r>
          </w:p>
        </w:tc>
        <w:tc>
          <w:tcPr>
            <w:tcW w:w="1008" w:type="pct"/>
            <w:vMerge/>
            <w:vAlign w:val="center"/>
            <w:hideMark/>
          </w:tcPr>
          <w:p w14:paraId="11E1F8FE" w14:textId="77777777" w:rsidR="005E57EA" w:rsidRPr="005E57EA" w:rsidRDefault="005E57EA" w:rsidP="00A910FC">
            <w:pPr>
              <w:widowControl w:val="0"/>
              <w:spacing w:before="40" w:after="40"/>
              <w:rPr>
                <w:sz w:val="26"/>
                <w:szCs w:val="26"/>
              </w:rPr>
            </w:pPr>
          </w:p>
        </w:tc>
      </w:tr>
      <w:tr w:rsidR="005E57EA" w:rsidRPr="005E57EA" w14:paraId="28C2D3A8" w14:textId="77777777" w:rsidTr="005E57EA">
        <w:trPr>
          <w:trHeight w:val="20"/>
        </w:trPr>
        <w:tc>
          <w:tcPr>
            <w:tcW w:w="448" w:type="pct"/>
            <w:vMerge/>
            <w:vAlign w:val="center"/>
            <w:hideMark/>
          </w:tcPr>
          <w:p w14:paraId="6F5050FB" w14:textId="77777777" w:rsidR="005E57EA" w:rsidRPr="005E57EA" w:rsidRDefault="005E57EA" w:rsidP="00A910FC">
            <w:pPr>
              <w:widowControl w:val="0"/>
              <w:spacing w:before="40" w:after="40" w:line="288" w:lineRule="auto"/>
              <w:rPr>
                <w:sz w:val="26"/>
                <w:szCs w:val="26"/>
              </w:rPr>
            </w:pPr>
          </w:p>
        </w:tc>
        <w:tc>
          <w:tcPr>
            <w:tcW w:w="3544" w:type="pct"/>
            <w:vAlign w:val="center"/>
            <w:hideMark/>
          </w:tcPr>
          <w:p w14:paraId="773F95F8" w14:textId="77777777" w:rsidR="005E57EA" w:rsidRPr="005E57EA" w:rsidRDefault="005E57EA" w:rsidP="00A910FC">
            <w:pPr>
              <w:widowControl w:val="0"/>
              <w:spacing w:before="40" w:after="40"/>
              <w:rPr>
                <w:sz w:val="26"/>
                <w:szCs w:val="26"/>
              </w:rPr>
            </w:pPr>
            <w:r w:rsidRPr="005E57EA">
              <w:rPr>
                <w:sz w:val="26"/>
                <w:szCs w:val="26"/>
              </w:rPr>
              <w:t>Không đáp ứng yêu cầu nêu trên</w:t>
            </w:r>
          </w:p>
        </w:tc>
        <w:tc>
          <w:tcPr>
            <w:tcW w:w="1008" w:type="pct"/>
            <w:vAlign w:val="center"/>
            <w:hideMark/>
          </w:tcPr>
          <w:p w14:paraId="5D693929" w14:textId="77777777" w:rsidR="005E57EA" w:rsidRPr="005E57EA" w:rsidRDefault="005E57EA" w:rsidP="00A910FC">
            <w:pPr>
              <w:widowControl w:val="0"/>
              <w:spacing w:before="40" w:after="40"/>
              <w:jc w:val="center"/>
              <w:rPr>
                <w:sz w:val="26"/>
                <w:szCs w:val="26"/>
              </w:rPr>
            </w:pPr>
            <w:r w:rsidRPr="005E57EA">
              <w:rPr>
                <w:sz w:val="26"/>
                <w:szCs w:val="26"/>
                <w:lang w:val="vi-VN"/>
              </w:rPr>
              <w:t>Không đạt</w:t>
            </w:r>
          </w:p>
        </w:tc>
      </w:tr>
      <w:tr w:rsidR="005E57EA" w:rsidRPr="005E57EA" w14:paraId="3AC01260" w14:textId="77777777" w:rsidTr="005E57EA">
        <w:trPr>
          <w:trHeight w:val="20"/>
        </w:trPr>
        <w:tc>
          <w:tcPr>
            <w:tcW w:w="448" w:type="pct"/>
            <w:vMerge w:val="restart"/>
            <w:noWrap/>
            <w:vAlign w:val="center"/>
            <w:hideMark/>
          </w:tcPr>
          <w:p w14:paraId="553E8DE0" w14:textId="77777777" w:rsidR="005E57EA" w:rsidRPr="005E57EA" w:rsidRDefault="005E57EA" w:rsidP="00A910FC">
            <w:pPr>
              <w:widowControl w:val="0"/>
              <w:spacing w:before="40" w:after="40" w:line="288" w:lineRule="auto"/>
              <w:jc w:val="center"/>
              <w:rPr>
                <w:sz w:val="26"/>
                <w:szCs w:val="26"/>
              </w:rPr>
            </w:pPr>
            <w:r w:rsidRPr="005E57EA">
              <w:rPr>
                <w:sz w:val="26"/>
                <w:szCs w:val="26"/>
              </w:rPr>
              <w:t>12.2</w:t>
            </w:r>
          </w:p>
        </w:tc>
        <w:tc>
          <w:tcPr>
            <w:tcW w:w="3544" w:type="pct"/>
            <w:vAlign w:val="center"/>
            <w:hideMark/>
          </w:tcPr>
          <w:p w14:paraId="5BD5ACE8" w14:textId="77777777" w:rsidR="005E57EA" w:rsidRPr="005E57EA" w:rsidRDefault="005E57EA" w:rsidP="00A910FC">
            <w:pPr>
              <w:widowControl w:val="0"/>
              <w:spacing w:before="40" w:after="40"/>
              <w:rPr>
                <w:b/>
                <w:bCs/>
                <w:sz w:val="26"/>
                <w:szCs w:val="26"/>
              </w:rPr>
            </w:pPr>
            <w:r w:rsidRPr="005E57EA">
              <w:rPr>
                <w:b/>
                <w:bCs/>
                <w:sz w:val="26"/>
                <w:szCs w:val="26"/>
              </w:rPr>
              <w:t>Cam kết khắc phục sự cố:</w:t>
            </w:r>
          </w:p>
        </w:tc>
        <w:tc>
          <w:tcPr>
            <w:tcW w:w="1008" w:type="pct"/>
            <w:noWrap/>
            <w:vAlign w:val="bottom"/>
            <w:hideMark/>
          </w:tcPr>
          <w:p w14:paraId="2F5714A7" w14:textId="77777777" w:rsidR="005E57EA" w:rsidRPr="005E57EA" w:rsidRDefault="005E57EA" w:rsidP="00A910FC">
            <w:pPr>
              <w:widowControl w:val="0"/>
              <w:spacing w:before="40" w:after="40"/>
              <w:rPr>
                <w:b/>
                <w:bCs/>
                <w:sz w:val="26"/>
                <w:szCs w:val="26"/>
              </w:rPr>
            </w:pPr>
          </w:p>
        </w:tc>
      </w:tr>
      <w:tr w:rsidR="005E57EA" w:rsidRPr="005E57EA" w14:paraId="2319B368" w14:textId="77777777" w:rsidTr="005E57EA">
        <w:trPr>
          <w:trHeight w:val="20"/>
        </w:trPr>
        <w:tc>
          <w:tcPr>
            <w:tcW w:w="448" w:type="pct"/>
            <w:vMerge/>
            <w:vAlign w:val="center"/>
            <w:hideMark/>
          </w:tcPr>
          <w:p w14:paraId="758DC031" w14:textId="77777777" w:rsidR="005E57EA" w:rsidRPr="005E57EA" w:rsidRDefault="005E57EA" w:rsidP="00A910FC">
            <w:pPr>
              <w:widowControl w:val="0"/>
              <w:spacing w:before="40" w:after="40" w:line="288" w:lineRule="auto"/>
              <w:rPr>
                <w:b/>
                <w:bCs/>
                <w:sz w:val="26"/>
                <w:szCs w:val="26"/>
              </w:rPr>
            </w:pPr>
          </w:p>
        </w:tc>
        <w:tc>
          <w:tcPr>
            <w:tcW w:w="3544" w:type="pct"/>
            <w:vAlign w:val="center"/>
            <w:hideMark/>
          </w:tcPr>
          <w:p w14:paraId="5A131767" w14:textId="0FDB6A41" w:rsidR="005E57EA" w:rsidRPr="005E57EA" w:rsidRDefault="005E57EA" w:rsidP="00A910FC">
            <w:pPr>
              <w:widowControl w:val="0"/>
              <w:spacing w:before="40" w:after="40"/>
              <w:rPr>
                <w:sz w:val="26"/>
                <w:szCs w:val="26"/>
              </w:rPr>
            </w:pPr>
            <w:r w:rsidRPr="005E57EA">
              <w:rPr>
                <w:sz w:val="26"/>
                <w:szCs w:val="26"/>
              </w:rPr>
              <w:t xml:space="preserve">- Nhà thầu phải có cam kết sẽ có mặt tại địa điểm giao hàng trong vòng </w:t>
            </w:r>
            <w:r>
              <w:rPr>
                <w:sz w:val="26"/>
                <w:szCs w:val="26"/>
              </w:rPr>
              <w:t>4</w:t>
            </w:r>
            <w:r w:rsidRPr="005E57EA">
              <w:rPr>
                <w:sz w:val="26"/>
                <w:szCs w:val="26"/>
              </w:rPr>
              <w:t xml:space="preserve"> giờ làm việc, để kiểm tra các sự cố của máy móc thiết bị. </w:t>
            </w:r>
          </w:p>
        </w:tc>
        <w:tc>
          <w:tcPr>
            <w:tcW w:w="1008" w:type="pct"/>
            <w:vMerge w:val="restart"/>
            <w:vAlign w:val="center"/>
            <w:hideMark/>
          </w:tcPr>
          <w:p w14:paraId="2975B125" w14:textId="77777777" w:rsidR="005E57EA" w:rsidRPr="005E57EA" w:rsidRDefault="005E57EA" w:rsidP="00A910FC">
            <w:pPr>
              <w:widowControl w:val="0"/>
              <w:spacing w:before="40" w:after="40"/>
              <w:jc w:val="center"/>
              <w:rPr>
                <w:sz w:val="26"/>
                <w:szCs w:val="26"/>
              </w:rPr>
            </w:pPr>
            <w:r w:rsidRPr="005E57EA">
              <w:rPr>
                <w:sz w:val="26"/>
                <w:szCs w:val="26"/>
                <w:lang w:val="vi-VN"/>
              </w:rPr>
              <w:t>Đạt</w:t>
            </w:r>
          </w:p>
        </w:tc>
      </w:tr>
      <w:tr w:rsidR="005E57EA" w:rsidRPr="005E57EA" w14:paraId="2F767204" w14:textId="77777777" w:rsidTr="005E57EA">
        <w:trPr>
          <w:trHeight w:val="20"/>
        </w:trPr>
        <w:tc>
          <w:tcPr>
            <w:tcW w:w="448" w:type="pct"/>
            <w:vMerge/>
            <w:vAlign w:val="center"/>
            <w:hideMark/>
          </w:tcPr>
          <w:p w14:paraId="2C0463E4" w14:textId="77777777" w:rsidR="005E57EA" w:rsidRPr="005E57EA" w:rsidRDefault="005E57EA" w:rsidP="00A910FC">
            <w:pPr>
              <w:widowControl w:val="0"/>
              <w:spacing w:before="40" w:after="40" w:line="288" w:lineRule="auto"/>
              <w:rPr>
                <w:b/>
                <w:bCs/>
                <w:sz w:val="26"/>
                <w:szCs w:val="26"/>
              </w:rPr>
            </w:pPr>
          </w:p>
        </w:tc>
        <w:tc>
          <w:tcPr>
            <w:tcW w:w="3544" w:type="pct"/>
            <w:vAlign w:val="center"/>
            <w:hideMark/>
          </w:tcPr>
          <w:p w14:paraId="3F78E3C4" w14:textId="77777777" w:rsidR="005E57EA" w:rsidRPr="005E57EA" w:rsidRDefault="005E57EA" w:rsidP="00A910FC">
            <w:pPr>
              <w:widowControl w:val="0"/>
              <w:spacing w:before="40" w:after="40"/>
              <w:rPr>
                <w:sz w:val="26"/>
                <w:szCs w:val="26"/>
              </w:rPr>
            </w:pPr>
            <w:r w:rsidRPr="005E57EA">
              <w:rPr>
                <w:sz w:val="26"/>
                <w:szCs w:val="26"/>
              </w:rPr>
              <w:t xml:space="preserve">- Nhà thầu phải có cam kết trong thời gian bảo hành sẽ khắc phục sự cố cho các sản phẩm dự thầu trong vòng không quá tám giờ làm việc. </w:t>
            </w:r>
          </w:p>
        </w:tc>
        <w:tc>
          <w:tcPr>
            <w:tcW w:w="1008" w:type="pct"/>
            <w:vMerge/>
            <w:vAlign w:val="center"/>
            <w:hideMark/>
          </w:tcPr>
          <w:p w14:paraId="1BC6AA0D" w14:textId="77777777" w:rsidR="005E57EA" w:rsidRPr="005E57EA" w:rsidRDefault="005E57EA" w:rsidP="00A910FC">
            <w:pPr>
              <w:widowControl w:val="0"/>
              <w:spacing w:before="40" w:after="40"/>
              <w:rPr>
                <w:sz w:val="26"/>
                <w:szCs w:val="26"/>
              </w:rPr>
            </w:pPr>
          </w:p>
        </w:tc>
      </w:tr>
      <w:tr w:rsidR="005E57EA" w:rsidRPr="005E57EA" w14:paraId="501A1AAC" w14:textId="77777777" w:rsidTr="005E57EA">
        <w:trPr>
          <w:trHeight w:val="20"/>
        </w:trPr>
        <w:tc>
          <w:tcPr>
            <w:tcW w:w="448" w:type="pct"/>
            <w:vMerge/>
            <w:vAlign w:val="center"/>
            <w:hideMark/>
          </w:tcPr>
          <w:p w14:paraId="6E00CD41" w14:textId="77777777" w:rsidR="005E57EA" w:rsidRPr="005E57EA" w:rsidRDefault="005E57EA" w:rsidP="00A910FC">
            <w:pPr>
              <w:widowControl w:val="0"/>
              <w:spacing w:before="40" w:after="40" w:line="288" w:lineRule="auto"/>
              <w:rPr>
                <w:b/>
                <w:bCs/>
                <w:sz w:val="26"/>
                <w:szCs w:val="26"/>
              </w:rPr>
            </w:pPr>
          </w:p>
        </w:tc>
        <w:tc>
          <w:tcPr>
            <w:tcW w:w="3544" w:type="pct"/>
            <w:vAlign w:val="center"/>
            <w:hideMark/>
          </w:tcPr>
          <w:p w14:paraId="2FCF3398" w14:textId="77777777" w:rsidR="005E57EA" w:rsidRPr="005E57EA" w:rsidRDefault="005E57EA" w:rsidP="00A910FC">
            <w:pPr>
              <w:widowControl w:val="0"/>
              <w:spacing w:before="40" w:after="40"/>
              <w:rPr>
                <w:sz w:val="26"/>
                <w:szCs w:val="26"/>
              </w:rPr>
            </w:pPr>
            <w:r w:rsidRPr="005E57EA">
              <w:rPr>
                <w:sz w:val="26"/>
                <w:szCs w:val="26"/>
                <w:lang w:val="vi-VN"/>
              </w:rPr>
              <w:t>Không đáp ứng yêu cầu nêu trên</w:t>
            </w:r>
          </w:p>
        </w:tc>
        <w:tc>
          <w:tcPr>
            <w:tcW w:w="1008" w:type="pct"/>
            <w:vAlign w:val="center"/>
            <w:hideMark/>
          </w:tcPr>
          <w:p w14:paraId="3AFB2729" w14:textId="77777777" w:rsidR="005E57EA" w:rsidRPr="005E57EA" w:rsidRDefault="005E57EA" w:rsidP="00A910FC">
            <w:pPr>
              <w:widowControl w:val="0"/>
              <w:spacing w:before="40" w:after="40"/>
              <w:jc w:val="center"/>
              <w:rPr>
                <w:sz w:val="26"/>
                <w:szCs w:val="26"/>
              </w:rPr>
            </w:pPr>
            <w:r w:rsidRPr="005E57EA">
              <w:rPr>
                <w:sz w:val="26"/>
                <w:szCs w:val="26"/>
                <w:lang w:val="vi-VN"/>
              </w:rPr>
              <w:t>Không đạt</w:t>
            </w:r>
          </w:p>
        </w:tc>
      </w:tr>
      <w:tr w:rsidR="005E57EA" w:rsidRPr="005E57EA" w14:paraId="0DB1EC04" w14:textId="77777777" w:rsidTr="005E57EA">
        <w:trPr>
          <w:trHeight w:val="20"/>
        </w:trPr>
        <w:tc>
          <w:tcPr>
            <w:tcW w:w="448" w:type="pct"/>
            <w:vMerge w:val="restart"/>
            <w:vAlign w:val="center"/>
          </w:tcPr>
          <w:p w14:paraId="147E1CF7" w14:textId="77777777" w:rsidR="005E57EA" w:rsidRPr="005E57EA" w:rsidRDefault="005E57EA" w:rsidP="00A910FC">
            <w:pPr>
              <w:widowControl w:val="0"/>
              <w:spacing w:before="40" w:after="40" w:line="288" w:lineRule="auto"/>
              <w:rPr>
                <w:sz w:val="26"/>
                <w:szCs w:val="26"/>
              </w:rPr>
            </w:pPr>
            <w:r w:rsidRPr="005E57EA">
              <w:rPr>
                <w:sz w:val="26"/>
                <w:szCs w:val="26"/>
              </w:rPr>
              <w:t>12.3</w:t>
            </w:r>
          </w:p>
        </w:tc>
        <w:tc>
          <w:tcPr>
            <w:tcW w:w="3544" w:type="pct"/>
            <w:vAlign w:val="center"/>
          </w:tcPr>
          <w:p w14:paraId="4529F976" w14:textId="1A3C410C" w:rsidR="005E57EA" w:rsidRPr="005E57EA" w:rsidRDefault="005E57EA" w:rsidP="00A910FC">
            <w:pPr>
              <w:widowControl w:val="0"/>
              <w:spacing w:before="40" w:after="40"/>
              <w:rPr>
                <w:sz w:val="26"/>
                <w:szCs w:val="26"/>
                <w:lang w:val="vi-VN"/>
              </w:rPr>
            </w:pPr>
            <w:r w:rsidRPr="005E57EA">
              <w:rPr>
                <w:b/>
                <w:bCs/>
                <w:sz w:val="26"/>
                <w:szCs w:val="26"/>
                <w:lang w:val="vi-VN"/>
              </w:rPr>
              <w:t xml:space="preserve">Uy tín của nhà thầu thông qua việc thực hiện các hợp đồng tương tự trước đó trong thời gian </w:t>
            </w:r>
            <w:r>
              <w:rPr>
                <w:b/>
                <w:bCs/>
                <w:sz w:val="26"/>
                <w:szCs w:val="26"/>
              </w:rPr>
              <w:t xml:space="preserve">từ 01/01/2022 trở lại </w:t>
            </w:r>
            <w:r w:rsidRPr="005E57EA">
              <w:rPr>
                <w:b/>
                <w:bCs/>
                <w:sz w:val="26"/>
                <w:szCs w:val="26"/>
                <w:lang w:val="vi-VN"/>
              </w:rPr>
              <w:t>đây tính đến thời điểm đóng thầu:</w:t>
            </w:r>
          </w:p>
        </w:tc>
        <w:tc>
          <w:tcPr>
            <w:tcW w:w="1008" w:type="pct"/>
            <w:vAlign w:val="center"/>
          </w:tcPr>
          <w:p w14:paraId="7653F383" w14:textId="77777777" w:rsidR="005E57EA" w:rsidRPr="005E57EA" w:rsidRDefault="005E57EA" w:rsidP="00A910FC">
            <w:pPr>
              <w:widowControl w:val="0"/>
              <w:spacing w:before="40" w:after="40"/>
              <w:jc w:val="center"/>
              <w:rPr>
                <w:sz w:val="26"/>
                <w:szCs w:val="26"/>
                <w:lang w:val="vi-VN"/>
              </w:rPr>
            </w:pPr>
          </w:p>
        </w:tc>
      </w:tr>
      <w:tr w:rsidR="005E57EA" w:rsidRPr="005E57EA" w14:paraId="0DBF9672" w14:textId="77777777" w:rsidTr="005E57EA">
        <w:trPr>
          <w:trHeight w:val="20"/>
        </w:trPr>
        <w:tc>
          <w:tcPr>
            <w:tcW w:w="448" w:type="pct"/>
            <w:vMerge/>
            <w:vAlign w:val="center"/>
          </w:tcPr>
          <w:p w14:paraId="7DB82001" w14:textId="77777777" w:rsidR="005E57EA" w:rsidRPr="005E57EA" w:rsidRDefault="005E57EA" w:rsidP="00A910FC">
            <w:pPr>
              <w:widowControl w:val="0"/>
              <w:spacing w:before="40" w:after="40" w:line="288" w:lineRule="auto"/>
              <w:rPr>
                <w:b/>
                <w:bCs/>
                <w:sz w:val="26"/>
                <w:szCs w:val="26"/>
              </w:rPr>
            </w:pPr>
          </w:p>
        </w:tc>
        <w:tc>
          <w:tcPr>
            <w:tcW w:w="3544" w:type="pct"/>
            <w:vAlign w:val="center"/>
          </w:tcPr>
          <w:p w14:paraId="1BB0BC4E" w14:textId="77777777" w:rsidR="005E57EA" w:rsidRPr="005E57EA" w:rsidRDefault="005E57EA" w:rsidP="00A910FC">
            <w:pPr>
              <w:widowControl w:val="0"/>
              <w:spacing w:before="40" w:after="40"/>
              <w:rPr>
                <w:b/>
                <w:bCs/>
                <w:sz w:val="26"/>
                <w:szCs w:val="26"/>
                <w:lang w:val="vi-VN"/>
              </w:rPr>
            </w:pPr>
            <w:r w:rsidRPr="005E57EA">
              <w:rPr>
                <w:sz w:val="26"/>
                <w:szCs w:val="26"/>
              </w:rPr>
              <w:t>Nhà thầu đã từng trúng thầu nhưng không tham gia thương thảo hợp đồng hoặc đã có quyết định trúng thầu nhưng nhà thầu không tham gia hoặc từ chối tham gia hoàn thiện và ký kết hợp đồng với các chủ đầu tư. Nhà thầu không vi phạm một trong các hành vi sa đây</w:t>
            </w:r>
          </w:p>
        </w:tc>
        <w:tc>
          <w:tcPr>
            <w:tcW w:w="1008" w:type="pct"/>
            <w:vMerge w:val="restart"/>
            <w:vAlign w:val="center"/>
          </w:tcPr>
          <w:p w14:paraId="6634AC37" w14:textId="77777777" w:rsidR="005E57EA" w:rsidRPr="005E57EA" w:rsidRDefault="005E57EA" w:rsidP="00A910FC">
            <w:pPr>
              <w:widowControl w:val="0"/>
              <w:spacing w:before="40" w:after="40"/>
              <w:jc w:val="center"/>
              <w:rPr>
                <w:sz w:val="26"/>
                <w:szCs w:val="26"/>
                <w:lang w:val="vi-VN"/>
              </w:rPr>
            </w:pPr>
            <w:r w:rsidRPr="005E57EA">
              <w:rPr>
                <w:sz w:val="26"/>
                <w:szCs w:val="26"/>
              </w:rPr>
              <w:t>Đạt</w:t>
            </w:r>
          </w:p>
        </w:tc>
      </w:tr>
      <w:tr w:rsidR="005E57EA" w:rsidRPr="005E57EA" w14:paraId="6972ED0E" w14:textId="77777777" w:rsidTr="005E57EA">
        <w:trPr>
          <w:trHeight w:val="20"/>
        </w:trPr>
        <w:tc>
          <w:tcPr>
            <w:tcW w:w="448" w:type="pct"/>
            <w:vMerge/>
            <w:vAlign w:val="center"/>
          </w:tcPr>
          <w:p w14:paraId="09FB4C70" w14:textId="77777777" w:rsidR="005E57EA" w:rsidRPr="005E57EA" w:rsidRDefault="005E57EA" w:rsidP="00A910FC">
            <w:pPr>
              <w:widowControl w:val="0"/>
              <w:spacing w:before="40" w:after="40" w:line="288" w:lineRule="auto"/>
              <w:rPr>
                <w:b/>
                <w:bCs/>
                <w:sz w:val="26"/>
                <w:szCs w:val="26"/>
              </w:rPr>
            </w:pPr>
          </w:p>
        </w:tc>
        <w:tc>
          <w:tcPr>
            <w:tcW w:w="3544" w:type="pct"/>
            <w:vAlign w:val="center"/>
          </w:tcPr>
          <w:p w14:paraId="08B020EF" w14:textId="77777777" w:rsidR="005E57EA" w:rsidRPr="005E57EA" w:rsidRDefault="005E57EA" w:rsidP="00A910FC">
            <w:pPr>
              <w:widowControl w:val="0"/>
              <w:spacing w:before="40" w:after="40"/>
              <w:rPr>
                <w:b/>
                <w:bCs/>
                <w:sz w:val="26"/>
                <w:szCs w:val="26"/>
                <w:lang w:val="vi-VN"/>
              </w:rPr>
            </w:pPr>
            <w:r w:rsidRPr="005E57EA">
              <w:rPr>
                <w:sz w:val="26"/>
                <w:szCs w:val="26"/>
              </w:rPr>
              <w:t>Nhà thầu thực hiện hợp đồng bị chậm tiến độ hoặc bỏ dỡ không thực hiện hợp đồng do lỗi nhà thầu</w:t>
            </w:r>
          </w:p>
        </w:tc>
        <w:tc>
          <w:tcPr>
            <w:tcW w:w="1008" w:type="pct"/>
            <w:vMerge/>
            <w:vAlign w:val="center"/>
          </w:tcPr>
          <w:p w14:paraId="67EC25CC" w14:textId="77777777" w:rsidR="005E57EA" w:rsidRPr="005E57EA" w:rsidRDefault="005E57EA" w:rsidP="00A910FC">
            <w:pPr>
              <w:widowControl w:val="0"/>
              <w:spacing w:before="40" w:after="40"/>
              <w:jc w:val="center"/>
              <w:rPr>
                <w:sz w:val="26"/>
                <w:szCs w:val="26"/>
                <w:lang w:val="vi-VN"/>
              </w:rPr>
            </w:pPr>
          </w:p>
        </w:tc>
      </w:tr>
      <w:tr w:rsidR="005E57EA" w:rsidRPr="005E57EA" w14:paraId="5EF5566B" w14:textId="77777777" w:rsidTr="005E57EA">
        <w:trPr>
          <w:trHeight w:val="20"/>
        </w:trPr>
        <w:tc>
          <w:tcPr>
            <w:tcW w:w="448" w:type="pct"/>
            <w:vMerge/>
            <w:vAlign w:val="center"/>
          </w:tcPr>
          <w:p w14:paraId="78FD2C24" w14:textId="77777777" w:rsidR="005E57EA" w:rsidRPr="005E57EA" w:rsidRDefault="005E57EA" w:rsidP="00A910FC">
            <w:pPr>
              <w:widowControl w:val="0"/>
              <w:spacing w:before="40" w:after="40" w:line="288" w:lineRule="auto"/>
              <w:rPr>
                <w:b/>
                <w:bCs/>
                <w:sz w:val="26"/>
                <w:szCs w:val="26"/>
              </w:rPr>
            </w:pPr>
          </w:p>
        </w:tc>
        <w:tc>
          <w:tcPr>
            <w:tcW w:w="3544" w:type="pct"/>
            <w:vAlign w:val="center"/>
          </w:tcPr>
          <w:p w14:paraId="23935D29" w14:textId="77777777" w:rsidR="005E57EA" w:rsidRPr="005E57EA" w:rsidRDefault="005E57EA" w:rsidP="00A910FC">
            <w:pPr>
              <w:widowControl w:val="0"/>
              <w:spacing w:before="40" w:after="40"/>
              <w:rPr>
                <w:b/>
                <w:bCs/>
                <w:sz w:val="26"/>
                <w:szCs w:val="26"/>
                <w:lang w:val="vi-VN"/>
              </w:rPr>
            </w:pPr>
            <w:r w:rsidRPr="005E57EA">
              <w:rPr>
                <w:sz w:val="26"/>
                <w:szCs w:val="26"/>
              </w:rPr>
              <w:t>Nhà thầu đã bị bên bất kỳ một mời thầu nào đó đưa vào danh sách cấm tham dự thầu do lỗi của nhà thầu.</w:t>
            </w:r>
          </w:p>
        </w:tc>
        <w:tc>
          <w:tcPr>
            <w:tcW w:w="1008" w:type="pct"/>
            <w:vMerge/>
            <w:vAlign w:val="center"/>
          </w:tcPr>
          <w:p w14:paraId="6769BFF0" w14:textId="77777777" w:rsidR="005E57EA" w:rsidRPr="005E57EA" w:rsidRDefault="005E57EA" w:rsidP="00A910FC">
            <w:pPr>
              <w:widowControl w:val="0"/>
              <w:spacing w:before="40" w:after="40"/>
              <w:jc w:val="center"/>
              <w:rPr>
                <w:sz w:val="26"/>
                <w:szCs w:val="26"/>
                <w:lang w:val="vi-VN"/>
              </w:rPr>
            </w:pPr>
          </w:p>
        </w:tc>
      </w:tr>
      <w:tr w:rsidR="005E57EA" w:rsidRPr="005E57EA" w14:paraId="5D34BFC8" w14:textId="77777777" w:rsidTr="005E57EA">
        <w:trPr>
          <w:trHeight w:val="497"/>
        </w:trPr>
        <w:tc>
          <w:tcPr>
            <w:tcW w:w="448" w:type="pct"/>
            <w:vMerge/>
            <w:vAlign w:val="center"/>
          </w:tcPr>
          <w:p w14:paraId="050126DC" w14:textId="77777777" w:rsidR="005E57EA" w:rsidRPr="005E57EA" w:rsidRDefault="005E57EA" w:rsidP="00A910FC">
            <w:pPr>
              <w:widowControl w:val="0"/>
              <w:spacing w:before="40" w:after="40" w:line="288" w:lineRule="auto"/>
              <w:rPr>
                <w:b/>
                <w:bCs/>
                <w:sz w:val="26"/>
                <w:szCs w:val="26"/>
              </w:rPr>
            </w:pPr>
          </w:p>
        </w:tc>
        <w:tc>
          <w:tcPr>
            <w:tcW w:w="3544" w:type="pct"/>
            <w:vAlign w:val="center"/>
          </w:tcPr>
          <w:p w14:paraId="183C6D30" w14:textId="77777777" w:rsidR="005E57EA" w:rsidRPr="005E57EA" w:rsidRDefault="005E57EA" w:rsidP="00A910FC">
            <w:pPr>
              <w:widowControl w:val="0"/>
              <w:spacing w:before="40" w:after="40"/>
              <w:rPr>
                <w:sz w:val="26"/>
                <w:szCs w:val="26"/>
              </w:rPr>
            </w:pPr>
            <w:r w:rsidRPr="005E57EA">
              <w:rPr>
                <w:sz w:val="26"/>
                <w:szCs w:val="26"/>
                <w:lang w:val="vi-VN"/>
              </w:rPr>
              <w:t xml:space="preserve">Nhà thầu </w:t>
            </w:r>
            <w:r w:rsidRPr="005E57EA">
              <w:rPr>
                <w:sz w:val="26"/>
                <w:szCs w:val="26"/>
              </w:rPr>
              <w:t xml:space="preserve">vi phạm </w:t>
            </w:r>
            <w:r w:rsidRPr="005E57EA">
              <w:rPr>
                <w:sz w:val="26"/>
                <w:szCs w:val="26"/>
                <w:lang w:val="vi-VN"/>
              </w:rPr>
              <w:t xml:space="preserve">một trong các trường hợp </w:t>
            </w:r>
            <w:r w:rsidRPr="005E57EA">
              <w:rPr>
                <w:sz w:val="26"/>
                <w:szCs w:val="26"/>
              </w:rPr>
              <w:t>nêu trên</w:t>
            </w:r>
          </w:p>
        </w:tc>
        <w:tc>
          <w:tcPr>
            <w:tcW w:w="1008" w:type="pct"/>
            <w:vAlign w:val="center"/>
          </w:tcPr>
          <w:p w14:paraId="613584CE" w14:textId="77777777" w:rsidR="005E57EA" w:rsidRPr="005E57EA" w:rsidRDefault="005E57EA" w:rsidP="00A910FC">
            <w:pPr>
              <w:widowControl w:val="0"/>
              <w:spacing w:before="40" w:after="40"/>
              <w:jc w:val="center"/>
              <w:rPr>
                <w:sz w:val="26"/>
                <w:szCs w:val="26"/>
                <w:lang w:val="vi-VN"/>
              </w:rPr>
            </w:pPr>
            <w:r w:rsidRPr="005E57EA">
              <w:rPr>
                <w:sz w:val="26"/>
                <w:szCs w:val="26"/>
                <w:lang w:val="vi-VN"/>
              </w:rPr>
              <w:t>Không đạt</w:t>
            </w:r>
          </w:p>
        </w:tc>
      </w:tr>
    </w:tbl>
    <w:p w14:paraId="45272D16" w14:textId="77777777" w:rsidR="005E57EA" w:rsidRDefault="005E57EA" w:rsidP="00533B88">
      <w:pPr>
        <w:spacing w:before="80" w:after="80" w:line="264" w:lineRule="auto"/>
        <w:ind w:firstLine="709"/>
        <w:rPr>
          <w:sz w:val="26"/>
          <w:szCs w:val="26"/>
        </w:rPr>
      </w:pPr>
    </w:p>
    <w:p w14:paraId="1E307DD3" w14:textId="77777777" w:rsidR="005E57EA" w:rsidRDefault="005E57EA" w:rsidP="00533B88">
      <w:pPr>
        <w:spacing w:before="80" w:after="80" w:line="264" w:lineRule="auto"/>
        <w:ind w:firstLine="709"/>
        <w:rPr>
          <w:sz w:val="26"/>
          <w:szCs w:val="26"/>
        </w:rPr>
      </w:pPr>
    </w:p>
    <w:bookmarkEnd w:id="0"/>
    <w:p w14:paraId="52FD43C9" w14:textId="77777777" w:rsidR="005E57EA" w:rsidRPr="005E57EA" w:rsidRDefault="005E57EA" w:rsidP="00533B88">
      <w:pPr>
        <w:spacing w:before="80" w:after="80" w:line="264" w:lineRule="auto"/>
        <w:ind w:firstLine="709"/>
        <w:rPr>
          <w:sz w:val="26"/>
          <w:szCs w:val="26"/>
        </w:rPr>
      </w:pPr>
    </w:p>
    <w:sectPr w:rsidR="005E57EA" w:rsidRPr="005E57EA" w:rsidSect="00C02CB5">
      <w:pgSz w:w="12240" w:h="15840"/>
      <w:pgMar w:top="1134"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3F1E" w14:textId="77777777" w:rsidR="00202A43" w:rsidRDefault="00202A43" w:rsidP="00533B88">
      <w:r>
        <w:separator/>
      </w:r>
    </w:p>
  </w:endnote>
  <w:endnote w:type="continuationSeparator" w:id="0">
    <w:p w14:paraId="03D7A816" w14:textId="77777777" w:rsidR="00202A43" w:rsidRDefault="00202A43" w:rsidP="0053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B1AD" w14:textId="77777777" w:rsidR="00202A43" w:rsidRDefault="00202A43" w:rsidP="00533B88">
      <w:r>
        <w:separator/>
      </w:r>
    </w:p>
  </w:footnote>
  <w:footnote w:type="continuationSeparator" w:id="0">
    <w:p w14:paraId="62932113" w14:textId="77777777" w:rsidR="00202A43" w:rsidRDefault="00202A43" w:rsidP="00533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3D"/>
    <w:rsid w:val="00202A43"/>
    <w:rsid w:val="0022507C"/>
    <w:rsid w:val="003A1E27"/>
    <w:rsid w:val="004B15D7"/>
    <w:rsid w:val="00533B88"/>
    <w:rsid w:val="005B7442"/>
    <w:rsid w:val="005E57EA"/>
    <w:rsid w:val="00793244"/>
    <w:rsid w:val="00847927"/>
    <w:rsid w:val="00A44E3D"/>
    <w:rsid w:val="00AA42E7"/>
    <w:rsid w:val="00AF0327"/>
    <w:rsid w:val="00C02CB5"/>
    <w:rsid w:val="00D30008"/>
    <w:rsid w:val="00FE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13C4"/>
  <w15:chartTrackingRefBased/>
  <w15:docId w15:val="{B96B639D-F6E8-48B0-8621-C1A2F9D0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B8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33B8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533B8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533B88"/>
    <w:rPr>
      <w:rFonts w:ascii="Times New Roman" w:eastAsia="Times New Roman" w:hAnsi="Times New Roman" w:cs="Times New Roman"/>
      <w:sz w:val="20"/>
      <w:szCs w:val="20"/>
    </w:rPr>
  </w:style>
  <w:style w:type="character" w:styleId="FootnoteReference">
    <w:name w:val="footnote reference"/>
    <w:aliases w:val="callout"/>
    <w:uiPriority w:val="99"/>
    <w:rsid w:val="00533B88"/>
    <w:rPr>
      <w:vertAlign w:val="superscript"/>
    </w:rPr>
  </w:style>
  <w:style w:type="paragraph" w:customStyle="1" w:styleId="Sub-ClauseText">
    <w:name w:val="Sub-Clause Text"/>
    <w:basedOn w:val="Normal"/>
    <w:rsid w:val="00793244"/>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1101</Words>
  <Characters>6277</Characters>
  <Application>Microsoft Office Word</Application>
  <DocSecurity>0</DocSecurity>
  <Lines>52</Lines>
  <Paragraphs>14</Paragraphs>
  <ScaleCrop>false</ScaleCrop>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Cao</dc:creator>
  <cp:keywords/>
  <dc:description/>
  <cp:lastModifiedBy>sake</cp:lastModifiedBy>
  <cp:revision>7</cp:revision>
  <dcterms:created xsi:type="dcterms:W3CDTF">2024-11-20T06:04:00Z</dcterms:created>
  <dcterms:modified xsi:type="dcterms:W3CDTF">2026-03-22T16:43:00Z</dcterms:modified>
</cp:coreProperties>
</file>