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EE8D" w14:textId="77777777" w:rsidR="005F2545" w:rsidRPr="004D1049" w:rsidRDefault="005F2545" w:rsidP="005F2545">
      <w:pPr>
        <w:jc w:val="center"/>
        <w:outlineLvl w:val="0"/>
        <w:rPr>
          <w:b/>
          <w:sz w:val="28"/>
          <w:szCs w:val="28"/>
          <w:lang w:val="nl-NL"/>
        </w:rPr>
      </w:pPr>
      <w:r w:rsidRPr="004D1049">
        <w:rPr>
          <w:b/>
          <w:sz w:val="28"/>
          <w:szCs w:val="28"/>
          <w:lang w:val="nl-NL"/>
        </w:rPr>
        <w:t>Phần 2. YÊU CẦU VỀ KỸ THUẬT</w:t>
      </w:r>
    </w:p>
    <w:p w14:paraId="7BDE8DFB" w14:textId="77777777" w:rsidR="005F2545" w:rsidRPr="004D1049" w:rsidRDefault="005F2545" w:rsidP="005F2545">
      <w:pPr>
        <w:widowControl w:val="0"/>
        <w:spacing w:before="120" w:after="120" w:line="264" w:lineRule="auto"/>
        <w:jc w:val="center"/>
        <w:outlineLvl w:val="1"/>
        <w:rPr>
          <w:sz w:val="28"/>
          <w:szCs w:val="28"/>
          <w:lang w:val="nl-NL"/>
        </w:rPr>
      </w:pPr>
      <w:r w:rsidRPr="004D1049">
        <w:rPr>
          <w:b/>
          <w:sz w:val="28"/>
          <w:szCs w:val="28"/>
          <w:lang w:val="nl-NL"/>
        </w:rPr>
        <w:t>Chương V. YÊU CẦU VỀ KỸ THUẬT</w:t>
      </w:r>
    </w:p>
    <w:p w14:paraId="23F9D2A4" w14:textId="77777777" w:rsidR="005F2545" w:rsidRPr="004D1049" w:rsidRDefault="005F2545" w:rsidP="005F2545">
      <w:pPr>
        <w:widowControl w:val="0"/>
        <w:spacing w:before="120" w:after="120" w:line="264" w:lineRule="auto"/>
        <w:ind w:firstLine="454"/>
        <w:rPr>
          <w:b/>
          <w:i/>
          <w:sz w:val="28"/>
          <w:szCs w:val="28"/>
          <w:lang w:val="nl-NL"/>
        </w:rPr>
      </w:pPr>
      <w:r w:rsidRPr="004D1049">
        <w:rPr>
          <w:b/>
          <w:i/>
          <w:sz w:val="28"/>
          <w:szCs w:val="28"/>
          <w:lang w:val="nl-NL"/>
        </w:rPr>
        <w:t>1. Giới thiệu chung về dự án/</w:t>
      </w:r>
      <w:r w:rsidRPr="004D1049">
        <w:rPr>
          <w:b/>
          <w:i/>
          <w:sz w:val="28"/>
          <w:szCs w:val="28"/>
        </w:rPr>
        <w:t>dự toán mua sắm</w:t>
      </w:r>
      <w:r w:rsidRPr="004D1049">
        <w:rPr>
          <w:b/>
          <w:i/>
          <w:sz w:val="28"/>
          <w:szCs w:val="28"/>
          <w:lang w:val="nl-NL"/>
        </w:rPr>
        <w:t>, gói thầu</w:t>
      </w:r>
    </w:p>
    <w:p w14:paraId="4212AC2E" w14:textId="77777777" w:rsidR="005F2545" w:rsidRPr="00497BBE" w:rsidRDefault="005F2545" w:rsidP="005F2545">
      <w:pPr>
        <w:spacing w:before="120" w:line="264" w:lineRule="auto"/>
        <w:ind w:firstLine="454"/>
        <w:rPr>
          <w:sz w:val="26"/>
          <w:szCs w:val="26"/>
          <w:lang w:val="nl-NL"/>
        </w:rPr>
      </w:pPr>
      <w:r w:rsidRPr="00497BBE">
        <w:rPr>
          <w:sz w:val="26"/>
          <w:szCs w:val="26"/>
          <w:lang w:val="nl-NL"/>
        </w:rPr>
        <w:t>Quyết định số 280/QĐ-BV ngày 06/4/2026 của Bệnh viện Đa khoa khu vực Quảng Nam về việc Phê duyệt kế hoạch lựa chọn nhà thầu gói thầu: Mua sắm máy chủ (Sever) và thiết bị lưu trữ NAS;</w:t>
      </w:r>
    </w:p>
    <w:p w14:paraId="616428F1"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 xml:space="preserve">1. Tên gói thầu: </w:t>
      </w:r>
      <w:r>
        <w:rPr>
          <w:sz w:val="26"/>
          <w:szCs w:val="26"/>
          <w:lang w:val="nl-NL"/>
        </w:rPr>
        <w:t>Mua sắm máy chủ (Sever) và thiết bị lưu trữ NAS</w:t>
      </w:r>
    </w:p>
    <w:p w14:paraId="5A838349"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 xml:space="preserve">2. Giá gói thầu: </w:t>
      </w:r>
      <w:r w:rsidRPr="00347345">
        <w:rPr>
          <w:b/>
          <w:bCs/>
          <w:sz w:val="26"/>
          <w:szCs w:val="26"/>
          <w:lang w:val="nl-NL"/>
        </w:rPr>
        <w:t>3.150.448.848 VND</w:t>
      </w:r>
    </w:p>
    <w:p w14:paraId="02506A47" w14:textId="77777777" w:rsidR="005F2545" w:rsidRPr="004D1049" w:rsidRDefault="005F2545" w:rsidP="005F2545">
      <w:pPr>
        <w:spacing w:before="120" w:line="264" w:lineRule="auto"/>
        <w:ind w:left="454" w:right="-285"/>
        <w:jc w:val="left"/>
        <w:rPr>
          <w:sz w:val="26"/>
          <w:szCs w:val="26"/>
          <w:lang w:val="nl-NL"/>
        </w:rPr>
      </w:pPr>
      <w:r w:rsidRPr="00E63BEF">
        <w:rPr>
          <w:b/>
          <w:bCs/>
          <w:i/>
          <w:iCs/>
          <w:sz w:val="26"/>
          <w:szCs w:val="26"/>
          <w:lang w:val="nl-NL"/>
        </w:rPr>
        <w:t>(Bằng chữ: Ba tỉ một trăm năm mươi triệu bốn trăm bốn mươi tám ngàn tám trăm bốn mươi tám đồng)</w:t>
      </w:r>
      <w:r>
        <w:rPr>
          <w:b/>
          <w:bCs/>
          <w:i/>
          <w:iCs/>
          <w:sz w:val="26"/>
          <w:szCs w:val="26"/>
          <w:lang w:val="nl-NL"/>
        </w:rPr>
        <w:br/>
      </w:r>
      <w:r w:rsidRPr="004D1049">
        <w:rPr>
          <w:sz w:val="26"/>
          <w:szCs w:val="26"/>
          <w:lang w:val="nl-NL"/>
        </w:rPr>
        <w:t>Giá trên đã bao gồm các loại thuế theo qui định, chi phí vận chuyển, bàn giao và các chi phí khác.</w:t>
      </w:r>
    </w:p>
    <w:p w14:paraId="6209E8B4"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3. Đơn vị mua sắm: Bệnh viện đa khoa Khu vực Quảng Nam</w:t>
      </w:r>
    </w:p>
    <w:p w14:paraId="3131231A"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 xml:space="preserve">4. Hình thức lựa chọn nhà thầu: </w:t>
      </w:r>
      <w:r>
        <w:rPr>
          <w:sz w:val="26"/>
          <w:szCs w:val="26"/>
          <w:lang w:val="nl-NL"/>
        </w:rPr>
        <w:t>Đấu thầu rộng rãi qua mạng</w:t>
      </w:r>
    </w:p>
    <w:p w14:paraId="451C6187"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5. Phương thức lựa chọn nhà thầu: 01 giai đoạn, 01 túi hồ sơ</w:t>
      </w:r>
    </w:p>
    <w:p w14:paraId="6CD66403"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6. Thời gian bắt đầu tổ chức lựa chọn nhà thầu: Quí I</w:t>
      </w:r>
      <w:r>
        <w:rPr>
          <w:sz w:val="26"/>
          <w:szCs w:val="26"/>
          <w:lang w:val="nl-NL"/>
        </w:rPr>
        <w:t>I</w:t>
      </w:r>
      <w:r w:rsidRPr="004D1049">
        <w:rPr>
          <w:sz w:val="26"/>
          <w:szCs w:val="26"/>
          <w:lang w:val="nl-NL"/>
        </w:rPr>
        <w:t>/202</w:t>
      </w:r>
      <w:r>
        <w:rPr>
          <w:sz w:val="26"/>
          <w:szCs w:val="26"/>
          <w:lang w:val="nl-NL"/>
        </w:rPr>
        <w:t>6</w:t>
      </w:r>
    </w:p>
    <w:p w14:paraId="77C7BD79"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7. Loại hợp đồng: Hợp đồng trọn gói</w:t>
      </w:r>
    </w:p>
    <w:p w14:paraId="44BCCADC"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8. Nguồn vốn: Nguồn thu dịch vụ khám chữa bệnh của đơn vị.</w:t>
      </w:r>
    </w:p>
    <w:p w14:paraId="19BF3629" w14:textId="77777777" w:rsidR="005F2545" w:rsidRPr="004D1049" w:rsidRDefault="005F2545" w:rsidP="005F2545">
      <w:pPr>
        <w:spacing w:before="120" w:line="264" w:lineRule="auto"/>
        <w:ind w:firstLine="454"/>
        <w:rPr>
          <w:sz w:val="26"/>
          <w:szCs w:val="26"/>
          <w:lang w:val="nl-NL"/>
        </w:rPr>
      </w:pPr>
      <w:r w:rsidRPr="004D1049">
        <w:rPr>
          <w:sz w:val="26"/>
          <w:szCs w:val="26"/>
          <w:lang w:val="nl-NL"/>
        </w:rPr>
        <w:t xml:space="preserve">9. Thời gian thực hiện hợp đồng: </w:t>
      </w:r>
      <w:r>
        <w:rPr>
          <w:sz w:val="26"/>
          <w:szCs w:val="26"/>
          <w:lang w:val="nl-NL"/>
        </w:rPr>
        <w:t>60 ngày</w:t>
      </w:r>
      <w:r w:rsidRPr="004D1049">
        <w:rPr>
          <w:sz w:val="26"/>
          <w:szCs w:val="26"/>
          <w:lang w:val="nl-NL"/>
        </w:rPr>
        <w:t xml:space="preserve"> từ ngày hợp đồng được ký kết</w:t>
      </w:r>
    </w:p>
    <w:p w14:paraId="578D8D5F" w14:textId="77777777" w:rsidR="005F2545" w:rsidRPr="004D1049" w:rsidRDefault="005F2545" w:rsidP="005F2545">
      <w:pPr>
        <w:widowControl w:val="0"/>
        <w:spacing w:before="120" w:after="120" w:line="264" w:lineRule="auto"/>
        <w:ind w:firstLine="709"/>
        <w:rPr>
          <w:b/>
          <w:i/>
          <w:sz w:val="28"/>
          <w:szCs w:val="28"/>
          <w:lang w:val="nl-NL"/>
        </w:rPr>
      </w:pPr>
      <w:r w:rsidRPr="004D1049">
        <w:rPr>
          <w:b/>
          <w:i/>
          <w:sz w:val="28"/>
          <w:szCs w:val="28"/>
          <w:lang w:val="nl-NL"/>
        </w:rPr>
        <w:t>1.2. Yêu cầu về kỹ thuật</w:t>
      </w:r>
    </w:p>
    <w:p w14:paraId="6C75647A" w14:textId="77777777" w:rsidR="005F2545" w:rsidRDefault="005F2545" w:rsidP="005F2545">
      <w:pPr>
        <w:spacing w:before="120" w:line="360" w:lineRule="auto"/>
        <w:ind w:firstLine="454"/>
        <w:rPr>
          <w:i/>
          <w:iCs/>
          <w:sz w:val="26"/>
          <w:szCs w:val="26"/>
          <w:lang w:val="nl-NL"/>
        </w:rPr>
      </w:pPr>
      <w:r w:rsidRPr="004D1049">
        <w:rPr>
          <w:iCs/>
          <w:sz w:val="26"/>
          <w:szCs w:val="26"/>
          <w:lang w:val="nl-NL"/>
        </w:rPr>
        <w:t xml:space="preserve">Tóm tắt thông số kỹ thuật của hàng hóa và các dịch vụ liên quan phải tuân thủ các yêu cầu sau đây: </w:t>
      </w:r>
      <w:r w:rsidRPr="004D1049">
        <w:rPr>
          <w:i/>
          <w:iCs/>
          <w:sz w:val="26"/>
          <w:szCs w:val="26"/>
          <w:lang w:val="nl-NL"/>
        </w:rPr>
        <w:t xml:space="preserve"> </w:t>
      </w:r>
    </w:p>
    <w:p w14:paraId="6E9C9CE5" w14:textId="77777777" w:rsidR="005F2545" w:rsidRDefault="005F2545" w:rsidP="005F2545">
      <w:pPr>
        <w:spacing w:before="120" w:line="360" w:lineRule="auto"/>
        <w:ind w:firstLine="454"/>
        <w:rPr>
          <w:i/>
          <w:iCs/>
          <w:sz w:val="26"/>
          <w:szCs w:val="26"/>
          <w:lang w:val="nl-NL"/>
        </w:rPr>
      </w:pPr>
    </w:p>
    <w:p w14:paraId="093BF1B5" w14:textId="77777777" w:rsidR="005F2545" w:rsidRDefault="005F2545" w:rsidP="005F2545">
      <w:pPr>
        <w:spacing w:before="120" w:line="360" w:lineRule="auto"/>
        <w:ind w:firstLine="454"/>
        <w:rPr>
          <w:i/>
          <w:iCs/>
          <w:sz w:val="26"/>
          <w:szCs w:val="26"/>
          <w:lang w:val="nl-NL"/>
        </w:rPr>
      </w:pPr>
    </w:p>
    <w:p w14:paraId="5BB4719D" w14:textId="77777777" w:rsidR="005F2545" w:rsidRDefault="005F2545" w:rsidP="005F2545">
      <w:pPr>
        <w:spacing w:before="120" w:line="360" w:lineRule="auto"/>
        <w:ind w:firstLine="454"/>
        <w:rPr>
          <w:i/>
          <w:iCs/>
          <w:sz w:val="26"/>
          <w:szCs w:val="26"/>
          <w:lang w:val="nl-NL"/>
        </w:rPr>
      </w:pPr>
    </w:p>
    <w:p w14:paraId="34776B1A" w14:textId="77777777" w:rsidR="005F2545" w:rsidRDefault="005F2545" w:rsidP="005F2545">
      <w:pPr>
        <w:spacing w:before="120" w:line="360" w:lineRule="auto"/>
        <w:ind w:firstLine="454"/>
        <w:rPr>
          <w:i/>
          <w:iCs/>
          <w:sz w:val="26"/>
          <w:szCs w:val="26"/>
          <w:lang w:val="nl-NL"/>
        </w:rPr>
      </w:pPr>
    </w:p>
    <w:p w14:paraId="6454A0D4" w14:textId="77777777" w:rsidR="005F2545" w:rsidRDefault="005F2545" w:rsidP="005F2545">
      <w:pPr>
        <w:spacing w:before="120" w:line="360" w:lineRule="auto"/>
        <w:ind w:firstLine="454"/>
        <w:rPr>
          <w:i/>
          <w:iCs/>
          <w:sz w:val="26"/>
          <w:szCs w:val="26"/>
          <w:lang w:val="nl-NL"/>
        </w:rPr>
      </w:pPr>
    </w:p>
    <w:p w14:paraId="1DAAE3CC" w14:textId="77777777" w:rsidR="005F2545" w:rsidRDefault="005F2545" w:rsidP="005F2545">
      <w:pPr>
        <w:spacing w:before="120" w:line="360" w:lineRule="auto"/>
        <w:ind w:firstLine="454"/>
        <w:rPr>
          <w:i/>
          <w:iCs/>
          <w:sz w:val="26"/>
          <w:szCs w:val="26"/>
          <w:lang w:val="nl-NL"/>
        </w:rPr>
      </w:pPr>
    </w:p>
    <w:p w14:paraId="3FF1C979" w14:textId="77777777" w:rsidR="005F2545" w:rsidRDefault="005F2545" w:rsidP="005F2545">
      <w:pPr>
        <w:spacing w:before="120" w:line="360" w:lineRule="auto"/>
        <w:ind w:firstLine="454"/>
        <w:rPr>
          <w:i/>
          <w:iCs/>
          <w:sz w:val="26"/>
          <w:szCs w:val="26"/>
          <w:lang w:val="nl-NL"/>
        </w:rPr>
      </w:pPr>
    </w:p>
    <w:p w14:paraId="39CB01EC" w14:textId="77777777" w:rsidR="005F2545" w:rsidRDefault="005F2545" w:rsidP="005F2545">
      <w:pPr>
        <w:spacing w:before="120" w:line="360" w:lineRule="auto"/>
        <w:ind w:firstLine="454"/>
        <w:rPr>
          <w:i/>
          <w:iCs/>
          <w:sz w:val="26"/>
          <w:szCs w:val="26"/>
          <w:lang w:val="nl-NL"/>
        </w:rPr>
      </w:pPr>
    </w:p>
    <w:p w14:paraId="3C1581D8" w14:textId="77777777" w:rsidR="005F2545" w:rsidRDefault="005F2545" w:rsidP="005F2545">
      <w:pPr>
        <w:spacing w:before="120" w:line="360" w:lineRule="auto"/>
        <w:ind w:firstLine="454"/>
        <w:rPr>
          <w:i/>
          <w:iCs/>
          <w:sz w:val="26"/>
          <w:szCs w:val="26"/>
          <w:lang w:val="nl-NL"/>
        </w:rPr>
      </w:pPr>
    </w:p>
    <w:p w14:paraId="2022FD68" w14:textId="77777777" w:rsidR="005F2545" w:rsidRDefault="005F2545" w:rsidP="005F2545">
      <w:pPr>
        <w:spacing w:before="120" w:line="360" w:lineRule="auto"/>
        <w:ind w:firstLine="454"/>
        <w:rPr>
          <w:i/>
          <w:iCs/>
          <w:sz w:val="26"/>
          <w:szCs w:val="26"/>
          <w:lang w:val="nl-NL"/>
        </w:rPr>
        <w:sectPr w:rsidR="005F2545" w:rsidSect="005F2545">
          <w:footnotePr>
            <w:numRestart w:val="eachPage"/>
          </w:footnotePr>
          <w:endnotePr>
            <w:numFmt w:val="decimal"/>
          </w:endnotePr>
          <w:pgSz w:w="11906" w:h="16838" w:code="9"/>
          <w:pgMar w:top="1134" w:right="991" w:bottom="1134" w:left="1701" w:header="720" w:footer="255" w:gutter="0"/>
          <w:cols w:space="720"/>
          <w:noEndnote/>
          <w:docGrid w:linePitch="381"/>
        </w:sect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127"/>
        <w:gridCol w:w="7229"/>
        <w:gridCol w:w="850"/>
        <w:gridCol w:w="993"/>
        <w:gridCol w:w="1559"/>
        <w:gridCol w:w="1559"/>
      </w:tblGrid>
      <w:tr w:rsidR="005F2545" w:rsidRPr="00012EFF" w14:paraId="4FC4AAB7" w14:textId="77777777" w:rsidTr="00E7240C">
        <w:trPr>
          <w:trHeight w:val="461"/>
        </w:trPr>
        <w:tc>
          <w:tcPr>
            <w:tcW w:w="709" w:type="dxa"/>
            <w:vAlign w:val="center"/>
          </w:tcPr>
          <w:p w14:paraId="7960529F" w14:textId="77777777" w:rsidR="005F2545" w:rsidRPr="00012EFF" w:rsidRDefault="005F2545" w:rsidP="00E7240C">
            <w:pPr>
              <w:spacing w:before="52" w:after="52"/>
              <w:jc w:val="center"/>
              <w:rPr>
                <w:b/>
                <w:bCs/>
                <w:color w:val="000000"/>
              </w:rPr>
            </w:pPr>
            <w:r w:rsidRPr="00012EFF">
              <w:rPr>
                <w:b/>
                <w:bCs/>
                <w:color w:val="000000"/>
              </w:rPr>
              <w:lastRenderedPageBreak/>
              <w:t>STT</w:t>
            </w:r>
          </w:p>
        </w:tc>
        <w:tc>
          <w:tcPr>
            <w:tcW w:w="2127" w:type="dxa"/>
            <w:vAlign w:val="center"/>
          </w:tcPr>
          <w:p w14:paraId="7F4EA7C7" w14:textId="77777777" w:rsidR="005F2545" w:rsidRPr="00012EFF" w:rsidRDefault="005F2545" w:rsidP="00E7240C">
            <w:pPr>
              <w:spacing w:before="52" w:after="52"/>
              <w:ind w:left="142" w:right="142"/>
              <w:jc w:val="center"/>
              <w:rPr>
                <w:b/>
                <w:bCs/>
                <w:color w:val="000000"/>
              </w:rPr>
            </w:pPr>
            <w:r w:rsidRPr="00012EFF">
              <w:rPr>
                <w:b/>
                <w:bCs/>
                <w:color w:val="000000"/>
              </w:rPr>
              <w:t>Danh mục</w:t>
            </w:r>
          </w:p>
        </w:tc>
        <w:tc>
          <w:tcPr>
            <w:tcW w:w="7229" w:type="dxa"/>
            <w:vAlign w:val="center"/>
          </w:tcPr>
          <w:p w14:paraId="07876D9D" w14:textId="77777777" w:rsidR="005F2545" w:rsidRPr="00012EFF" w:rsidRDefault="005F2545" w:rsidP="00E7240C">
            <w:pPr>
              <w:spacing w:before="52" w:after="52"/>
              <w:jc w:val="center"/>
              <w:rPr>
                <w:b/>
                <w:bCs/>
                <w:color w:val="000000"/>
              </w:rPr>
            </w:pPr>
            <w:r w:rsidRPr="00012EFF">
              <w:rPr>
                <w:b/>
                <w:bCs/>
                <w:color w:val="000000"/>
              </w:rPr>
              <w:t>Thông số kỹ thuật cơ bản</w:t>
            </w:r>
          </w:p>
        </w:tc>
        <w:tc>
          <w:tcPr>
            <w:tcW w:w="850" w:type="dxa"/>
            <w:vAlign w:val="center"/>
          </w:tcPr>
          <w:p w14:paraId="7184DE4C" w14:textId="77777777" w:rsidR="005F2545" w:rsidRPr="00012EFF" w:rsidRDefault="005F2545" w:rsidP="00E7240C">
            <w:pPr>
              <w:spacing w:before="52" w:after="52"/>
              <w:jc w:val="center"/>
              <w:rPr>
                <w:b/>
                <w:bCs/>
                <w:color w:val="000000"/>
              </w:rPr>
            </w:pPr>
            <w:r w:rsidRPr="00012EFF">
              <w:rPr>
                <w:b/>
                <w:bCs/>
                <w:color w:val="000000"/>
              </w:rPr>
              <w:t>ĐVT</w:t>
            </w:r>
          </w:p>
        </w:tc>
        <w:tc>
          <w:tcPr>
            <w:tcW w:w="993" w:type="dxa"/>
            <w:vAlign w:val="center"/>
          </w:tcPr>
          <w:p w14:paraId="115107A4" w14:textId="77777777" w:rsidR="005F2545" w:rsidRPr="00012EFF" w:rsidRDefault="005F2545" w:rsidP="00E7240C">
            <w:pPr>
              <w:spacing w:before="52" w:after="52"/>
              <w:jc w:val="center"/>
              <w:rPr>
                <w:b/>
                <w:bCs/>
                <w:color w:val="000000"/>
              </w:rPr>
            </w:pPr>
            <w:r w:rsidRPr="00012EFF">
              <w:rPr>
                <w:b/>
                <w:bCs/>
                <w:color w:val="000000"/>
              </w:rPr>
              <w:t>Số lượng</w:t>
            </w:r>
          </w:p>
        </w:tc>
        <w:tc>
          <w:tcPr>
            <w:tcW w:w="1559" w:type="dxa"/>
            <w:vAlign w:val="center"/>
          </w:tcPr>
          <w:p w14:paraId="6C9EE622" w14:textId="77777777" w:rsidR="005F2545" w:rsidRPr="00012EFF" w:rsidRDefault="005F2545" w:rsidP="00E7240C">
            <w:pPr>
              <w:spacing w:before="52" w:after="52"/>
              <w:jc w:val="center"/>
              <w:rPr>
                <w:b/>
                <w:bCs/>
                <w:color w:val="000000"/>
              </w:rPr>
            </w:pPr>
            <w:r>
              <w:rPr>
                <w:b/>
                <w:bCs/>
                <w:color w:val="000000"/>
              </w:rPr>
              <w:t>Đạt</w:t>
            </w:r>
          </w:p>
        </w:tc>
        <w:tc>
          <w:tcPr>
            <w:tcW w:w="1559" w:type="dxa"/>
            <w:vAlign w:val="center"/>
          </w:tcPr>
          <w:p w14:paraId="26EF921A" w14:textId="77777777" w:rsidR="005F2545" w:rsidRPr="00012EFF" w:rsidRDefault="005F2545" w:rsidP="00E7240C">
            <w:pPr>
              <w:spacing w:before="52" w:after="52"/>
              <w:jc w:val="center"/>
              <w:rPr>
                <w:b/>
                <w:bCs/>
                <w:color w:val="000000"/>
              </w:rPr>
            </w:pPr>
            <w:r>
              <w:rPr>
                <w:b/>
                <w:bCs/>
                <w:color w:val="000000"/>
              </w:rPr>
              <w:t>Không Đạt</w:t>
            </w:r>
          </w:p>
        </w:tc>
      </w:tr>
      <w:tr w:rsidR="005F2545" w:rsidRPr="00012EFF" w14:paraId="245AF4A7" w14:textId="77777777" w:rsidTr="00E7240C">
        <w:trPr>
          <w:trHeight w:val="60"/>
        </w:trPr>
        <w:tc>
          <w:tcPr>
            <w:tcW w:w="709" w:type="dxa"/>
            <w:vAlign w:val="center"/>
          </w:tcPr>
          <w:p w14:paraId="46D5FBF5" w14:textId="77777777" w:rsidR="005F2545" w:rsidRPr="00012EFF" w:rsidRDefault="005F2545" w:rsidP="00E7240C">
            <w:pPr>
              <w:spacing w:before="52" w:after="52"/>
              <w:jc w:val="center"/>
              <w:rPr>
                <w:b/>
                <w:bCs/>
                <w:color w:val="000000"/>
              </w:rPr>
            </w:pPr>
            <w:r w:rsidRPr="00012EFF">
              <w:rPr>
                <w:b/>
                <w:bCs/>
                <w:color w:val="000000"/>
              </w:rPr>
              <w:t>1</w:t>
            </w:r>
          </w:p>
        </w:tc>
        <w:tc>
          <w:tcPr>
            <w:tcW w:w="2127" w:type="dxa"/>
            <w:vAlign w:val="center"/>
          </w:tcPr>
          <w:p w14:paraId="1A2FB8CD" w14:textId="77777777" w:rsidR="005F2545" w:rsidRPr="00012EFF" w:rsidRDefault="005F2545" w:rsidP="00E7240C">
            <w:pPr>
              <w:spacing w:before="52" w:after="52"/>
              <w:ind w:left="142" w:right="142"/>
              <w:rPr>
                <w:b/>
                <w:bCs/>
                <w:color w:val="000000"/>
              </w:rPr>
            </w:pPr>
            <w:r w:rsidRPr="00012EFF">
              <w:rPr>
                <w:b/>
                <w:bCs/>
                <w:color w:val="000000"/>
              </w:rPr>
              <w:t>Máy chủ</w:t>
            </w:r>
          </w:p>
        </w:tc>
        <w:tc>
          <w:tcPr>
            <w:tcW w:w="7229" w:type="dxa"/>
          </w:tcPr>
          <w:p w14:paraId="33D15F4C" w14:textId="77777777" w:rsidR="005F2545" w:rsidRPr="00012EFF" w:rsidRDefault="005F2545" w:rsidP="00E7240C">
            <w:pPr>
              <w:spacing w:before="52" w:after="52"/>
              <w:ind w:left="142" w:right="142"/>
              <w:rPr>
                <w:b/>
                <w:bCs/>
                <w:color w:val="000000"/>
              </w:rPr>
            </w:pPr>
            <w:r w:rsidRPr="00012EFF">
              <w:rPr>
                <w:b/>
                <w:bCs/>
                <w:color w:val="000000"/>
              </w:rPr>
              <w:t>1. Kiểu dáng</w:t>
            </w:r>
          </w:p>
          <w:p w14:paraId="0241C3C0" w14:textId="77777777" w:rsidR="005F2545" w:rsidRPr="00012EFF" w:rsidRDefault="005F2545" w:rsidP="005F2545">
            <w:pPr>
              <w:numPr>
                <w:ilvl w:val="0"/>
                <w:numId w:val="1"/>
              </w:numPr>
              <w:spacing w:before="52" w:after="52"/>
              <w:ind w:right="142"/>
              <w:rPr>
                <w:color w:val="000000"/>
              </w:rPr>
            </w:pPr>
            <w:r w:rsidRPr="00012EFF">
              <w:rPr>
                <w:color w:val="000000"/>
              </w:rPr>
              <w:t>Dạng Rackmount 19 inch, chiều cao ≤ 2U</w:t>
            </w:r>
          </w:p>
          <w:p w14:paraId="2FFF47C3" w14:textId="77777777" w:rsidR="005F2545" w:rsidRPr="00012EFF" w:rsidRDefault="005F2545" w:rsidP="005F2545">
            <w:pPr>
              <w:numPr>
                <w:ilvl w:val="0"/>
                <w:numId w:val="1"/>
              </w:numPr>
              <w:spacing w:before="52" w:after="52"/>
              <w:ind w:right="142"/>
              <w:rPr>
                <w:color w:val="000000"/>
              </w:rPr>
            </w:pPr>
            <w:r w:rsidRPr="00012EFF">
              <w:rPr>
                <w:color w:val="000000"/>
              </w:rPr>
              <w:t>Lắp đặt tủ rack tiêu chuẩn</w:t>
            </w:r>
          </w:p>
          <w:p w14:paraId="6F70C15B" w14:textId="77777777" w:rsidR="005F2545" w:rsidRPr="00012EFF" w:rsidRDefault="005F2545" w:rsidP="00E7240C">
            <w:pPr>
              <w:spacing w:before="52" w:after="52"/>
              <w:ind w:left="142" w:right="142"/>
              <w:rPr>
                <w:b/>
                <w:bCs/>
                <w:color w:val="000000"/>
              </w:rPr>
            </w:pPr>
            <w:r w:rsidRPr="00012EFF">
              <w:rPr>
                <w:b/>
                <w:bCs/>
                <w:color w:val="000000"/>
              </w:rPr>
              <w:t>2. Bộ xử lý (CPU)</w:t>
            </w:r>
          </w:p>
          <w:p w14:paraId="53B6B5C5" w14:textId="77777777" w:rsidR="005F2545" w:rsidRPr="00012EFF" w:rsidRDefault="005F2545" w:rsidP="005F2545">
            <w:pPr>
              <w:numPr>
                <w:ilvl w:val="0"/>
                <w:numId w:val="2"/>
              </w:numPr>
              <w:spacing w:before="52" w:after="52"/>
              <w:ind w:right="142"/>
              <w:rPr>
                <w:color w:val="000000"/>
              </w:rPr>
            </w:pPr>
            <w:r w:rsidRPr="00012EFF">
              <w:rPr>
                <w:color w:val="000000"/>
              </w:rPr>
              <w:t>Số lượng: ≥ 02 CPU</w:t>
            </w:r>
          </w:p>
          <w:p w14:paraId="23682E32" w14:textId="77777777" w:rsidR="005F2545" w:rsidRPr="00012EFF" w:rsidRDefault="005F2545" w:rsidP="005F2545">
            <w:pPr>
              <w:numPr>
                <w:ilvl w:val="0"/>
                <w:numId w:val="2"/>
              </w:numPr>
              <w:spacing w:before="52" w:after="52"/>
              <w:ind w:right="142"/>
              <w:rPr>
                <w:color w:val="000000"/>
              </w:rPr>
            </w:pPr>
            <w:r w:rsidRPr="00012EFF">
              <w:rPr>
                <w:color w:val="000000"/>
              </w:rPr>
              <w:t>Tổng số nhân: ≥ 48 cores</w:t>
            </w:r>
          </w:p>
          <w:p w14:paraId="6EC0EFA8" w14:textId="77777777" w:rsidR="005F2545" w:rsidRPr="00012EFF" w:rsidRDefault="005F2545" w:rsidP="005F2545">
            <w:pPr>
              <w:numPr>
                <w:ilvl w:val="0"/>
                <w:numId w:val="2"/>
              </w:numPr>
              <w:spacing w:before="52" w:after="52"/>
              <w:ind w:right="142"/>
            </w:pPr>
            <w:r w:rsidRPr="00012EFF">
              <w:t>Tổng số luồng: ≥ 96 threads</w:t>
            </w:r>
          </w:p>
          <w:p w14:paraId="7AB6E269" w14:textId="77777777" w:rsidR="005F2545" w:rsidRPr="00012EFF" w:rsidRDefault="005F2545" w:rsidP="005F2545">
            <w:pPr>
              <w:numPr>
                <w:ilvl w:val="0"/>
                <w:numId w:val="2"/>
              </w:numPr>
              <w:spacing w:before="52" w:after="52"/>
              <w:ind w:right="142"/>
            </w:pPr>
            <w:r w:rsidRPr="00012EFF">
              <w:t>Xung nhịp cơ bản: ≥ 2.0 GHz</w:t>
            </w:r>
          </w:p>
          <w:p w14:paraId="5518C304" w14:textId="77777777" w:rsidR="005F2545" w:rsidRPr="00012EFF" w:rsidRDefault="005F2545" w:rsidP="005F2545">
            <w:pPr>
              <w:numPr>
                <w:ilvl w:val="0"/>
                <w:numId w:val="2"/>
              </w:numPr>
              <w:spacing w:before="52" w:after="52"/>
              <w:ind w:right="142"/>
            </w:pPr>
            <w:r w:rsidRPr="00012EFF">
              <w:t>Bộ nhớ đệm ≥ 45 MB</w:t>
            </w:r>
          </w:p>
          <w:p w14:paraId="31FE4772" w14:textId="77777777" w:rsidR="005F2545" w:rsidRPr="00012EFF" w:rsidRDefault="005F2545" w:rsidP="005F2545">
            <w:pPr>
              <w:numPr>
                <w:ilvl w:val="0"/>
                <w:numId w:val="2"/>
              </w:numPr>
              <w:spacing w:before="52" w:after="52"/>
              <w:ind w:right="142"/>
            </w:pPr>
            <w:r w:rsidRPr="00012EFF">
              <w:t>Hỗ trợ kiến trúc x86_64</w:t>
            </w:r>
          </w:p>
          <w:p w14:paraId="0307B5D6" w14:textId="77777777" w:rsidR="005F2545" w:rsidRPr="00012EFF" w:rsidRDefault="005F2545" w:rsidP="00E7240C">
            <w:pPr>
              <w:spacing w:before="52" w:after="52"/>
              <w:ind w:right="142"/>
              <w:rPr>
                <w:b/>
                <w:bCs/>
              </w:rPr>
            </w:pPr>
            <w:r w:rsidRPr="00012EFF">
              <w:rPr>
                <w:b/>
                <w:bCs/>
              </w:rPr>
              <w:t xml:space="preserve"> 3. Bộ nhớ RAM</w:t>
            </w:r>
          </w:p>
          <w:p w14:paraId="59D788EA" w14:textId="77777777" w:rsidR="005F2545" w:rsidRPr="00012EFF" w:rsidRDefault="005F2545" w:rsidP="005F2545">
            <w:pPr>
              <w:numPr>
                <w:ilvl w:val="0"/>
                <w:numId w:val="3"/>
              </w:numPr>
              <w:spacing w:before="52" w:after="52"/>
              <w:ind w:right="142"/>
            </w:pPr>
            <w:r w:rsidRPr="00012EFF">
              <w:t>Dung lượng: ≥ 128 GB</w:t>
            </w:r>
          </w:p>
          <w:p w14:paraId="3CAC5F5D" w14:textId="77777777" w:rsidR="005F2545" w:rsidRPr="00012EFF" w:rsidRDefault="005F2545" w:rsidP="005F2545">
            <w:pPr>
              <w:numPr>
                <w:ilvl w:val="0"/>
                <w:numId w:val="3"/>
              </w:numPr>
              <w:spacing w:before="52" w:after="52"/>
              <w:ind w:right="142"/>
            </w:pPr>
            <w:r w:rsidRPr="00012EFF">
              <w:t>Chuẩn: DDR5 ECC Registered, 5600MT/s, Dual Rank</w:t>
            </w:r>
          </w:p>
          <w:p w14:paraId="3BD341E9" w14:textId="77777777" w:rsidR="005F2545" w:rsidRPr="00012EFF" w:rsidRDefault="005F2545" w:rsidP="005F2545">
            <w:pPr>
              <w:numPr>
                <w:ilvl w:val="0"/>
                <w:numId w:val="3"/>
              </w:numPr>
              <w:spacing w:before="52" w:after="52"/>
              <w:ind w:right="142"/>
            </w:pPr>
            <w:r w:rsidRPr="00012EFF">
              <w:t>Hỗ trợ mở rộng ≥ 32 khe cắm DDR5 DIMM, lên đến RDIMM 8 TB max</w:t>
            </w:r>
          </w:p>
          <w:p w14:paraId="32945A4B" w14:textId="77777777" w:rsidR="005F2545" w:rsidRPr="00012EFF" w:rsidRDefault="005F2545" w:rsidP="00E7240C">
            <w:pPr>
              <w:spacing w:before="52" w:after="52"/>
              <w:ind w:right="142"/>
              <w:rPr>
                <w:b/>
                <w:bCs/>
                <w:color w:val="000000"/>
              </w:rPr>
            </w:pPr>
            <w:r w:rsidRPr="00012EFF">
              <w:rPr>
                <w:b/>
                <w:bCs/>
                <w:color w:val="000000"/>
              </w:rPr>
              <w:t xml:space="preserve"> 4. Lưu trữ nội bộ</w:t>
            </w:r>
          </w:p>
          <w:p w14:paraId="0058B023" w14:textId="77777777" w:rsidR="005F2545" w:rsidRPr="00012EFF" w:rsidRDefault="005F2545" w:rsidP="005F2545">
            <w:pPr>
              <w:numPr>
                <w:ilvl w:val="0"/>
                <w:numId w:val="4"/>
              </w:numPr>
              <w:spacing w:before="52" w:after="52"/>
              <w:ind w:right="142"/>
              <w:rPr>
                <w:color w:val="000000"/>
              </w:rPr>
            </w:pPr>
            <w:r w:rsidRPr="00012EFF">
              <w:rPr>
                <w:color w:val="000000"/>
              </w:rPr>
              <w:t>Ổ SSD hệ điều hành:</w:t>
            </w:r>
          </w:p>
          <w:p w14:paraId="6569EDBA" w14:textId="77777777" w:rsidR="005F2545" w:rsidRPr="00012EFF" w:rsidRDefault="005F2545" w:rsidP="005F2545">
            <w:pPr>
              <w:numPr>
                <w:ilvl w:val="1"/>
                <w:numId w:val="4"/>
              </w:numPr>
              <w:spacing w:before="52" w:after="52"/>
              <w:ind w:right="142"/>
              <w:rPr>
                <w:color w:val="000000"/>
              </w:rPr>
            </w:pPr>
            <w:r w:rsidRPr="00012EFF">
              <w:rPr>
                <w:color w:val="000000"/>
              </w:rPr>
              <w:t>≥ 2 × 960 GB</w:t>
            </w:r>
          </w:p>
          <w:p w14:paraId="2BD1EF8F" w14:textId="77777777" w:rsidR="005F2545" w:rsidRPr="00012EFF" w:rsidRDefault="005F2545" w:rsidP="005F2545">
            <w:pPr>
              <w:numPr>
                <w:ilvl w:val="1"/>
                <w:numId w:val="4"/>
              </w:numPr>
              <w:spacing w:before="52" w:after="52"/>
              <w:ind w:right="142"/>
              <w:rPr>
                <w:color w:val="000000"/>
              </w:rPr>
            </w:pPr>
            <w:r w:rsidRPr="00012EFF">
              <w:rPr>
                <w:color w:val="000000"/>
              </w:rPr>
              <w:t>RAID 1</w:t>
            </w:r>
          </w:p>
          <w:p w14:paraId="2FE013E5" w14:textId="77777777" w:rsidR="005F2545" w:rsidRPr="00012EFF" w:rsidRDefault="005F2545" w:rsidP="005F2545">
            <w:pPr>
              <w:numPr>
                <w:ilvl w:val="1"/>
                <w:numId w:val="4"/>
              </w:numPr>
              <w:spacing w:before="52" w:after="52"/>
              <w:ind w:right="142"/>
            </w:pPr>
            <w:r w:rsidRPr="00012EFF">
              <w:t>Hot-plug</w:t>
            </w:r>
          </w:p>
          <w:p w14:paraId="426814F4" w14:textId="77777777" w:rsidR="005F2545" w:rsidRPr="00012EFF" w:rsidRDefault="005F2545" w:rsidP="005F2545">
            <w:pPr>
              <w:numPr>
                <w:ilvl w:val="0"/>
                <w:numId w:val="4"/>
              </w:numPr>
              <w:spacing w:before="52" w:after="52"/>
              <w:ind w:right="142"/>
            </w:pPr>
            <w:r w:rsidRPr="00012EFF">
              <w:t>Ổ HDD dữ liệu:</w:t>
            </w:r>
          </w:p>
          <w:p w14:paraId="2DF8A989" w14:textId="77777777" w:rsidR="005F2545" w:rsidRPr="00012EFF" w:rsidRDefault="005F2545" w:rsidP="005F2545">
            <w:pPr>
              <w:numPr>
                <w:ilvl w:val="1"/>
                <w:numId w:val="4"/>
              </w:numPr>
              <w:spacing w:before="52" w:after="52"/>
              <w:ind w:right="142"/>
            </w:pPr>
            <w:r w:rsidRPr="00012EFF">
              <w:t>≥ 6 × 2.4 TB SAS 10K/12G</w:t>
            </w:r>
          </w:p>
          <w:p w14:paraId="378CBEE4" w14:textId="77777777" w:rsidR="005F2545" w:rsidRPr="00012EFF" w:rsidRDefault="005F2545" w:rsidP="005F2545">
            <w:pPr>
              <w:numPr>
                <w:ilvl w:val="1"/>
                <w:numId w:val="4"/>
              </w:numPr>
              <w:spacing w:before="52" w:after="52"/>
              <w:ind w:right="142"/>
            </w:pPr>
            <w:r w:rsidRPr="00012EFF">
              <w:t>RAID 5/10</w:t>
            </w:r>
          </w:p>
          <w:p w14:paraId="2D840DAA" w14:textId="77777777" w:rsidR="005F2545" w:rsidRPr="00012EFF" w:rsidRDefault="005F2545" w:rsidP="005F2545">
            <w:pPr>
              <w:numPr>
                <w:ilvl w:val="1"/>
                <w:numId w:val="4"/>
              </w:numPr>
              <w:spacing w:before="52" w:after="52"/>
              <w:ind w:right="142"/>
            </w:pPr>
            <w:r w:rsidRPr="00012EFF">
              <w:t>Hot-plug</w:t>
            </w:r>
          </w:p>
          <w:p w14:paraId="3E0D0E9F" w14:textId="77777777" w:rsidR="005F2545" w:rsidRPr="00012EFF" w:rsidRDefault="005F2545" w:rsidP="00E7240C">
            <w:pPr>
              <w:spacing w:before="52" w:after="52"/>
              <w:ind w:right="142"/>
              <w:rPr>
                <w:b/>
                <w:bCs/>
              </w:rPr>
            </w:pPr>
            <w:r w:rsidRPr="00012EFF">
              <w:rPr>
                <w:b/>
                <w:bCs/>
              </w:rPr>
              <w:t xml:space="preserve"> 5. Bộ điều khiển RAID</w:t>
            </w:r>
          </w:p>
          <w:p w14:paraId="15F6B7C4" w14:textId="77777777" w:rsidR="005F2545" w:rsidRPr="00012EFF" w:rsidRDefault="005F2545" w:rsidP="005F2545">
            <w:pPr>
              <w:numPr>
                <w:ilvl w:val="0"/>
                <w:numId w:val="5"/>
              </w:numPr>
              <w:spacing w:before="52" w:after="52"/>
              <w:ind w:right="142"/>
            </w:pPr>
            <w:r w:rsidRPr="00012EFF">
              <w:t>Cache ≥ 8 GB</w:t>
            </w:r>
          </w:p>
          <w:p w14:paraId="34F4910D" w14:textId="77777777" w:rsidR="005F2545" w:rsidRPr="00012EFF" w:rsidRDefault="005F2545" w:rsidP="005F2545">
            <w:pPr>
              <w:numPr>
                <w:ilvl w:val="0"/>
                <w:numId w:val="5"/>
              </w:numPr>
              <w:spacing w:before="52" w:after="52"/>
              <w:ind w:right="142"/>
            </w:pPr>
            <w:r w:rsidRPr="00012EFF">
              <w:lastRenderedPageBreak/>
              <w:t>Có pin/flash bảo vệ dữ liệu</w:t>
            </w:r>
          </w:p>
          <w:p w14:paraId="256D7811" w14:textId="77777777" w:rsidR="005F2545" w:rsidRPr="00012EFF" w:rsidRDefault="005F2545" w:rsidP="005F2545">
            <w:pPr>
              <w:numPr>
                <w:ilvl w:val="0"/>
                <w:numId w:val="5"/>
              </w:numPr>
              <w:spacing w:before="52" w:after="52"/>
              <w:ind w:right="142"/>
            </w:pPr>
            <w:r w:rsidRPr="00012EFF">
              <w:t>Hỗ trợ RAID 0,1,5,10,50,60</w:t>
            </w:r>
          </w:p>
          <w:p w14:paraId="73A3DD91" w14:textId="77777777" w:rsidR="005F2545" w:rsidRPr="00012EFF" w:rsidRDefault="005F2545" w:rsidP="00E7240C">
            <w:pPr>
              <w:spacing w:before="52" w:after="52"/>
              <w:ind w:right="142"/>
              <w:rPr>
                <w:b/>
                <w:bCs/>
              </w:rPr>
            </w:pPr>
            <w:r w:rsidRPr="00012EFF">
              <w:rPr>
                <w:b/>
                <w:bCs/>
              </w:rPr>
              <w:t xml:space="preserve"> 6. Mạng</w:t>
            </w:r>
          </w:p>
          <w:p w14:paraId="7078091F" w14:textId="77777777" w:rsidR="005F2545" w:rsidRPr="00012EFF" w:rsidRDefault="005F2545" w:rsidP="005F2545">
            <w:pPr>
              <w:numPr>
                <w:ilvl w:val="0"/>
                <w:numId w:val="6"/>
              </w:numPr>
              <w:spacing w:before="52" w:after="52"/>
              <w:ind w:right="142"/>
            </w:pPr>
            <w:r w:rsidRPr="00012EFF">
              <w:t>Tối thiểu:</w:t>
            </w:r>
          </w:p>
          <w:p w14:paraId="4802D76F" w14:textId="77777777" w:rsidR="005F2545" w:rsidRPr="00012EFF" w:rsidRDefault="005F2545" w:rsidP="005F2545">
            <w:pPr>
              <w:numPr>
                <w:ilvl w:val="1"/>
                <w:numId w:val="6"/>
              </w:numPr>
              <w:spacing w:before="52" w:after="52"/>
              <w:ind w:right="142"/>
            </w:pPr>
            <w:r w:rsidRPr="00012EFF">
              <w:t>≥ 2 × 1GbE</w:t>
            </w:r>
          </w:p>
          <w:p w14:paraId="300F89D4" w14:textId="77777777" w:rsidR="005F2545" w:rsidRPr="00012EFF" w:rsidRDefault="005F2545" w:rsidP="005F2545">
            <w:pPr>
              <w:numPr>
                <w:ilvl w:val="1"/>
                <w:numId w:val="6"/>
              </w:numPr>
              <w:spacing w:before="52" w:after="52"/>
              <w:ind w:right="142"/>
            </w:pPr>
            <w:r w:rsidRPr="00012EFF">
              <w:t>≥ 2 × 10/25GbE SFP+/SFP28</w:t>
            </w:r>
          </w:p>
          <w:p w14:paraId="5F274EF3" w14:textId="77777777" w:rsidR="005F2545" w:rsidRPr="00012EFF" w:rsidRDefault="005F2545" w:rsidP="005F2545">
            <w:pPr>
              <w:numPr>
                <w:ilvl w:val="0"/>
                <w:numId w:val="6"/>
              </w:numPr>
              <w:spacing w:before="52" w:after="52"/>
              <w:ind w:right="142"/>
              <w:rPr>
                <w:color w:val="000000"/>
              </w:rPr>
            </w:pPr>
            <w:r w:rsidRPr="00012EFF">
              <w:rPr>
                <w:color w:val="000000"/>
              </w:rPr>
              <w:t>Hỗ trợ Link Aggregation</w:t>
            </w:r>
          </w:p>
          <w:p w14:paraId="020C9E51" w14:textId="77777777" w:rsidR="005F2545" w:rsidRPr="00012EFF" w:rsidRDefault="005F2545" w:rsidP="00E7240C">
            <w:pPr>
              <w:spacing w:before="52" w:after="52"/>
              <w:ind w:right="142"/>
              <w:rPr>
                <w:b/>
                <w:bCs/>
                <w:color w:val="000000"/>
              </w:rPr>
            </w:pPr>
            <w:r w:rsidRPr="00012EFF">
              <w:rPr>
                <w:b/>
                <w:bCs/>
                <w:color w:val="000000"/>
              </w:rPr>
              <w:t xml:space="preserve"> 7. Nguồn &amp; Làm mát</w:t>
            </w:r>
          </w:p>
          <w:p w14:paraId="39223B54" w14:textId="77777777" w:rsidR="005F2545" w:rsidRPr="00012EFF" w:rsidRDefault="005F2545" w:rsidP="005F2545">
            <w:pPr>
              <w:numPr>
                <w:ilvl w:val="0"/>
                <w:numId w:val="7"/>
              </w:numPr>
              <w:spacing w:before="52" w:after="52"/>
              <w:ind w:right="142"/>
              <w:rPr>
                <w:color w:val="000000"/>
              </w:rPr>
            </w:pPr>
            <w:r w:rsidRPr="00012EFF">
              <w:rPr>
                <w:color w:val="000000"/>
              </w:rPr>
              <w:t>≥ 2 nguồn dự phòng (N+1)</w:t>
            </w:r>
          </w:p>
          <w:p w14:paraId="714ADE4E" w14:textId="77777777" w:rsidR="005F2545" w:rsidRPr="00012EFF" w:rsidRDefault="005F2545" w:rsidP="005F2545">
            <w:pPr>
              <w:numPr>
                <w:ilvl w:val="0"/>
                <w:numId w:val="7"/>
              </w:numPr>
              <w:spacing w:before="52" w:after="52"/>
              <w:ind w:right="142"/>
              <w:rPr>
                <w:color w:val="000000"/>
              </w:rPr>
            </w:pPr>
            <w:r w:rsidRPr="00012EFF">
              <w:rPr>
                <w:color w:val="000000"/>
              </w:rPr>
              <w:t>Hot-swap</w:t>
            </w:r>
          </w:p>
          <w:p w14:paraId="603F508B" w14:textId="77777777" w:rsidR="005F2545" w:rsidRPr="00012EFF" w:rsidRDefault="005F2545" w:rsidP="005F2545">
            <w:pPr>
              <w:numPr>
                <w:ilvl w:val="0"/>
                <w:numId w:val="7"/>
              </w:numPr>
              <w:spacing w:before="52" w:after="52"/>
              <w:ind w:right="142"/>
              <w:rPr>
                <w:color w:val="000000"/>
              </w:rPr>
            </w:pPr>
            <w:r w:rsidRPr="00012EFF">
              <w:rPr>
                <w:color w:val="000000"/>
              </w:rPr>
              <w:t>Công suất phù hợp cấu hình</w:t>
            </w:r>
          </w:p>
          <w:p w14:paraId="7801C839" w14:textId="77777777" w:rsidR="005F2545" w:rsidRPr="00012EFF" w:rsidRDefault="005F2545" w:rsidP="005F2545">
            <w:pPr>
              <w:numPr>
                <w:ilvl w:val="0"/>
                <w:numId w:val="7"/>
              </w:numPr>
              <w:spacing w:before="52" w:after="52"/>
              <w:ind w:right="142"/>
              <w:rPr>
                <w:color w:val="000000"/>
              </w:rPr>
            </w:pPr>
            <w:r w:rsidRPr="00012EFF">
              <w:rPr>
                <w:color w:val="000000"/>
              </w:rPr>
              <w:t>Quạt dự phòng</w:t>
            </w:r>
          </w:p>
          <w:p w14:paraId="776B29D7" w14:textId="77777777" w:rsidR="005F2545" w:rsidRPr="00012EFF" w:rsidRDefault="005F2545" w:rsidP="00E7240C">
            <w:pPr>
              <w:spacing w:before="52" w:after="52"/>
              <w:ind w:right="142"/>
              <w:rPr>
                <w:b/>
                <w:bCs/>
              </w:rPr>
            </w:pPr>
            <w:r w:rsidRPr="00012EFF">
              <w:rPr>
                <w:b/>
                <w:bCs/>
                <w:color w:val="000000"/>
              </w:rPr>
              <w:t xml:space="preserve"> 8. </w:t>
            </w:r>
            <w:r w:rsidRPr="00012EFF">
              <w:rPr>
                <w:b/>
                <w:bCs/>
              </w:rPr>
              <w:t>Bảo mật</w:t>
            </w:r>
          </w:p>
          <w:p w14:paraId="6531161D" w14:textId="77777777" w:rsidR="005F2545" w:rsidRPr="00012EFF" w:rsidRDefault="005F2545" w:rsidP="005F2545">
            <w:pPr>
              <w:numPr>
                <w:ilvl w:val="0"/>
                <w:numId w:val="7"/>
              </w:numPr>
              <w:spacing w:before="52" w:after="52"/>
              <w:ind w:right="142"/>
            </w:pPr>
            <w:r w:rsidRPr="00012EFF">
              <w:t>Phần mềm được mã hóa - Cryptographically signed firmware</w:t>
            </w:r>
          </w:p>
          <w:p w14:paraId="272A3DDD" w14:textId="77777777" w:rsidR="005F2545" w:rsidRPr="00012EFF" w:rsidRDefault="005F2545" w:rsidP="005F2545">
            <w:pPr>
              <w:numPr>
                <w:ilvl w:val="0"/>
                <w:numId w:val="7"/>
              </w:numPr>
              <w:spacing w:before="52" w:after="52"/>
              <w:ind w:right="142"/>
            </w:pPr>
            <w:r w:rsidRPr="00012EFF">
              <w:t>Chức năng khởi động an toàn - Secure Boot</w:t>
            </w:r>
          </w:p>
          <w:p w14:paraId="1A940D45" w14:textId="77777777" w:rsidR="005F2545" w:rsidRPr="00012EFF" w:rsidRDefault="005F2545" w:rsidP="005F2545">
            <w:pPr>
              <w:numPr>
                <w:ilvl w:val="0"/>
                <w:numId w:val="7"/>
              </w:numPr>
              <w:spacing w:before="52" w:after="52"/>
              <w:ind w:right="142"/>
            </w:pPr>
            <w:r w:rsidRPr="00012EFF">
              <w:t>Ngăn ngừa các thay đổi trái phép, độc hại với chức năng System Lockdown hoặc tương đương</w:t>
            </w:r>
          </w:p>
          <w:p w14:paraId="3CCDDC92" w14:textId="77777777" w:rsidR="005F2545" w:rsidRPr="00012EFF" w:rsidRDefault="005F2545" w:rsidP="005F2545">
            <w:pPr>
              <w:numPr>
                <w:ilvl w:val="0"/>
                <w:numId w:val="7"/>
              </w:numPr>
              <w:spacing w:before="52" w:after="52"/>
              <w:ind w:right="142"/>
            </w:pPr>
            <w:r w:rsidRPr="00012EFF">
              <w:t>Chức năng xoá bỏ tất cả các dữ liệu trong máy chủ nhanh chóng và an toàn để bảo mật dữ liệu với chức năng - Secure erase</w:t>
            </w:r>
          </w:p>
          <w:p w14:paraId="409391F9" w14:textId="77777777" w:rsidR="005F2545" w:rsidRPr="00012EFF" w:rsidRDefault="005F2545" w:rsidP="005F2545">
            <w:pPr>
              <w:numPr>
                <w:ilvl w:val="0"/>
                <w:numId w:val="7"/>
              </w:numPr>
              <w:spacing w:before="52" w:after="52"/>
              <w:ind w:right="142"/>
            </w:pPr>
            <w:r w:rsidRPr="00012EFF">
              <w:t>TPM 2.0 FIPS, CC-TCG certified</w:t>
            </w:r>
          </w:p>
          <w:p w14:paraId="7853DB7D" w14:textId="77777777" w:rsidR="005F2545" w:rsidRPr="00012EFF" w:rsidRDefault="005F2545" w:rsidP="00E7240C">
            <w:pPr>
              <w:spacing w:before="52" w:after="52"/>
              <w:ind w:right="142"/>
              <w:rPr>
                <w:b/>
                <w:bCs/>
                <w:color w:val="000000"/>
              </w:rPr>
            </w:pPr>
            <w:r w:rsidRPr="00012EFF">
              <w:rPr>
                <w:b/>
                <w:bCs/>
                <w:color w:val="000000"/>
              </w:rPr>
              <w:t xml:space="preserve"> 9. Quản trị từ xa</w:t>
            </w:r>
          </w:p>
          <w:p w14:paraId="4418490A" w14:textId="77777777" w:rsidR="005F2545" w:rsidRPr="00012EFF" w:rsidRDefault="005F2545" w:rsidP="005F2545">
            <w:pPr>
              <w:numPr>
                <w:ilvl w:val="0"/>
                <w:numId w:val="8"/>
              </w:numPr>
              <w:spacing w:before="52" w:after="52"/>
              <w:ind w:right="142"/>
              <w:rPr>
                <w:color w:val="000000"/>
              </w:rPr>
            </w:pPr>
            <w:r w:rsidRPr="00012EFF">
              <w:rPr>
                <w:color w:val="000000"/>
              </w:rPr>
              <w:t>Quản lý phần cứng độc lập (BMC)</w:t>
            </w:r>
          </w:p>
          <w:p w14:paraId="72B6DD92" w14:textId="77777777" w:rsidR="005F2545" w:rsidRPr="00012EFF" w:rsidRDefault="005F2545" w:rsidP="005F2545">
            <w:pPr>
              <w:numPr>
                <w:ilvl w:val="0"/>
                <w:numId w:val="8"/>
              </w:numPr>
              <w:spacing w:before="52" w:after="52"/>
              <w:ind w:right="142"/>
              <w:rPr>
                <w:color w:val="000000"/>
              </w:rPr>
            </w:pPr>
            <w:r w:rsidRPr="00012EFF">
              <w:rPr>
                <w:color w:val="000000"/>
              </w:rPr>
              <w:t>Hỗ trợ HTML5 Console</w:t>
            </w:r>
          </w:p>
          <w:p w14:paraId="6C5F1B2E" w14:textId="77777777" w:rsidR="005F2545" w:rsidRPr="00012EFF" w:rsidRDefault="005F2545" w:rsidP="005F2545">
            <w:pPr>
              <w:numPr>
                <w:ilvl w:val="0"/>
                <w:numId w:val="8"/>
              </w:numPr>
              <w:spacing w:before="52" w:after="52"/>
              <w:ind w:right="142"/>
              <w:rPr>
                <w:color w:val="000000"/>
              </w:rPr>
            </w:pPr>
            <w:r w:rsidRPr="00012EFF">
              <w:rPr>
                <w:color w:val="000000"/>
              </w:rPr>
              <w:t>Redfish API</w:t>
            </w:r>
          </w:p>
          <w:p w14:paraId="17A29858" w14:textId="77777777" w:rsidR="005F2545" w:rsidRPr="00012EFF" w:rsidRDefault="005F2545" w:rsidP="005F2545">
            <w:pPr>
              <w:numPr>
                <w:ilvl w:val="0"/>
                <w:numId w:val="8"/>
              </w:numPr>
              <w:spacing w:before="52" w:after="52"/>
              <w:ind w:right="142"/>
              <w:rPr>
                <w:color w:val="000000"/>
              </w:rPr>
            </w:pPr>
            <w:r w:rsidRPr="00012EFF">
              <w:rPr>
                <w:color w:val="000000"/>
              </w:rPr>
              <w:t>Giám sát phần cứng</w:t>
            </w:r>
          </w:p>
          <w:p w14:paraId="53BB1958" w14:textId="77777777" w:rsidR="005F2545" w:rsidRPr="00012EFF" w:rsidRDefault="005F2545" w:rsidP="005F2545">
            <w:pPr>
              <w:numPr>
                <w:ilvl w:val="0"/>
                <w:numId w:val="8"/>
              </w:numPr>
              <w:spacing w:before="52" w:after="52"/>
              <w:ind w:right="142"/>
              <w:rPr>
                <w:color w:val="000000"/>
              </w:rPr>
            </w:pPr>
            <w:r w:rsidRPr="00012EFF">
              <w:rPr>
                <w:color w:val="000000"/>
              </w:rPr>
              <w:t>Cập nhật firmware từ xa</w:t>
            </w:r>
          </w:p>
          <w:p w14:paraId="4BC839B5" w14:textId="77777777" w:rsidR="005F2545" w:rsidRPr="00012EFF" w:rsidRDefault="005F2545" w:rsidP="005F2545">
            <w:pPr>
              <w:numPr>
                <w:ilvl w:val="0"/>
                <w:numId w:val="8"/>
              </w:numPr>
              <w:spacing w:before="52" w:after="52"/>
              <w:ind w:right="142"/>
            </w:pPr>
            <w:r w:rsidRPr="00012EFF">
              <w:t xml:space="preserve">Có tuỳ chọn hỗ trợ chức năng cho phép quản trị, kiểm tra tình trạng máy chủ, giám sát, khắc phục sự cố từ ứng dụng hỗ trợ thiết bị trên </w:t>
            </w:r>
            <w:r w:rsidRPr="00012EFF">
              <w:lastRenderedPageBreak/>
              <w:t>iOS hoặc Android thông qua hệ thống mạng không dây (wifi hoặc bluetooth)</w:t>
            </w:r>
          </w:p>
          <w:p w14:paraId="5B5AAE71" w14:textId="77777777" w:rsidR="005F2545" w:rsidRPr="00012EFF" w:rsidRDefault="005F2545" w:rsidP="00E7240C">
            <w:pPr>
              <w:spacing w:before="52" w:after="52"/>
              <w:ind w:right="142"/>
              <w:rPr>
                <w:b/>
                <w:bCs/>
                <w:color w:val="000000"/>
              </w:rPr>
            </w:pPr>
            <w:r w:rsidRPr="00012EFF">
              <w:rPr>
                <w:b/>
                <w:bCs/>
                <w:color w:val="000000"/>
              </w:rPr>
              <w:t xml:space="preserve"> 10. Bảo hành</w:t>
            </w:r>
          </w:p>
          <w:p w14:paraId="40E30F26" w14:textId="77777777" w:rsidR="005F2545" w:rsidRPr="00012EFF" w:rsidRDefault="005F2545" w:rsidP="005F2545">
            <w:pPr>
              <w:numPr>
                <w:ilvl w:val="0"/>
                <w:numId w:val="8"/>
              </w:numPr>
              <w:spacing w:before="52" w:after="52"/>
              <w:ind w:right="142"/>
              <w:rPr>
                <w:color w:val="000000"/>
              </w:rPr>
            </w:pPr>
            <w:r w:rsidRPr="00012EFF">
              <w:t>3 năm dịch vụ hỗ trợ &amp; trợ giúp trực tuyến 24 x 7 và dịch vụ hỗ trợ thay thế linh kiện (sau khi xác định được lỗi) tận nơi vào ngày làm việc tiếp theo (Mức bảo hành chuyên nghiệp của nhà sản xuất) + Dịch vụ cho phép giữ lại ổ cứng khi ổ cứng lỗi trong thời gian bảo hành.</w:t>
            </w:r>
          </w:p>
        </w:tc>
        <w:tc>
          <w:tcPr>
            <w:tcW w:w="850" w:type="dxa"/>
            <w:vAlign w:val="center"/>
          </w:tcPr>
          <w:p w14:paraId="61C9066F" w14:textId="77777777" w:rsidR="005F2545" w:rsidRPr="00012EFF" w:rsidRDefault="005F2545" w:rsidP="00E7240C">
            <w:pPr>
              <w:spacing w:before="52" w:after="52"/>
              <w:jc w:val="center"/>
              <w:rPr>
                <w:color w:val="000000"/>
              </w:rPr>
            </w:pPr>
            <w:r w:rsidRPr="00012EFF">
              <w:rPr>
                <w:color w:val="000000"/>
              </w:rPr>
              <w:lastRenderedPageBreak/>
              <w:t>Bộ</w:t>
            </w:r>
          </w:p>
        </w:tc>
        <w:tc>
          <w:tcPr>
            <w:tcW w:w="993" w:type="dxa"/>
            <w:vAlign w:val="center"/>
          </w:tcPr>
          <w:p w14:paraId="7808C429" w14:textId="77777777" w:rsidR="005F2545" w:rsidRPr="00012EFF" w:rsidRDefault="005F2545" w:rsidP="00E7240C">
            <w:pPr>
              <w:spacing w:before="52" w:after="52"/>
              <w:jc w:val="center"/>
              <w:rPr>
                <w:bCs/>
                <w:color w:val="000000"/>
              </w:rPr>
            </w:pPr>
            <w:r w:rsidRPr="00012EFF">
              <w:rPr>
                <w:bCs/>
                <w:color w:val="000000"/>
              </w:rPr>
              <w:t>02</w:t>
            </w:r>
          </w:p>
        </w:tc>
        <w:tc>
          <w:tcPr>
            <w:tcW w:w="1559" w:type="dxa"/>
            <w:vAlign w:val="center"/>
          </w:tcPr>
          <w:p w14:paraId="035A520F" w14:textId="77777777" w:rsidR="005F2545" w:rsidRPr="00012EFF" w:rsidRDefault="005F2545" w:rsidP="00E7240C">
            <w:pPr>
              <w:spacing w:before="52" w:after="52"/>
              <w:jc w:val="center"/>
              <w:rPr>
                <w:bCs/>
                <w:color w:val="000000"/>
              </w:rPr>
            </w:pPr>
          </w:p>
        </w:tc>
        <w:tc>
          <w:tcPr>
            <w:tcW w:w="1559" w:type="dxa"/>
            <w:vAlign w:val="center"/>
          </w:tcPr>
          <w:p w14:paraId="3B0AB1FC" w14:textId="77777777" w:rsidR="005F2545" w:rsidRPr="00012EFF" w:rsidRDefault="005F2545" w:rsidP="00E7240C">
            <w:pPr>
              <w:spacing w:before="52" w:after="52"/>
              <w:jc w:val="center"/>
              <w:rPr>
                <w:bCs/>
                <w:color w:val="000000"/>
              </w:rPr>
            </w:pPr>
          </w:p>
        </w:tc>
      </w:tr>
      <w:tr w:rsidR="005F2545" w:rsidRPr="00012EFF" w14:paraId="430EF7A5" w14:textId="77777777" w:rsidTr="00E7240C">
        <w:trPr>
          <w:trHeight w:val="276"/>
        </w:trPr>
        <w:tc>
          <w:tcPr>
            <w:tcW w:w="709" w:type="dxa"/>
            <w:vAlign w:val="center"/>
          </w:tcPr>
          <w:p w14:paraId="506877EB" w14:textId="77777777" w:rsidR="005F2545" w:rsidRPr="00012EFF" w:rsidRDefault="005F2545" w:rsidP="00E7240C">
            <w:pPr>
              <w:spacing w:before="52" w:after="52"/>
              <w:jc w:val="center"/>
              <w:rPr>
                <w:b/>
                <w:bCs/>
                <w:color w:val="000000"/>
              </w:rPr>
            </w:pPr>
            <w:r w:rsidRPr="00012EFF">
              <w:rPr>
                <w:b/>
                <w:bCs/>
                <w:color w:val="000000"/>
              </w:rPr>
              <w:lastRenderedPageBreak/>
              <w:t>2</w:t>
            </w:r>
          </w:p>
        </w:tc>
        <w:tc>
          <w:tcPr>
            <w:tcW w:w="2127" w:type="dxa"/>
            <w:vAlign w:val="center"/>
          </w:tcPr>
          <w:p w14:paraId="52CD56A0" w14:textId="77777777" w:rsidR="005F2545" w:rsidRPr="00012EFF" w:rsidRDefault="005F2545" w:rsidP="00E7240C">
            <w:pPr>
              <w:spacing w:before="52" w:after="52"/>
              <w:ind w:left="142" w:right="142"/>
              <w:rPr>
                <w:b/>
                <w:bCs/>
                <w:color w:val="000000"/>
              </w:rPr>
            </w:pPr>
            <w:r w:rsidRPr="00012EFF">
              <w:rPr>
                <w:b/>
                <w:bCs/>
                <w:color w:val="000000"/>
              </w:rPr>
              <w:t>Bản quyền phần mềm</w:t>
            </w:r>
          </w:p>
        </w:tc>
        <w:tc>
          <w:tcPr>
            <w:tcW w:w="7229" w:type="dxa"/>
          </w:tcPr>
          <w:p w14:paraId="2A811350" w14:textId="77777777" w:rsidR="005F2545" w:rsidRPr="00012EFF" w:rsidRDefault="005F2545" w:rsidP="00E7240C">
            <w:pPr>
              <w:spacing w:before="52" w:after="52"/>
              <w:ind w:right="142"/>
              <w:rPr>
                <w:b/>
                <w:bCs/>
                <w:color w:val="000000"/>
              </w:rPr>
            </w:pPr>
            <w:r w:rsidRPr="00012EFF">
              <w:rPr>
                <w:b/>
                <w:bCs/>
                <w:color w:val="000000"/>
              </w:rPr>
              <w:t xml:space="preserve">     Hệ điều hành máy chủ</w:t>
            </w:r>
          </w:p>
          <w:p w14:paraId="34CEC013" w14:textId="77777777" w:rsidR="005F2545" w:rsidRPr="00012EFF" w:rsidRDefault="005F2545" w:rsidP="005F2545">
            <w:pPr>
              <w:numPr>
                <w:ilvl w:val="0"/>
                <w:numId w:val="9"/>
              </w:numPr>
              <w:spacing w:before="52" w:after="52"/>
              <w:ind w:right="142"/>
              <w:rPr>
                <w:color w:val="000000"/>
              </w:rPr>
            </w:pPr>
            <w:r w:rsidRPr="00012EFF">
              <w:rPr>
                <w:color w:val="000000"/>
              </w:rPr>
              <w:t>Windows Server Standard bản quyền hợp pháp</w:t>
            </w:r>
          </w:p>
          <w:p w14:paraId="7AAB74D6" w14:textId="77777777" w:rsidR="005F2545" w:rsidRPr="00012EFF" w:rsidRDefault="005F2545" w:rsidP="005F2545">
            <w:pPr>
              <w:numPr>
                <w:ilvl w:val="0"/>
                <w:numId w:val="9"/>
              </w:numPr>
              <w:spacing w:before="52" w:after="52"/>
              <w:ind w:right="142"/>
              <w:rPr>
                <w:color w:val="000000"/>
              </w:rPr>
            </w:pPr>
            <w:r w:rsidRPr="00012EFF">
              <w:rPr>
                <w:color w:val="000000"/>
              </w:rPr>
              <w:t>≥ 48 core/license</w:t>
            </w:r>
          </w:p>
          <w:p w14:paraId="1EAE3114" w14:textId="77777777" w:rsidR="005F2545" w:rsidRPr="00012EFF" w:rsidRDefault="005F2545" w:rsidP="005F2545">
            <w:pPr>
              <w:numPr>
                <w:ilvl w:val="0"/>
                <w:numId w:val="9"/>
              </w:numPr>
              <w:spacing w:before="52" w:after="52"/>
              <w:ind w:right="142"/>
              <w:rPr>
                <w:color w:val="000000"/>
              </w:rPr>
            </w:pPr>
            <w:r w:rsidRPr="00012EFF">
              <w:rPr>
                <w:color w:val="000000"/>
              </w:rPr>
              <w:t>Đủ cho toàn hệ thống</w:t>
            </w:r>
          </w:p>
          <w:p w14:paraId="1B9D7F25" w14:textId="77777777" w:rsidR="005F2545" w:rsidRPr="00012EFF" w:rsidRDefault="005F2545" w:rsidP="00E7240C">
            <w:pPr>
              <w:spacing w:before="52" w:after="52"/>
              <w:ind w:right="142"/>
              <w:rPr>
                <w:b/>
                <w:bCs/>
                <w:color w:val="000000"/>
              </w:rPr>
            </w:pPr>
            <w:r w:rsidRPr="00012EFF">
              <w:rPr>
                <w:b/>
                <w:bCs/>
                <w:color w:val="000000"/>
              </w:rPr>
              <w:t xml:space="preserve">     Ảo hóa (nếu dùng)</w:t>
            </w:r>
          </w:p>
          <w:p w14:paraId="04236EBC" w14:textId="77777777" w:rsidR="005F2545" w:rsidRPr="00012EFF" w:rsidRDefault="005F2545" w:rsidP="005F2545">
            <w:pPr>
              <w:numPr>
                <w:ilvl w:val="0"/>
                <w:numId w:val="16"/>
              </w:numPr>
              <w:spacing w:before="52" w:after="52"/>
              <w:ind w:right="142"/>
              <w:rPr>
                <w:color w:val="000000"/>
              </w:rPr>
            </w:pPr>
            <w:r w:rsidRPr="00012EFF">
              <w:rPr>
                <w:color w:val="000000"/>
              </w:rPr>
              <w:t>Hỗ trợ VMware / Hyper-V / Proxmox</w:t>
            </w:r>
          </w:p>
        </w:tc>
        <w:tc>
          <w:tcPr>
            <w:tcW w:w="850" w:type="dxa"/>
            <w:vAlign w:val="center"/>
          </w:tcPr>
          <w:p w14:paraId="5E5BCFED" w14:textId="77777777" w:rsidR="005F2545" w:rsidRPr="00012EFF" w:rsidRDefault="005F2545" w:rsidP="00E7240C">
            <w:pPr>
              <w:spacing w:before="52" w:after="52"/>
              <w:jc w:val="center"/>
              <w:rPr>
                <w:color w:val="000000"/>
              </w:rPr>
            </w:pPr>
            <w:r w:rsidRPr="00012EFF">
              <w:rPr>
                <w:color w:val="000000"/>
              </w:rPr>
              <w:t>Bộ</w:t>
            </w:r>
          </w:p>
        </w:tc>
        <w:tc>
          <w:tcPr>
            <w:tcW w:w="993" w:type="dxa"/>
            <w:vAlign w:val="center"/>
          </w:tcPr>
          <w:p w14:paraId="0344A8B1" w14:textId="77777777" w:rsidR="005F2545" w:rsidRPr="00012EFF" w:rsidRDefault="005F2545" w:rsidP="00E7240C">
            <w:pPr>
              <w:spacing w:before="52" w:after="52"/>
              <w:jc w:val="center"/>
              <w:rPr>
                <w:bCs/>
                <w:color w:val="000000"/>
              </w:rPr>
            </w:pPr>
            <w:r w:rsidRPr="00012EFF">
              <w:rPr>
                <w:bCs/>
                <w:color w:val="000000"/>
              </w:rPr>
              <w:t>02</w:t>
            </w:r>
          </w:p>
        </w:tc>
        <w:tc>
          <w:tcPr>
            <w:tcW w:w="1559" w:type="dxa"/>
            <w:vAlign w:val="center"/>
          </w:tcPr>
          <w:p w14:paraId="7C084FDC" w14:textId="77777777" w:rsidR="005F2545" w:rsidRPr="00012EFF" w:rsidRDefault="005F2545" w:rsidP="00E7240C">
            <w:pPr>
              <w:spacing w:before="52" w:after="52"/>
              <w:jc w:val="center"/>
              <w:rPr>
                <w:bCs/>
                <w:color w:val="000000"/>
              </w:rPr>
            </w:pPr>
          </w:p>
        </w:tc>
        <w:tc>
          <w:tcPr>
            <w:tcW w:w="1559" w:type="dxa"/>
            <w:vAlign w:val="center"/>
          </w:tcPr>
          <w:p w14:paraId="65ECA8A7" w14:textId="77777777" w:rsidR="005F2545" w:rsidRPr="00012EFF" w:rsidRDefault="005F2545" w:rsidP="00E7240C">
            <w:pPr>
              <w:spacing w:before="52" w:after="52"/>
              <w:jc w:val="center"/>
              <w:rPr>
                <w:bCs/>
                <w:color w:val="000000"/>
              </w:rPr>
            </w:pPr>
          </w:p>
        </w:tc>
      </w:tr>
      <w:tr w:rsidR="005F2545" w:rsidRPr="00012EFF" w14:paraId="148B58D8" w14:textId="77777777" w:rsidTr="00E7240C">
        <w:trPr>
          <w:trHeight w:val="60"/>
        </w:trPr>
        <w:tc>
          <w:tcPr>
            <w:tcW w:w="709" w:type="dxa"/>
            <w:vAlign w:val="center"/>
          </w:tcPr>
          <w:p w14:paraId="303F3AC7" w14:textId="77777777" w:rsidR="005F2545" w:rsidRPr="00012EFF" w:rsidRDefault="005F2545" w:rsidP="00E7240C">
            <w:pPr>
              <w:spacing w:before="52" w:after="52"/>
              <w:jc w:val="center"/>
              <w:rPr>
                <w:b/>
                <w:bCs/>
                <w:color w:val="000000"/>
              </w:rPr>
            </w:pPr>
            <w:r w:rsidRPr="00012EFF">
              <w:rPr>
                <w:b/>
                <w:bCs/>
                <w:color w:val="000000"/>
              </w:rPr>
              <w:t>3</w:t>
            </w:r>
          </w:p>
        </w:tc>
        <w:tc>
          <w:tcPr>
            <w:tcW w:w="2127" w:type="dxa"/>
            <w:vAlign w:val="center"/>
          </w:tcPr>
          <w:p w14:paraId="04BEA2DD" w14:textId="77777777" w:rsidR="005F2545" w:rsidRPr="00012EFF" w:rsidRDefault="005F2545" w:rsidP="00E7240C">
            <w:pPr>
              <w:spacing w:before="52" w:after="52"/>
              <w:ind w:left="142" w:right="142"/>
              <w:rPr>
                <w:b/>
                <w:bCs/>
                <w:color w:val="000000"/>
              </w:rPr>
            </w:pPr>
            <w:r w:rsidRPr="00012EFF">
              <w:rPr>
                <w:b/>
                <w:bCs/>
                <w:color w:val="000000"/>
              </w:rPr>
              <w:t>Thiết bị lưu trữ NAS</w:t>
            </w:r>
          </w:p>
        </w:tc>
        <w:tc>
          <w:tcPr>
            <w:tcW w:w="7229" w:type="dxa"/>
          </w:tcPr>
          <w:p w14:paraId="207A9F1A" w14:textId="77777777" w:rsidR="005F2545" w:rsidRPr="00012EFF" w:rsidRDefault="005F2545" w:rsidP="00E7240C">
            <w:pPr>
              <w:spacing w:before="52" w:after="52"/>
              <w:ind w:left="142" w:right="142"/>
              <w:rPr>
                <w:b/>
                <w:bCs/>
                <w:color w:val="000000"/>
              </w:rPr>
            </w:pPr>
            <w:r w:rsidRPr="00012EFF">
              <w:rPr>
                <w:b/>
                <w:bCs/>
                <w:color w:val="000000"/>
              </w:rPr>
              <w:t>1. Kiểu dáng</w:t>
            </w:r>
          </w:p>
          <w:p w14:paraId="1B365F5F" w14:textId="77777777" w:rsidR="005F2545" w:rsidRPr="00012EFF" w:rsidRDefault="005F2545" w:rsidP="005F2545">
            <w:pPr>
              <w:numPr>
                <w:ilvl w:val="0"/>
                <w:numId w:val="10"/>
              </w:numPr>
              <w:spacing w:before="52" w:after="52"/>
              <w:ind w:right="142"/>
              <w:rPr>
                <w:color w:val="000000"/>
              </w:rPr>
            </w:pPr>
            <w:r w:rsidRPr="00012EFF">
              <w:rPr>
                <w:color w:val="000000"/>
              </w:rPr>
              <w:t>Rackmount ≤ 2U</w:t>
            </w:r>
          </w:p>
          <w:p w14:paraId="0FF57876" w14:textId="77777777" w:rsidR="005F2545" w:rsidRPr="00012EFF" w:rsidRDefault="005F2545" w:rsidP="005F2545">
            <w:pPr>
              <w:numPr>
                <w:ilvl w:val="0"/>
                <w:numId w:val="10"/>
              </w:numPr>
              <w:spacing w:before="52" w:after="52"/>
              <w:ind w:right="142"/>
              <w:rPr>
                <w:color w:val="000000"/>
              </w:rPr>
            </w:pPr>
            <w:r w:rsidRPr="00012EFF">
              <w:rPr>
                <w:color w:val="000000"/>
              </w:rPr>
              <w:t>≥ 12 khay ổ 3.5”</w:t>
            </w:r>
          </w:p>
          <w:p w14:paraId="571AFC24" w14:textId="77777777" w:rsidR="005F2545" w:rsidRPr="00012EFF" w:rsidRDefault="005F2545" w:rsidP="00E7240C">
            <w:pPr>
              <w:spacing w:before="52" w:after="52"/>
              <w:ind w:left="142" w:right="142"/>
              <w:rPr>
                <w:b/>
                <w:bCs/>
                <w:color w:val="000000"/>
              </w:rPr>
            </w:pPr>
            <w:r w:rsidRPr="00012EFF">
              <w:rPr>
                <w:b/>
                <w:bCs/>
                <w:color w:val="000000"/>
              </w:rPr>
              <w:t>2. CPU</w:t>
            </w:r>
          </w:p>
          <w:p w14:paraId="4147D089" w14:textId="77777777" w:rsidR="005F2545" w:rsidRPr="00012EFF" w:rsidRDefault="005F2545" w:rsidP="005F2545">
            <w:pPr>
              <w:numPr>
                <w:ilvl w:val="0"/>
                <w:numId w:val="11"/>
              </w:numPr>
              <w:spacing w:before="52" w:after="52"/>
              <w:ind w:right="142"/>
              <w:rPr>
                <w:color w:val="000000"/>
              </w:rPr>
            </w:pPr>
            <w:r w:rsidRPr="00012EFF">
              <w:rPr>
                <w:color w:val="000000"/>
              </w:rPr>
              <w:t>≥ 6 cores</w:t>
            </w:r>
          </w:p>
          <w:p w14:paraId="7B180157" w14:textId="77777777" w:rsidR="005F2545" w:rsidRPr="00012EFF" w:rsidRDefault="005F2545" w:rsidP="005F2545">
            <w:pPr>
              <w:numPr>
                <w:ilvl w:val="0"/>
                <w:numId w:val="11"/>
              </w:numPr>
              <w:spacing w:before="52" w:after="52"/>
              <w:ind w:right="142"/>
              <w:rPr>
                <w:color w:val="000000"/>
              </w:rPr>
            </w:pPr>
            <w:r w:rsidRPr="00012EFF">
              <w:rPr>
                <w:color w:val="000000"/>
              </w:rPr>
              <w:t>≥ 2.0 GHz</w:t>
            </w:r>
          </w:p>
          <w:p w14:paraId="62F8642F" w14:textId="77777777" w:rsidR="005F2545" w:rsidRPr="00012EFF" w:rsidRDefault="005F2545" w:rsidP="00E7240C">
            <w:pPr>
              <w:spacing w:before="52" w:after="52"/>
              <w:ind w:left="142" w:right="142"/>
              <w:rPr>
                <w:b/>
                <w:bCs/>
                <w:color w:val="000000"/>
              </w:rPr>
            </w:pPr>
            <w:r w:rsidRPr="00012EFF">
              <w:rPr>
                <w:b/>
                <w:bCs/>
                <w:color w:val="000000"/>
              </w:rPr>
              <w:t>3. RAM</w:t>
            </w:r>
          </w:p>
          <w:p w14:paraId="6E284965" w14:textId="77777777" w:rsidR="005F2545" w:rsidRPr="00012EFF" w:rsidRDefault="005F2545" w:rsidP="005F2545">
            <w:pPr>
              <w:numPr>
                <w:ilvl w:val="0"/>
                <w:numId w:val="12"/>
              </w:numPr>
              <w:spacing w:before="52" w:after="52"/>
              <w:ind w:right="142"/>
              <w:rPr>
                <w:color w:val="000000"/>
              </w:rPr>
            </w:pPr>
            <w:r w:rsidRPr="00012EFF">
              <w:rPr>
                <w:color w:val="000000"/>
              </w:rPr>
              <w:t>≥ 16 GB ECC</w:t>
            </w:r>
          </w:p>
          <w:p w14:paraId="1A949E3B" w14:textId="77777777" w:rsidR="005F2545" w:rsidRPr="00012EFF" w:rsidRDefault="005F2545" w:rsidP="005F2545">
            <w:pPr>
              <w:numPr>
                <w:ilvl w:val="0"/>
                <w:numId w:val="12"/>
              </w:numPr>
              <w:spacing w:before="52" w:after="52"/>
              <w:ind w:right="142"/>
              <w:rPr>
                <w:color w:val="000000"/>
              </w:rPr>
            </w:pPr>
            <w:r w:rsidRPr="00012EFF">
              <w:rPr>
                <w:color w:val="000000"/>
              </w:rPr>
              <w:t>Mở rộng ≥ 64 GB</w:t>
            </w:r>
          </w:p>
          <w:p w14:paraId="5286FEB2" w14:textId="77777777" w:rsidR="005F2545" w:rsidRPr="00012EFF" w:rsidRDefault="005F2545" w:rsidP="00E7240C">
            <w:pPr>
              <w:spacing w:before="52" w:after="52"/>
              <w:ind w:left="142" w:right="142"/>
              <w:rPr>
                <w:b/>
                <w:bCs/>
                <w:color w:val="000000"/>
              </w:rPr>
            </w:pPr>
            <w:r w:rsidRPr="00012EFF">
              <w:rPr>
                <w:b/>
                <w:bCs/>
                <w:color w:val="000000"/>
              </w:rPr>
              <w:t>4. Ổ cứng</w:t>
            </w:r>
          </w:p>
          <w:p w14:paraId="1FE5D486" w14:textId="77777777" w:rsidR="005F2545" w:rsidRPr="00012EFF" w:rsidRDefault="005F2545" w:rsidP="005F2545">
            <w:pPr>
              <w:numPr>
                <w:ilvl w:val="0"/>
                <w:numId w:val="13"/>
              </w:numPr>
              <w:spacing w:before="52" w:after="52"/>
              <w:ind w:right="142"/>
              <w:rPr>
                <w:color w:val="000000"/>
              </w:rPr>
            </w:pPr>
            <w:r w:rsidRPr="00012EFF">
              <w:rPr>
                <w:color w:val="000000"/>
              </w:rPr>
              <w:t>≥ 12 × 12 TB SATA Enterprise</w:t>
            </w:r>
          </w:p>
          <w:p w14:paraId="4F16D4B2" w14:textId="77777777" w:rsidR="005F2545" w:rsidRPr="00012EFF" w:rsidRDefault="005F2545" w:rsidP="005F2545">
            <w:pPr>
              <w:numPr>
                <w:ilvl w:val="0"/>
                <w:numId w:val="13"/>
              </w:numPr>
              <w:spacing w:before="52" w:after="52"/>
              <w:ind w:right="142"/>
              <w:rPr>
                <w:color w:val="000000"/>
              </w:rPr>
            </w:pPr>
            <w:r w:rsidRPr="00012EFF">
              <w:rPr>
                <w:color w:val="000000"/>
              </w:rPr>
              <w:t>Hỗ trợ RAID 5/6/10</w:t>
            </w:r>
          </w:p>
          <w:p w14:paraId="39EA9D76" w14:textId="77777777" w:rsidR="005F2545" w:rsidRPr="00012EFF" w:rsidRDefault="005F2545" w:rsidP="00E7240C">
            <w:pPr>
              <w:spacing w:before="52" w:after="52"/>
              <w:ind w:left="142" w:right="142"/>
              <w:rPr>
                <w:b/>
                <w:bCs/>
                <w:color w:val="000000"/>
              </w:rPr>
            </w:pPr>
            <w:r w:rsidRPr="00012EFF">
              <w:rPr>
                <w:b/>
                <w:bCs/>
                <w:color w:val="000000"/>
              </w:rPr>
              <w:t>5. Mạng</w:t>
            </w:r>
          </w:p>
          <w:p w14:paraId="78A787D0" w14:textId="77777777" w:rsidR="005F2545" w:rsidRPr="00012EFF" w:rsidRDefault="005F2545" w:rsidP="005F2545">
            <w:pPr>
              <w:numPr>
                <w:ilvl w:val="0"/>
                <w:numId w:val="14"/>
              </w:numPr>
              <w:spacing w:before="52" w:after="52"/>
              <w:ind w:right="142"/>
              <w:rPr>
                <w:color w:val="000000"/>
              </w:rPr>
            </w:pPr>
            <w:r w:rsidRPr="00012EFF">
              <w:rPr>
                <w:color w:val="000000"/>
              </w:rPr>
              <w:t>≥ 2 × 1GbE</w:t>
            </w:r>
          </w:p>
          <w:p w14:paraId="4E122F7F" w14:textId="77777777" w:rsidR="005F2545" w:rsidRPr="00012EFF" w:rsidRDefault="005F2545" w:rsidP="005F2545">
            <w:pPr>
              <w:numPr>
                <w:ilvl w:val="0"/>
                <w:numId w:val="14"/>
              </w:numPr>
              <w:spacing w:before="52" w:after="52"/>
              <w:ind w:right="142"/>
              <w:rPr>
                <w:color w:val="000000"/>
              </w:rPr>
            </w:pPr>
            <w:r w:rsidRPr="00012EFF">
              <w:rPr>
                <w:color w:val="000000"/>
              </w:rPr>
              <w:lastRenderedPageBreak/>
              <w:t>≥ 2 × 10GbE</w:t>
            </w:r>
          </w:p>
          <w:p w14:paraId="2AB4FB92" w14:textId="77777777" w:rsidR="005F2545" w:rsidRPr="00012EFF" w:rsidRDefault="005F2545" w:rsidP="00E7240C">
            <w:pPr>
              <w:spacing w:before="52" w:after="52"/>
              <w:ind w:left="142" w:right="142"/>
              <w:rPr>
                <w:b/>
                <w:bCs/>
                <w:color w:val="000000"/>
              </w:rPr>
            </w:pPr>
            <w:r w:rsidRPr="00012EFF">
              <w:rPr>
                <w:b/>
                <w:bCs/>
                <w:color w:val="000000"/>
              </w:rPr>
              <w:t>6. Tính năng</w:t>
            </w:r>
          </w:p>
          <w:p w14:paraId="7C23E11C" w14:textId="77777777" w:rsidR="005F2545" w:rsidRPr="00012EFF" w:rsidRDefault="005F2545" w:rsidP="005F2545">
            <w:pPr>
              <w:numPr>
                <w:ilvl w:val="0"/>
                <w:numId w:val="15"/>
              </w:numPr>
              <w:spacing w:before="52" w:after="52"/>
              <w:ind w:right="142"/>
              <w:rPr>
                <w:color w:val="000000"/>
              </w:rPr>
            </w:pPr>
            <w:r w:rsidRPr="00012EFF">
              <w:rPr>
                <w:color w:val="000000"/>
              </w:rPr>
              <w:t>Snapshot</w:t>
            </w:r>
          </w:p>
          <w:p w14:paraId="077FDD8C" w14:textId="77777777" w:rsidR="005F2545" w:rsidRPr="00012EFF" w:rsidRDefault="005F2545" w:rsidP="005F2545">
            <w:pPr>
              <w:numPr>
                <w:ilvl w:val="0"/>
                <w:numId w:val="15"/>
              </w:numPr>
              <w:spacing w:before="52" w:after="52"/>
              <w:ind w:right="142"/>
              <w:rPr>
                <w:color w:val="000000"/>
              </w:rPr>
            </w:pPr>
            <w:r w:rsidRPr="00012EFF">
              <w:rPr>
                <w:color w:val="000000"/>
              </w:rPr>
              <w:t>Replication</w:t>
            </w:r>
          </w:p>
          <w:p w14:paraId="4F62E667" w14:textId="77777777" w:rsidR="005F2545" w:rsidRPr="00012EFF" w:rsidRDefault="005F2545" w:rsidP="005F2545">
            <w:pPr>
              <w:numPr>
                <w:ilvl w:val="0"/>
                <w:numId w:val="15"/>
              </w:numPr>
              <w:spacing w:before="52" w:after="52"/>
              <w:ind w:right="142"/>
              <w:rPr>
                <w:color w:val="000000"/>
              </w:rPr>
            </w:pPr>
            <w:r w:rsidRPr="00012EFF">
              <w:rPr>
                <w:color w:val="000000"/>
              </w:rPr>
              <w:t>SMB/NFS/iSCSI</w:t>
            </w:r>
          </w:p>
          <w:p w14:paraId="202DCD25" w14:textId="77777777" w:rsidR="005F2545" w:rsidRPr="00012EFF" w:rsidRDefault="005F2545" w:rsidP="005F2545">
            <w:pPr>
              <w:numPr>
                <w:ilvl w:val="0"/>
                <w:numId w:val="15"/>
              </w:numPr>
              <w:spacing w:before="52" w:after="52"/>
              <w:ind w:right="142"/>
              <w:rPr>
                <w:color w:val="000000"/>
              </w:rPr>
            </w:pPr>
            <w:r w:rsidRPr="00012EFF">
              <w:rPr>
                <w:color w:val="000000"/>
              </w:rPr>
              <w:t>Sao lưu tự động</w:t>
            </w:r>
          </w:p>
          <w:p w14:paraId="1823C21C" w14:textId="77777777" w:rsidR="005F2545" w:rsidRPr="00012EFF" w:rsidRDefault="005F2545" w:rsidP="00E7240C">
            <w:pPr>
              <w:spacing w:before="52" w:after="52"/>
              <w:ind w:left="142" w:right="142"/>
              <w:rPr>
                <w:b/>
                <w:bCs/>
                <w:color w:val="000000"/>
              </w:rPr>
            </w:pPr>
            <w:r w:rsidRPr="00012EFF">
              <w:rPr>
                <w:b/>
                <w:bCs/>
                <w:color w:val="000000"/>
              </w:rPr>
              <w:t xml:space="preserve">7. Bảo hành: </w:t>
            </w:r>
            <w:r w:rsidRPr="00012EFF">
              <w:rPr>
                <w:color w:val="000000"/>
              </w:rPr>
              <w:t>≥ 3 năm chính hãng</w:t>
            </w:r>
          </w:p>
        </w:tc>
        <w:tc>
          <w:tcPr>
            <w:tcW w:w="850" w:type="dxa"/>
            <w:vAlign w:val="center"/>
          </w:tcPr>
          <w:p w14:paraId="2EDA7275" w14:textId="77777777" w:rsidR="005F2545" w:rsidRPr="00012EFF" w:rsidRDefault="005F2545" w:rsidP="00E7240C">
            <w:pPr>
              <w:spacing w:before="52" w:after="52"/>
              <w:jc w:val="center"/>
              <w:rPr>
                <w:color w:val="000000"/>
              </w:rPr>
            </w:pPr>
            <w:r w:rsidRPr="00012EFF">
              <w:rPr>
                <w:color w:val="000000"/>
              </w:rPr>
              <w:lastRenderedPageBreak/>
              <w:t>Bộ</w:t>
            </w:r>
          </w:p>
        </w:tc>
        <w:tc>
          <w:tcPr>
            <w:tcW w:w="993" w:type="dxa"/>
            <w:vAlign w:val="center"/>
          </w:tcPr>
          <w:p w14:paraId="0D65B485" w14:textId="77777777" w:rsidR="005F2545" w:rsidRPr="00012EFF" w:rsidRDefault="005F2545" w:rsidP="00E7240C">
            <w:pPr>
              <w:spacing w:before="52" w:after="52"/>
              <w:jc w:val="center"/>
              <w:rPr>
                <w:bCs/>
                <w:color w:val="000000"/>
              </w:rPr>
            </w:pPr>
            <w:r w:rsidRPr="00012EFF">
              <w:rPr>
                <w:bCs/>
                <w:color w:val="000000"/>
              </w:rPr>
              <w:t>01</w:t>
            </w:r>
          </w:p>
        </w:tc>
        <w:tc>
          <w:tcPr>
            <w:tcW w:w="1559" w:type="dxa"/>
            <w:vAlign w:val="center"/>
          </w:tcPr>
          <w:p w14:paraId="11CB06C5" w14:textId="77777777" w:rsidR="005F2545" w:rsidRPr="00012EFF" w:rsidRDefault="005F2545" w:rsidP="00E7240C">
            <w:pPr>
              <w:spacing w:before="52" w:after="52"/>
              <w:jc w:val="center"/>
              <w:rPr>
                <w:bCs/>
                <w:color w:val="000000"/>
              </w:rPr>
            </w:pPr>
          </w:p>
        </w:tc>
        <w:tc>
          <w:tcPr>
            <w:tcW w:w="1559" w:type="dxa"/>
            <w:vAlign w:val="center"/>
          </w:tcPr>
          <w:p w14:paraId="34CF6CBD" w14:textId="77777777" w:rsidR="005F2545" w:rsidRPr="00012EFF" w:rsidRDefault="005F2545" w:rsidP="00E7240C">
            <w:pPr>
              <w:spacing w:before="52" w:after="52"/>
              <w:jc w:val="center"/>
              <w:rPr>
                <w:bCs/>
                <w:color w:val="000000"/>
              </w:rPr>
            </w:pPr>
          </w:p>
        </w:tc>
      </w:tr>
      <w:tr w:rsidR="005F2545" w:rsidRPr="00012EFF" w14:paraId="6A8BE12D" w14:textId="77777777" w:rsidTr="00E7240C">
        <w:trPr>
          <w:trHeight w:val="567"/>
        </w:trPr>
        <w:tc>
          <w:tcPr>
            <w:tcW w:w="709" w:type="dxa"/>
            <w:vAlign w:val="center"/>
          </w:tcPr>
          <w:p w14:paraId="40DC0334" w14:textId="77777777" w:rsidR="005F2545" w:rsidRPr="00012EFF" w:rsidRDefault="005F2545" w:rsidP="00E7240C">
            <w:pPr>
              <w:spacing w:before="52" w:after="52"/>
              <w:jc w:val="center"/>
              <w:rPr>
                <w:b/>
                <w:bCs/>
                <w:color w:val="000000"/>
              </w:rPr>
            </w:pPr>
            <w:r w:rsidRPr="00012EFF">
              <w:rPr>
                <w:b/>
                <w:bCs/>
                <w:color w:val="000000"/>
              </w:rPr>
              <w:t>4</w:t>
            </w:r>
          </w:p>
        </w:tc>
        <w:tc>
          <w:tcPr>
            <w:tcW w:w="2127" w:type="dxa"/>
            <w:vAlign w:val="center"/>
          </w:tcPr>
          <w:p w14:paraId="5373A639" w14:textId="77777777" w:rsidR="005F2545" w:rsidRPr="00012EFF" w:rsidRDefault="005F2545" w:rsidP="00E7240C">
            <w:pPr>
              <w:spacing w:before="52" w:after="52"/>
              <w:ind w:left="142" w:right="142"/>
              <w:jc w:val="center"/>
              <w:rPr>
                <w:b/>
                <w:bCs/>
                <w:color w:val="000000"/>
              </w:rPr>
            </w:pPr>
            <w:r w:rsidRPr="00012EFF">
              <w:rPr>
                <w:b/>
                <w:bCs/>
                <w:color w:val="000000"/>
              </w:rPr>
              <w:t>Module quang</w:t>
            </w:r>
          </w:p>
        </w:tc>
        <w:tc>
          <w:tcPr>
            <w:tcW w:w="7229" w:type="dxa"/>
            <w:vAlign w:val="center"/>
          </w:tcPr>
          <w:p w14:paraId="16BCCBBA" w14:textId="77777777" w:rsidR="005F2545" w:rsidRPr="00012EFF" w:rsidRDefault="005F2545" w:rsidP="00E7240C">
            <w:pPr>
              <w:spacing w:before="52" w:after="52"/>
              <w:ind w:left="142" w:right="142"/>
              <w:rPr>
                <w:bCs/>
                <w:color w:val="000000"/>
              </w:rPr>
            </w:pPr>
            <w:r w:rsidRPr="00012EFF">
              <w:rPr>
                <w:bCs/>
                <w:color w:val="000000"/>
              </w:rPr>
              <w:t>- Module quang 10G SFP+-SR</w:t>
            </w:r>
          </w:p>
        </w:tc>
        <w:tc>
          <w:tcPr>
            <w:tcW w:w="850" w:type="dxa"/>
            <w:vAlign w:val="center"/>
          </w:tcPr>
          <w:p w14:paraId="63E04B13" w14:textId="77777777" w:rsidR="005F2545" w:rsidRPr="00012EFF" w:rsidRDefault="005F2545" w:rsidP="00E7240C">
            <w:pPr>
              <w:spacing w:before="52" w:after="52"/>
              <w:jc w:val="center"/>
              <w:rPr>
                <w:color w:val="000000"/>
              </w:rPr>
            </w:pPr>
            <w:r w:rsidRPr="00012EFF">
              <w:rPr>
                <w:color w:val="000000"/>
              </w:rPr>
              <w:t>Cái</w:t>
            </w:r>
          </w:p>
        </w:tc>
        <w:tc>
          <w:tcPr>
            <w:tcW w:w="993" w:type="dxa"/>
            <w:vAlign w:val="center"/>
          </w:tcPr>
          <w:p w14:paraId="2EAD140F" w14:textId="77777777" w:rsidR="005F2545" w:rsidRPr="00012EFF" w:rsidRDefault="005F2545" w:rsidP="00E7240C">
            <w:pPr>
              <w:spacing w:before="52" w:after="52"/>
              <w:jc w:val="center"/>
              <w:rPr>
                <w:bCs/>
                <w:color w:val="000000"/>
              </w:rPr>
            </w:pPr>
            <w:r w:rsidRPr="00012EFF">
              <w:rPr>
                <w:bCs/>
                <w:color w:val="000000"/>
              </w:rPr>
              <w:t>03</w:t>
            </w:r>
          </w:p>
        </w:tc>
        <w:tc>
          <w:tcPr>
            <w:tcW w:w="1559" w:type="dxa"/>
            <w:vAlign w:val="center"/>
          </w:tcPr>
          <w:p w14:paraId="40E75C77" w14:textId="77777777" w:rsidR="005F2545" w:rsidRPr="00012EFF" w:rsidRDefault="005F2545" w:rsidP="00E7240C">
            <w:pPr>
              <w:spacing w:before="52" w:after="52"/>
              <w:jc w:val="center"/>
              <w:rPr>
                <w:bCs/>
                <w:color w:val="000000"/>
              </w:rPr>
            </w:pPr>
          </w:p>
        </w:tc>
        <w:tc>
          <w:tcPr>
            <w:tcW w:w="1559" w:type="dxa"/>
            <w:vAlign w:val="center"/>
          </w:tcPr>
          <w:p w14:paraId="06D312FB" w14:textId="77777777" w:rsidR="005F2545" w:rsidRPr="00012EFF" w:rsidRDefault="005F2545" w:rsidP="00E7240C">
            <w:pPr>
              <w:spacing w:before="52" w:after="52"/>
              <w:jc w:val="center"/>
              <w:rPr>
                <w:bCs/>
                <w:color w:val="000000"/>
              </w:rPr>
            </w:pPr>
          </w:p>
        </w:tc>
      </w:tr>
      <w:tr w:rsidR="005F2545" w:rsidRPr="00012EFF" w14:paraId="3A699987" w14:textId="77777777" w:rsidTr="00E7240C">
        <w:trPr>
          <w:trHeight w:val="517"/>
        </w:trPr>
        <w:tc>
          <w:tcPr>
            <w:tcW w:w="709" w:type="dxa"/>
            <w:vAlign w:val="center"/>
          </w:tcPr>
          <w:p w14:paraId="134A6BD1" w14:textId="77777777" w:rsidR="005F2545" w:rsidRPr="00012EFF" w:rsidRDefault="005F2545" w:rsidP="00E7240C">
            <w:pPr>
              <w:spacing w:before="52" w:after="52"/>
              <w:jc w:val="center"/>
              <w:rPr>
                <w:b/>
                <w:bCs/>
                <w:color w:val="000000"/>
              </w:rPr>
            </w:pPr>
            <w:r w:rsidRPr="00012EFF">
              <w:rPr>
                <w:b/>
                <w:bCs/>
                <w:color w:val="000000"/>
              </w:rPr>
              <w:t>5</w:t>
            </w:r>
          </w:p>
        </w:tc>
        <w:tc>
          <w:tcPr>
            <w:tcW w:w="2127" w:type="dxa"/>
            <w:vAlign w:val="center"/>
          </w:tcPr>
          <w:p w14:paraId="2916FD0E" w14:textId="77777777" w:rsidR="005F2545" w:rsidRPr="00012EFF" w:rsidRDefault="005F2545" w:rsidP="00E7240C">
            <w:pPr>
              <w:spacing w:before="52" w:after="52"/>
              <w:ind w:left="142" w:right="142"/>
              <w:jc w:val="center"/>
              <w:rPr>
                <w:b/>
                <w:bCs/>
                <w:color w:val="000000"/>
              </w:rPr>
            </w:pPr>
            <w:r w:rsidRPr="00012EFF">
              <w:rPr>
                <w:b/>
                <w:bCs/>
                <w:color w:val="000000"/>
              </w:rPr>
              <w:t>Sợi nhảy quang</w:t>
            </w:r>
          </w:p>
        </w:tc>
        <w:tc>
          <w:tcPr>
            <w:tcW w:w="7229" w:type="dxa"/>
            <w:vAlign w:val="center"/>
          </w:tcPr>
          <w:p w14:paraId="71F6CA8A" w14:textId="77777777" w:rsidR="005F2545" w:rsidRPr="00012EFF" w:rsidRDefault="005F2545" w:rsidP="00E7240C">
            <w:pPr>
              <w:spacing w:before="52" w:after="52"/>
              <w:ind w:right="142"/>
              <w:rPr>
                <w:bCs/>
                <w:color w:val="000000"/>
              </w:rPr>
            </w:pPr>
            <w:r w:rsidRPr="00012EFF">
              <w:rPr>
                <w:bCs/>
                <w:color w:val="000000"/>
              </w:rPr>
              <w:t xml:space="preserve">  - </w:t>
            </w:r>
            <w:r w:rsidRPr="00012EFF">
              <w:rPr>
                <w:bCs/>
              </w:rPr>
              <w:t>Sợi nhảy quang</w:t>
            </w:r>
          </w:p>
        </w:tc>
        <w:tc>
          <w:tcPr>
            <w:tcW w:w="850" w:type="dxa"/>
            <w:vAlign w:val="center"/>
          </w:tcPr>
          <w:p w14:paraId="23C502C6" w14:textId="77777777" w:rsidR="005F2545" w:rsidRPr="00012EFF" w:rsidRDefault="005F2545" w:rsidP="00E7240C">
            <w:pPr>
              <w:spacing w:before="52" w:after="52"/>
              <w:jc w:val="center"/>
              <w:rPr>
                <w:color w:val="000000"/>
              </w:rPr>
            </w:pPr>
            <w:r w:rsidRPr="00012EFF">
              <w:rPr>
                <w:color w:val="000000"/>
              </w:rPr>
              <w:t>Dây</w:t>
            </w:r>
          </w:p>
        </w:tc>
        <w:tc>
          <w:tcPr>
            <w:tcW w:w="993" w:type="dxa"/>
            <w:vAlign w:val="center"/>
          </w:tcPr>
          <w:p w14:paraId="58083C79" w14:textId="77777777" w:rsidR="005F2545" w:rsidRPr="00012EFF" w:rsidRDefault="005F2545" w:rsidP="00E7240C">
            <w:pPr>
              <w:spacing w:before="52" w:after="52"/>
              <w:jc w:val="center"/>
              <w:rPr>
                <w:bCs/>
                <w:color w:val="000000"/>
              </w:rPr>
            </w:pPr>
            <w:r w:rsidRPr="00012EFF">
              <w:rPr>
                <w:bCs/>
                <w:color w:val="000000"/>
              </w:rPr>
              <w:t>04</w:t>
            </w:r>
          </w:p>
        </w:tc>
        <w:tc>
          <w:tcPr>
            <w:tcW w:w="1559" w:type="dxa"/>
            <w:vAlign w:val="center"/>
          </w:tcPr>
          <w:p w14:paraId="4F04BFEE" w14:textId="77777777" w:rsidR="005F2545" w:rsidRPr="00012EFF" w:rsidRDefault="005F2545" w:rsidP="00E7240C">
            <w:pPr>
              <w:spacing w:before="52" w:after="52"/>
              <w:jc w:val="center"/>
              <w:rPr>
                <w:bCs/>
                <w:color w:val="000000"/>
              </w:rPr>
            </w:pPr>
          </w:p>
        </w:tc>
        <w:tc>
          <w:tcPr>
            <w:tcW w:w="1559" w:type="dxa"/>
            <w:vAlign w:val="center"/>
          </w:tcPr>
          <w:p w14:paraId="0443DC5D" w14:textId="77777777" w:rsidR="005F2545" w:rsidRPr="00012EFF" w:rsidRDefault="005F2545" w:rsidP="00E7240C">
            <w:pPr>
              <w:spacing w:before="52" w:after="52"/>
              <w:jc w:val="center"/>
              <w:rPr>
                <w:bCs/>
                <w:color w:val="000000"/>
              </w:rPr>
            </w:pPr>
          </w:p>
        </w:tc>
      </w:tr>
    </w:tbl>
    <w:p w14:paraId="00339D4C" w14:textId="77777777" w:rsidR="005F2545" w:rsidRDefault="005F2545" w:rsidP="005F2545">
      <w:pPr>
        <w:ind w:firstLine="567"/>
        <w:rPr>
          <w:b/>
          <w:i/>
          <w:sz w:val="26"/>
          <w:szCs w:val="26"/>
          <w:lang w:val="pl-PL"/>
        </w:rPr>
      </w:pPr>
    </w:p>
    <w:p w14:paraId="57262A80" w14:textId="77777777" w:rsidR="005F2545" w:rsidRPr="004D1049" w:rsidRDefault="005F2545" w:rsidP="005F2545">
      <w:pPr>
        <w:ind w:firstLine="567"/>
        <w:rPr>
          <w:b/>
          <w:i/>
          <w:sz w:val="26"/>
          <w:szCs w:val="26"/>
          <w:lang w:val="pl-PL"/>
        </w:rPr>
      </w:pPr>
      <w:r w:rsidRPr="004D1049">
        <w:rPr>
          <w:b/>
          <w:i/>
          <w:sz w:val="26"/>
          <w:szCs w:val="26"/>
          <w:lang w:val="pl-PL"/>
        </w:rPr>
        <w:t xml:space="preserve">* Ghi chú: </w:t>
      </w:r>
    </w:p>
    <w:p w14:paraId="6E394BB0" w14:textId="77777777" w:rsidR="005F2545" w:rsidRPr="004D1049" w:rsidRDefault="005F2545" w:rsidP="005F2545">
      <w:pPr>
        <w:spacing w:after="200" w:line="276" w:lineRule="auto"/>
        <w:ind w:firstLine="709"/>
        <w:rPr>
          <w:sz w:val="28"/>
        </w:rPr>
      </w:pPr>
      <w:r w:rsidRPr="004D1049">
        <w:rPr>
          <w:sz w:val="28"/>
        </w:rPr>
        <w:t xml:space="preserve">- Hàng hoá nêu trên đã bao gồm đầy đủ các vật tư, phụ kiện kèm theo </w:t>
      </w:r>
      <w:proofErr w:type="gramStart"/>
      <w:r w:rsidRPr="004D1049">
        <w:rPr>
          <w:sz w:val="28"/>
        </w:rPr>
        <w:t>( nếu</w:t>
      </w:r>
      <w:proofErr w:type="gramEnd"/>
      <w:r w:rsidRPr="004D1049">
        <w:rPr>
          <w:sz w:val="28"/>
        </w:rPr>
        <w:t xml:space="preserve"> có ) đảm bảo yêu cầu sử dụng của chủ đầu tư.</w:t>
      </w:r>
    </w:p>
    <w:p w14:paraId="27198956" w14:textId="77777777" w:rsidR="005F2545" w:rsidRPr="004D1049" w:rsidRDefault="005F2545" w:rsidP="005F2545">
      <w:pPr>
        <w:spacing w:after="200" w:line="276" w:lineRule="auto"/>
        <w:ind w:firstLine="709"/>
        <w:rPr>
          <w:sz w:val="28"/>
        </w:rPr>
      </w:pPr>
      <w:r w:rsidRPr="004D1049">
        <w:rPr>
          <w:sz w:val="28"/>
        </w:rPr>
        <w:t>- Giá hàng hoá đã bao gồm thuế, phí vận chuyển và tất cả các chi phí khác liên quan.</w:t>
      </w:r>
    </w:p>
    <w:p w14:paraId="19B67F63" w14:textId="77777777" w:rsidR="005F2545" w:rsidRPr="004D1049" w:rsidRDefault="005F2545" w:rsidP="005F2545">
      <w:pPr>
        <w:spacing w:after="200" w:line="276" w:lineRule="auto"/>
        <w:ind w:firstLine="709"/>
        <w:rPr>
          <w:sz w:val="28"/>
        </w:rPr>
      </w:pPr>
      <w:r w:rsidRPr="004D1049">
        <w:rPr>
          <w:sz w:val="28"/>
        </w:rPr>
        <w:t xml:space="preserve">- Nhà thầu chào hàng hoá phải đảm bảo ghi rõ mã kí hiệu </w:t>
      </w:r>
      <w:proofErr w:type="gramStart"/>
      <w:r w:rsidRPr="004D1049">
        <w:rPr>
          <w:sz w:val="28"/>
        </w:rPr>
        <w:t>( nhãn</w:t>
      </w:r>
      <w:proofErr w:type="gramEnd"/>
      <w:r w:rsidRPr="004D1049">
        <w:rPr>
          <w:sz w:val="28"/>
        </w:rPr>
        <w:t xml:space="preserve"> mác sản phẩm ), nguồn gốc, xuất xứ, hãng sản xuất và kèm theo catalog bản gốc thể hiện đầy đủ thông số kỹ thuật.</w:t>
      </w:r>
    </w:p>
    <w:p w14:paraId="0941B5F6" w14:textId="77777777" w:rsidR="005F2545" w:rsidRPr="004D1049" w:rsidRDefault="005F2545" w:rsidP="005F2545">
      <w:pPr>
        <w:spacing w:after="200" w:line="276" w:lineRule="auto"/>
        <w:ind w:firstLine="709"/>
        <w:rPr>
          <w:sz w:val="28"/>
        </w:rPr>
      </w:pPr>
      <w:r w:rsidRPr="004D1049">
        <w:rPr>
          <w:sz w:val="28"/>
        </w:rPr>
        <w:t>- Nhà thầu có thể dự thầu với thông số kỹ thuật khác có giá trị tương đương với thông số kỹ thuật trong E-HSMT của chủ đầu tư nhưng không được làm thay đổi nhu cầu sử dụng của chủ đầu tư về chất lượng hàng hoá.</w:t>
      </w:r>
    </w:p>
    <w:p w14:paraId="38EE4C4D" w14:textId="77777777" w:rsidR="005F2545" w:rsidRPr="004D1049" w:rsidRDefault="005F2545" w:rsidP="005F2545">
      <w:pPr>
        <w:spacing w:after="200" w:line="276" w:lineRule="auto"/>
        <w:ind w:firstLine="709"/>
        <w:rPr>
          <w:sz w:val="28"/>
        </w:rPr>
      </w:pPr>
      <w:r w:rsidRPr="004D1049">
        <w:rPr>
          <w:b/>
          <w:bCs/>
          <w:sz w:val="28"/>
        </w:rPr>
        <w:t>‘Tương đương’</w:t>
      </w:r>
      <w:r w:rsidRPr="004D1049">
        <w:rPr>
          <w:sz w:val="28"/>
        </w:rPr>
        <w:t>: có nghĩa là có đặc tính kỹ thuật tương tự, có tính năng sử dụng là tương đương với các hàng hoá đã nêu trên.</w:t>
      </w:r>
    </w:p>
    <w:p w14:paraId="28F1E6B6" w14:textId="77777777" w:rsidR="005F2545" w:rsidRPr="004D1049" w:rsidRDefault="005F2545" w:rsidP="005F2545">
      <w:pPr>
        <w:spacing w:after="200" w:line="276" w:lineRule="auto"/>
        <w:ind w:firstLine="709"/>
        <w:rPr>
          <w:sz w:val="28"/>
        </w:rPr>
      </w:pPr>
      <w:r w:rsidRPr="004D1049">
        <w:rPr>
          <w:sz w:val="28"/>
        </w:rPr>
        <w:t>Các yêu cầu khác trong mục chi tiết kĩ thuật, nhà thầu có thể dự thầu với thông số khác có giá trị tương đương hoặc tốt hơn nhưng không làm thay đổi nhu cầu sử dụng của chủ đầu từ về chất lượng hàng hoá.</w:t>
      </w:r>
    </w:p>
    <w:p w14:paraId="632CAB8F" w14:textId="77777777" w:rsidR="005F2545" w:rsidRPr="004D1049" w:rsidRDefault="005F2545" w:rsidP="005F2545">
      <w:pPr>
        <w:spacing w:after="200" w:line="276" w:lineRule="auto"/>
        <w:ind w:firstLine="709"/>
        <w:rPr>
          <w:sz w:val="28"/>
        </w:rPr>
      </w:pPr>
      <w:r w:rsidRPr="004D1049">
        <w:rPr>
          <w:sz w:val="28"/>
        </w:rPr>
        <w:lastRenderedPageBreak/>
        <w:t>- Nhà thầu cung cấp bảng mô tả của tất cả các hàng hoá chào thầu của nhà thầu.</w:t>
      </w:r>
    </w:p>
    <w:p w14:paraId="43BE65D0" w14:textId="77777777" w:rsidR="005F2545" w:rsidRPr="004D1049" w:rsidRDefault="005F2545" w:rsidP="005F2545">
      <w:pPr>
        <w:spacing w:after="200" w:line="276" w:lineRule="auto"/>
        <w:ind w:firstLine="709"/>
        <w:rPr>
          <w:sz w:val="28"/>
        </w:rPr>
      </w:pPr>
      <w:r w:rsidRPr="004D1049">
        <w:rPr>
          <w:sz w:val="28"/>
        </w:rPr>
        <w:t>- Trường hợp nhà thầu dự thầu với thông số kỹ thuật khác của bên mời thầu, nhà thầu phải có bảng đối chiếu so sánh thông số kỹ thuật chào thầu đảm bảo đáp ứng thông số kỹ thuật mời thầu và kèm theo giải trình để chứng minh thông số kỹ thuật là đáp ứng.</w:t>
      </w:r>
    </w:p>
    <w:p w14:paraId="7A54C6BC" w14:textId="77777777" w:rsidR="005F2545" w:rsidRPr="004D1049" w:rsidRDefault="005F2545" w:rsidP="005F2545">
      <w:pPr>
        <w:spacing w:after="200" w:line="276" w:lineRule="auto"/>
        <w:ind w:firstLine="709"/>
        <w:rPr>
          <w:sz w:val="28"/>
        </w:rPr>
      </w:pPr>
      <w:r w:rsidRPr="004D1049">
        <w:rPr>
          <w:sz w:val="28"/>
        </w:rPr>
        <w:t>- Nhà thầu phải đáp ứng về phạm vi cung cấp, yêu cầu về tiến độ cung cấp theo quy định tại E-HSMT.</w:t>
      </w:r>
    </w:p>
    <w:p w14:paraId="215902E6" w14:textId="77777777" w:rsidR="005F2545" w:rsidRPr="004D1049" w:rsidRDefault="005F2545" w:rsidP="005F2545">
      <w:pPr>
        <w:spacing w:after="200" w:line="276" w:lineRule="auto"/>
        <w:ind w:firstLine="709"/>
        <w:rPr>
          <w:sz w:val="28"/>
        </w:rPr>
      </w:pPr>
      <w:r w:rsidRPr="004D1049">
        <w:rPr>
          <w:sz w:val="28"/>
        </w:rPr>
        <w:t xml:space="preserve">- Hàng mới 100%. Hạn sử dụng còn lại của hàng hóa trúng thầu tính từ thời điểm cung ứng cho cơ sở y tế bảo đảm ít nhất </w:t>
      </w:r>
      <w:r>
        <w:rPr>
          <w:sz w:val="28"/>
        </w:rPr>
        <w:t xml:space="preserve">5 </w:t>
      </w:r>
      <w:r w:rsidRPr="004D1049">
        <w:rPr>
          <w:sz w:val="28"/>
        </w:rPr>
        <w:t>năm.</w:t>
      </w:r>
    </w:p>
    <w:p w14:paraId="6ED0FAE8" w14:textId="77777777" w:rsidR="005F2545" w:rsidRPr="004D1049" w:rsidRDefault="005F2545" w:rsidP="005F2545">
      <w:pPr>
        <w:spacing w:after="200" w:line="276" w:lineRule="auto"/>
        <w:ind w:firstLine="709"/>
        <w:rPr>
          <w:sz w:val="28"/>
        </w:rPr>
      </w:pPr>
      <w:r w:rsidRPr="004D1049">
        <w:rPr>
          <w:sz w:val="28"/>
        </w:rPr>
        <w:t>- Hàng hóa phải được đóng gói theo đúng quy cách của Nhà sản xuất và không bị hư hỏng, nứt vỡ, biến dạng trong quá trình giao hàng. Nhà thầu chịu chi phí vận chuyển hàng, bốc xếp; chi phí trả lại hàng (nếu hàng hóa không đạt yêu cầu).</w:t>
      </w:r>
    </w:p>
    <w:p w14:paraId="62368FD0" w14:textId="77777777" w:rsidR="005F2545" w:rsidRPr="004D1049" w:rsidRDefault="005F2545" w:rsidP="005F2545">
      <w:pPr>
        <w:spacing w:after="200" w:line="276" w:lineRule="auto"/>
        <w:ind w:firstLine="709"/>
        <w:rPr>
          <w:sz w:val="28"/>
        </w:rPr>
      </w:pPr>
      <w:r w:rsidRPr="004D1049">
        <w:rPr>
          <w:sz w:val="28"/>
        </w:rPr>
        <w:t>- Tài liệu chứng minh tính hợp lệ của hàng hóa trong HSDT theo quy định.</w:t>
      </w:r>
    </w:p>
    <w:p w14:paraId="62381060" w14:textId="77777777" w:rsidR="005F2545" w:rsidRPr="004D1049" w:rsidRDefault="005F2545" w:rsidP="005F2545">
      <w:pPr>
        <w:spacing w:after="200" w:line="276" w:lineRule="auto"/>
        <w:ind w:firstLine="709"/>
        <w:rPr>
          <w:sz w:val="28"/>
        </w:rPr>
      </w:pPr>
      <w:r w:rsidRPr="004D1049">
        <w:rPr>
          <w:sz w:val="28"/>
        </w:rPr>
        <w:t>- Nhà thầu phải thu hồi và giải quyết những phát sinh liên quan đến hàng hóa trong trường hợp hàng hóa đã giao nhưng không đảm bảo chất lượng hoặc có thông báo thu hồi của cơ quan có thẩm quyền mà nguyên nhân không do lỗi của bên mua.</w:t>
      </w:r>
    </w:p>
    <w:p w14:paraId="1BD92FB5" w14:textId="77777777" w:rsidR="005F2545" w:rsidRPr="004D1049" w:rsidRDefault="005F2545" w:rsidP="005F2545">
      <w:pPr>
        <w:spacing w:before="120" w:after="120" w:line="264" w:lineRule="auto"/>
        <w:ind w:firstLine="709"/>
        <w:rPr>
          <w:b/>
          <w:i/>
          <w:sz w:val="28"/>
          <w:szCs w:val="28"/>
          <w:lang w:val="nl-NL"/>
        </w:rPr>
      </w:pPr>
      <w:r w:rsidRPr="004D1049">
        <w:rPr>
          <w:b/>
          <w:i/>
          <w:sz w:val="28"/>
          <w:szCs w:val="28"/>
          <w:lang w:val="nl-NL"/>
        </w:rPr>
        <w:t>1.3. Các yêu cầu khác</w:t>
      </w:r>
    </w:p>
    <w:p w14:paraId="7607FDC1" w14:textId="77777777" w:rsidR="005F2545" w:rsidRPr="004D1049" w:rsidRDefault="005F2545" w:rsidP="005F2545">
      <w:pPr>
        <w:spacing w:after="200" w:line="276" w:lineRule="auto"/>
        <w:ind w:firstLine="709"/>
        <w:rPr>
          <w:sz w:val="28"/>
        </w:rPr>
      </w:pPr>
      <w:r w:rsidRPr="004D1049">
        <w:rPr>
          <w:sz w:val="28"/>
        </w:rPr>
        <w:t>- Nhà thầu cam kết trong vòng 48 giờ kể từ thời điểm nhận được thông tin của Chủ đầu tư/Bên mua, nhà thầu phải tiến hành sửa chữa, khắc phục sai sót hoặc thu hồi hàng hóa bị lỗi, cung ứng hàng hóa thay thế đáp ứng tiêu chuẩn kỹ thuật và tiêu chuẩn chất lượng, đảm bảo giá cả không thay đổi. Đồng thời giải quyết những phát sinh liên quan đến hàng hóa khi có quyết định thu hồi của cơ quan quản lý, lỗi liên quan đến chất lượng.</w:t>
      </w:r>
    </w:p>
    <w:p w14:paraId="2B9ECE80" w14:textId="77777777" w:rsidR="005F2545" w:rsidRPr="004D1049" w:rsidRDefault="005F2545" w:rsidP="005F2545">
      <w:pPr>
        <w:pStyle w:val="SectionVIHeader"/>
        <w:spacing w:after="120" w:line="264" w:lineRule="auto"/>
        <w:ind w:firstLine="709"/>
        <w:jc w:val="left"/>
        <w:rPr>
          <w:sz w:val="28"/>
          <w:szCs w:val="28"/>
          <w:lang w:val="nl-NL"/>
        </w:rPr>
      </w:pPr>
      <w:r w:rsidRPr="004D1049">
        <w:rPr>
          <w:sz w:val="28"/>
          <w:szCs w:val="28"/>
          <w:lang w:val="nl-NL"/>
        </w:rPr>
        <w:t xml:space="preserve">Mục 2. Bản vẽ: </w:t>
      </w:r>
      <w:r w:rsidRPr="004D1049">
        <w:rPr>
          <w:b w:val="0"/>
          <w:bCs/>
          <w:sz w:val="28"/>
          <w:szCs w:val="28"/>
          <w:lang w:val="nl-NL"/>
        </w:rPr>
        <w:t>Không yêu cầu</w:t>
      </w:r>
    </w:p>
    <w:p w14:paraId="0664C1DF" w14:textId="77777777" w:rsidR="005F2545" w:rsidRPr="004D1049" w:rsidRDefault="005F2545" w:rsidP="005F2545">
      <w:pPr>
        <w:pStyle w:val="SectionVIHeader"/>
        <w:widowControl w:val="0"/>
        <w:spacing w:after="120" w:line="264" w:lineRule="auto"/>
        <w:ind w:firstLine="709"/>
        <w:jc w:val="left"/>
        <w:rPr>
          <w:sz w:val="32"/>
          <w:szCs w:val="32"/>
        </w:rPr>
      </w:pPr>
      <w:r w:rsidRPr="004D1049">
        <w:rPr>
          <w:sz w:val="28"/>
        </w:rPr>
        <w:t>Mục 3. Kiểm tra và thử nghiệm</w:t>
      </w:r>
    </w:p>
    <w:p w14:paraId="626E326B" w14:textId="77777777" w:rsidR="005F2545" w:rsidRPr="004D1049" w:rsidRDefault="005F2545" w:rsidP="005F2545">
      <w:pPr>
        <w:spacing w:after="200" w:line="276" w:lineRule="auto"/>
        <w:ind w:firstLine="709"/>
        <w:rPr>
          <w:sz w:val="28"/>
        </w:rPr>
      </w:pPr>
      <w:r w:rsidRPr="004D1049">
        <w:rPr>
          <w:sz w:val="28"/>
        </w:rPr>
        <w:lastRenderedPageBreak/>
        <w:t xml:space="preserve">Các kiểm tra và thử nghiệm cần tiến hành gồm có: </w:t>
      </w:r>
    </w:p>
    <w:p w14:paraId="38912BBB" w14:textId="77777777" w:rsidR="005F2545" w:rsidRPr="004D1049" w:rsidRDefault="005F2545" w:rsidP="005F2545">
      <w:pPr>
        <w:spacing w:after="200" w:line="276" w:lineRule="auto"/>
        <w:ind w:firstLine="709"/>
        <w:rPr>
          <w:sz w:val="28"/>
        </w:rPr>
      </w:pPr>
      <w:r w:rsidRPr="004D1049">
        <w:rPr>
          <w:sz w:val="28"/>
        </w:rPr>
        <w:t>- Kiểm tra tính phù hợp hàng hóa được giao so với đơn hàng gọi, có biên bản ký nhận giữa bên giao và bên nhận.</w:t>
      </w:r>
    </w:p>
    <w:p w14:paraId="34477E40" w14:textId="77777777" w:rsidR="005F2545" w:rsidRPr="004D1049" w:rsidRDefault="005F2545" w:rsidP="005F2545">
      <w:pPr>
        <w:spacing w:after="200" w:line="276" w:lineRule="auto"/>
        <w:ind w:firstLine="709"/>
        <w:rPr>
          <w:sz w:val="28"/>
        </w:rPr>
      </w:pPr>
      <w:r w:rsidRPr="004D1049">
        <w:rPr>
          <w:sz w:val="28"/>
        </w:rPr>
        <w:t>- Kiểm tra có biên bản ghi nhận hàng hóa giao thừa, thiếu.</w:t>
      </w:r>
    </w:p>
    <w:p w14:paraId="35C32482" w14:textId="77777777" w:rsidR="005F2545" w:rsidRPr="004D1049" w:rsidRDefault="005F2545" w:rsidP="005F2545">
      <w:pPr>
        <w:spacing w:after="200" w:line="276" w:lineRule="auto"/>
        <w:ind w:firstLine="709"/>
        <w:rPr>
          <w:sz w:val="28"/>
        </w:rPr>
      </w:pPr>
      <w:r w:rsidRPr="004D1049">
        <w:rPr>
          <w:sz w:val="28"/>
        </w:rPr>
        <w:t>- Kiểm tra Phiếu kiểm nghiệm chất lượng hàng hóa khi giao hàng.</w:t>
      </w:r>
    </w:p>
    <w:p w14:paraId="1A5C5F1A" w14:textId="77777777" w:rsidR="005F2545" w:rsidRPr="004D1049" w:rsidRDefault="005F2545" w:rsidP="005F2545">
      <w:pPr>
        <w:spacing w:after="200" w:line="276" w:lineRule="auto"/>
        <w:ind w:firstLine="709"/>
        <w:rPr>
          <w:sz w:val="28"/>
        </w:rPr>
      </w:pPr>
      <w:r w:rsidRPr="004D1049">
        <w:rPr>
          <w:sz w:val="28"/>
        </w:rPr>
        <w:t>- Kiểm tra chất lượng hàng hóa về mặt cảm quan.</w:t>
      </w:r>
    </w:p>
    <w:p w14:paraId="64B9340C" w14:textId="77777777" w:rsidR="005F2545" w:rsidRPr="004D1049" w:rsidRDefault="005F2545" w:rsidP="005F2545">
      <w:pPr>
        <w:spacing w:after="200" w:line="276" w:lineRule="auto"/>
        <w:ind w:firstLine="709"/>
        <w:rPr>
          <w:sz w:val="28"/>
        </w:rPr>
      </w:pPr>
      <w:r w:rsidRPr="004D1049">
        <w:rPr>
          <w:sz w:val="28"/>
        </w:rPr>
        <w:t>- Khi có nghi ngờ về chất lượng hàng hóa cung cấp.</w:t>
      </w:r>
    </w:p>
    <w:p w14:paraId="300E94C4" w14:textId="77777777" w:rsidR="005F2545" w:rsidRPr="004D1049" w:rsidRDefault="005F2545" w:rsidP="005F2545">
      <w:pPr>
        <w:spacing w:after="200" w:line="276" w:lineRule="auto"/>
        <w:ind w:firstLine="709"/>
        <w:rPr>
          <w:i/>
          <w:iCs/>
          <w:sz w:val="28"/>
        </w:rPr>
      </w:pPr>
    </w:p>
    <w:p w14:paraId="3A6DE5F7" w14:textId="77777777" w:rsidR="005F2545" w:rsidRPr="004D1049" w:rsidRDefault="005F2545" w:rsidP="005F2545">
      <w:pPr>
        <w:spacing w:after="200" w:line="276" w:lineRule="auto"/>
        <w:ind w:firstLine="709"/>
        <w:jc w:val="left"/>
        <w:rPr>
          <w:i/>
          <w:iCs/>
          <w:sz w:val="28"/>
        </w:rPr>
      </w:pPr>
    </w:p>
    <w:p w14:paraId="251C0881" w14:textId="77777777" w:rsidR="005F2545" w:rsidRPr="004D1049" w:rsidRDefault="005F2545" w:rsidP="005F2545">
      <w:pPr>
        <w:spacing w:after="200" w:line="276" w:lineRule="auto"/>
        <w:ind w:firstLine="709"/>
        <w:jc w:val="left"/>
        <w:rPr>
          <w:i/>
          <w:iCs/>
          <w:sz w:val="28"/>
        </w:rPr>
      </w:pPr>
    </w:p>
    <w:p w14:paraId="3F7EF330" w14:textId="77777777" w:rsidR="005F2545" w:rsidRPr="004D1049" w:rsidRDefault="005F2545" w:rsidP="005F2545">
      <w:pPr>
        <w:spacing w:after="200" w:line="276" w:lineRule="auto"/>
        <w:ind w:firstLine="709"/>
        <w:jc w:val="left"/>
        <w:rPr>
          <w:i/>
          <w:iCs/>
          <w:sz w:val="28"/>
        </w:rPr>
      </w:pPr>
    </w:p>
    <w:p w14:paraId="0444465E" w14:textId="77777777" w:rsidR="005F2545" w:rsidRPr="004D1049" w:rsidRDefault="005F2545" w:rsidP="005F2545">
      <w:pPr>
        <w:spacing w:after="200" w:line="276" w:lineRule="auto"/>
        <w:ind w:firstLine="709"/>
        <w:jc w:val="left"/>
        <w:rPr>
          <w:i/>
          <w:iCs/>
          <w:sz w:val="28"/>
        </w:rPr>
      </w:pPr>
    </w:p>
    <w:p w14:paraId="4A4C3407" w14:textId="77777777" w:rsidR="005F2545" w:rsidRDefault="005F2545" w:rsidP="005F2545">
      <w:pPr>
        <w:spacing w:after="200" w:line="276" w:lineRule="auto"/>
        <w:ind w:firstLine="709"/>
        <w:jc w:val="left"/>
        <w:rPr>
          <w:i/>
          <w:iCs/>
          <w:sz w:val="28"/>
        </w:rPr>
      </w:pPr>
    </w:p>
    <w:p w14:paraId="6874CD01" w14:textId="77777777" w:rsidR="005F2545" w:rsidRDefault="005F2545" w:rsidP="005F2545">
      <w:pPr>
        <w:spacing w:after="200" w:line="276" w:lineRule="auto"/>
        <w:ind w:firstLine="709"/>
        <w:jc w:val="left"/>
        <w:rPr>
          <w:i/>
          <w:iCs/>
          <w:sz w:val="28"/>
        </w:rPr>
      </w:pPr>
    </w:p>
    <w:p w14:paraId="63E97EBF" w14:textId="77777777" w:rsidR="005F2545" w:rsidRDefault="005F2545" w:rsidP="005F2545">
      <w:pPr>
        <w:spacing w:after="200" w:line="276" w:lineRule="auto"/>
        <w:ind w:firstLine="709"/>
        <w:jc w:val="left"/>
        <w:rPr>
          <w:i/>
          <w:iCs/>
          <w:sz w:val="28"/>
        </w:rPr>
      </w:pPr>
    </w:p>
    <w:p w14:paraId="0FB047FF" w14:textId="77777777" w:rsidR="005F2545" w:rsidRDefault="005F2545" w:rsidP="005F2545">
      <w:pPr>
        <w:spacing w:after="200" w:line="276" w:lineRule="auto"/>
        <w:ind w:firstLine="709"/>
        <w:jc w:val="left"/>
        <w:rPr>
          <w:i/>
          <w:iCs/>
          <w:sz w:val="28"/>
        </w:rPr>
      </w:pPr>
    </w:p>
    <w:p w14:paraId="78C6B69C" w14:textId="77777777" w:rsidR="005F2545" w:rsidRDefault="005F2545" w:rsidP="005F2545">
      <w:pPr>
        <w:spacing w:after="200" w:line="276" w:lineRule="auto"/>
        <w:ind w:firstLine="709"/>
        <w:jc w:val="left"/>
        <w:rPr>
          <w:i/>
          <w:iCs/>
          <w:sz w:val="28"/>
        </w:rPr>
      </w:pPr>
    </w:p>
    <w:sectPr w:rsidR="005F2545" w:rsidSect="005F2545">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D89"/>
    <w:multiLevelType w:val="multilevel"/>
    <w:tmpl w:val="AE5C7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D2D67"/>
    <w:multiLevelType w:val="multilevel"/>
    <w:tmpl w:val="F93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45E04"/>
    <w:multiLevelType w:val="multilevel"/>
    <w:tmpl w:val="020A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F453A"/>
    <w:multiLevelType w:val="multilevel"/>
    <w:tmpl w:val="E548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00D6"/>
    <w:multiLevelType w:val="multilevel"/>
    <w:tmpl w:val="9EB4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B7A16"/>
    <w:multiLevelType w:val="multilevel"/>
    <w:tmpl w:val="C9E6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43376"/>
    <w:multiLevelType w:val="multilevel"/>
    <w:tmpl w:val="C888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B67B1"/>
    <w:multiLevelType w:val="multilevel"/>
    <w:tmpl w:val="7672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2025A"/>
    <w:multiLevelType w:val="multilevel"/>
    <w:tmpl w:val="D42E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72D5B"/>
    <w:multiLevelType w:val="multilevel"/>
    <w:tmpl w:val="650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55C00"/>
    <w:multiLevelType w:val="multilevel"/>
    <w:tmpl w:val="688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5992"/>
    <w:multiLevelType w:val="multilevel"/>
    <w:tmpl w:val="E2A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27174"/>
    <w:multiLevelType w:val="multilevel"/>
    <w:tmpl w:val="A0DE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02A03"/>
    <w:multiLevelType w:val="multilevel"/>
    <w:tmpl w:val="FEF4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E0877"/>
    <w:multiLevelType w:val="multilevel"/>
    <w:tmpl w:val="CFAE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000684"/>
    <w:multiLevelType w:val="multilevel"/>
    <w:tmpl w:val="3ED2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31517">
    <w:abstractNumId w:val="5"/>
  </w:num>
  <w:num w:numId="2" w16cid:durableId="780681543">
    <w:abstractNumId w:val="15"/>
  </w:num>
  <w:num w:numId="3" w16cid:durableId="2141997088">
    <w:abstractNumId w:val="11"/>
  </w:num>
  <w:num w:numId="4" w16cid:durableId="764543783">
    <w:abstractNumId w:val="0"/>
  </w:num>
  <w:num w:numId="5" w16cid:durableId="585505351">
    <w:abstractNumId w:val="3"/>
  </w:num>
  <w:num w:numId="6" w16cid:durableId="1121651273">
    <w:abstractNumId w:val="6"/>
  </w:num>
  <w:num w:numId="7" w16cid:durableId="1130249377">
    <w:abstractNumId w:val="8"/>
  </w:num>
  <w:num w:numId="8" w16cid:durableId="818376330">
    <w:abstractNumId w:val="10"/>
  </w:num>
  <w:num w:numId="9" w16cid:durableId="1159271971">
    <w:abstractNumId w:val="1"/>
  </w:num>
  <w:num w:numId="10" w16cid:durableId="1788236825">
    <w:abstractNumId w:val="12"/>
  </w:num>
  <w:num w:numId="11" w16cid:durableId="2048677833">
    <w:abstractNumId w:val="7"/>
  </w:num>
  <w:num w:numId="12" w16cid:durableId="318774156">
    <w:abstractNumId w:val="2"/>
  </w:num>
  <w:num w:numId="13" w16cid:durableId="1877035312">
    <w:abstractNumId w:val="13"/>
  </w:num>
  <w:num w:numId="14" w16cid:durableId="1962608945">
    <w:abstractNumId w:val="9"/>
  </w:num>
  <w:num w:numId="15" w16cid:durableId="1063606059">
    <w:abstractNumId w:val="14"/>
  </w:num>
  <w:num w:numId="16" w16cid:durableId="2119369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45"/>
    <w:rsid w:val="0033015A"/>
    <w:rsid w:val="005F2545"/>
    <w:rsid w:val="00827302"/>
    <w:rsid w:val="00911EF7"/>
    <w:rsid w:val="00A922CC"/>
    <w:rsid w:val="00B349FD"/>
    <w:rsid w:val="00E5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F1C9"/>
  <w15:chartTrackingRefBased/>
  <w15:docId w15:val="{521E1E94-8454-4F23-B225-0918CE93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4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F2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5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5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25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25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25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25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25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5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5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25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25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25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25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25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2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2545"/>
    <w:pPr>
      <w:spacing w:before="160"/>
      <w:jc w:val="center"/>
    </w:pPr>
    <w:rPr>
      <w:i/>
      <w:iCs/>
      <w:color w:val="404040" w:themeColor="text1" w:themeTint="BF"/>
    </w:rPr>
  </w:style>
  <w:style w:type="character" w:customStyle="1" w:styleId="QuoteChar">
    <w:name w:val="Quote Char"/>
    <w:basedOn w:val="DefaultParagraphFont"/>
    <w:link w:val="Quote"/>
    <w:uiPriority w:val="29"/>
    <w:rsid w:val="005F2545"/>
    <w:rPr>
      <w:i/>
      <w:iCs/>
      <w:color w:val="404040" w:themeColor="text1" w:themeTint="BF"/>
    </w:rPr>
  </w:style>
  <w:style w:type="paragraph" w:styleId="ListParagraph">
    <w:name w:val="List Paragraph"/>
    <w:basedOn w:val="Normal"/>
    <w:uiPriority w:val="34"/>
    <w:qFormat/>
    <w:rsid w:val="005F2545"/>
    <w:pPr>
      <w:ind w:left="720"/>
      <w:contextualSpacing/>
    </w:pPr>
  </w:style>
  <w:style w:type="character" w:styleId="IntenseEmphasis">
    <w:name w:val="Intense Emphasis"/>
    <w:basedOn w:val="DefaultParagraphFont"/>
    <w:uiPriority w:val="21"/>
    <w:qFormat/>
    <w:rsid w:val="005F2545"/>
    <w:rPr>
      <w:i/>
      <w:iCs/>
      <w:color w:val="0F4761" w:themeColor="accent1" w:themeShade="BF"/>
    </w:rPr>
  </w:style>
  <w:style w:type="paragraph" w:styleId="IntenseQuote">
    <w:name w:val="Intense Quote"/>
    <w:basedOn w:val="Normal"/>
    <w:next w:val="Normal"/>
    <w:link w:val="IntenseQuoteChar"/>
    <w:uiPriority w:val="30"/>
    <w:qFormat/>
    <w:rsid w:val="005F2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545"/>
    <w:rPr>
      <w:i/>
      <w:iCs/>
      <w:color w:val="0F4761" w:themeColor="accent1" w:themeShade="BF"/>
    </w:rPr>
  </w:style>
  <w:style w:type="character" w:styleId="IntenseReference">
    <w:name w:val="Intense Reference"/>
    <w:basedOn w:val="DefaultParagraphFont"/>
    <w:uiPriority w:val="32"/>
    <w:qFormat/>
    <w:rsid w:val="005F2545"/>
    <w:rPr>
      <w:b/>
      <w:bCs/>
      <w:smallCaps/>
      <w:color w:val="0F4761" w:themeColor="accent1" w:themeShade="BF"/>
      <w:spacing w:val="5"/>
    </w:rPr>
  </w:style>
  <w:style w:type="paragraph" w:customStyle="1" w:styleId="SectionVIHeader">
    <w:name w:val="Section VI. Header"/>
    <w:basedOn w:val="Normal"/>
    <w:rsid w:val="005F254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2026-04-10T03:26:00Z</dcterms:created>
  <dcterms:modified xsi:type="dcterms:W3CDTF">2026-04-10T03:27:00Z</dcterms:modified>
</cp:coreProperties>
</file>