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40" w:rsidRPr="00FF0F40" w:rsidRDefault="00FF0F40" w:rsidP="00FF0F40">
      <w:pPr>
        <w:spacing w:before="120" w:after="120" w:line="240" w:lineRule="auto"/>
        <w:ind w:firstLine="709"/>
        <w:jc w:val="both"/>
        <w:outlineLvl w:val="1"/>
        <w:rPr>
          <w:rFonts w:ascii="Times New Roman" w:eastAsia="MS Mincho" w:hAnsi="Times New Roman" w:cs="Times New Roman"/>
          <w:b/>
          <w:color w:val="000000"/>
          <w:sz w:val="24"/>
          <w:szCs w:val="24"/>
          <w:lang w:val="vi-VN" w:eastAsia="vi-VN"/>
        </w:rPr>
      </w:pPr>
      <w:r w:rsidRPr="00FF0F40">
        <w:rPr>
          <w:rFonts w:ascii="Times New Roman" w:eastAsia="Times New Roman" w:hAnsi="Times New Roman" w:cs="Times New Roman"/>
          <w:b/>
          <w:bCs/>
          <w:color w:val="000000"/>
          <w:sz w:val="28"/>
          <w:szCs w:val="28"/>
          <w:lang w:val="vi-VN"/>
        </w:rPr>
        <w:t xml:space="preserve">Mục </w:t>
      </w:r>
      <w:r w:rsidRPr="00FF0F40">
        <w:rPr>
          <w:rFonts w:ascii="Times New Roman" w:eastAsia="Times New Roman" w:hAnsi="Times New Roman" w:cs="Times New Roman"/>
          <w:b/>
          <w:bCs/>
          <w:color w:val="000000"/>
          <w:sz w:val="28"/>
          <w:szCs w:val="28"/>
          <w:lang w:val="pl-PL"/>
        </w:rPr>
        <w:t>3</w:t>
      </w:r>
      <w:r w:rsidRPr="00FF0F40">
        <w:rPr>
          <w:rFonts w:ascii="Times New Roman" w:eastAsia="Times New Roman" w:hAnsi="Times New Roman" w:cs="Times New Roman"/>
          <w:b/>
          <w:bCs/>
          <w:color w:val="000000"/>
          <w:sz w:val="28"/>
          <w:szCs w:val="28"/>
          <w:lang w:val="vi-VN"/>
        </w:rPr>
        <w:t>. Tiêu chuẩn đánh giá về kỹ thuật</w:t>
      </w:r>
      <w:r w:rsidRPr="00FF0F40">
        <w:rPr>
          <w:rFonts w:ascii="Times New Roman" w:eastAsia="MS Mincho" w:hAnsi="Times New Roman" w:cs="Times New Roman"/>
          <w:b/>
          <w:color w:val="000000"/>
          <w:sz w:val="24"/>
          <w:szCs w:val="24"/>
          <w:lang w:val="vi-VN" w:eastAsia="vi-VN"/>
        </w:rPr>
        <w:t xml:space="preserve"> </w:t>
      </w:r>
    </w:p>
    <w:p w:rsidR="00FF0F40" w:rsidRPr="00FF0F40" w:rsidRDefault="00FF0F40" w:rsidP="00FF0F40">
      <w:pPr>
        <w:spacing w:before="120" w:after="120" w:line="240" w:lineRule="auto"/>
        <w:ind w:firstLine="709"/>
        <w:jc w:val="both"/>
        <w:rPr>
          <w:rFonts w:ascii="Times New Roman" w:eastAsia="Times New Roman" w:hAnsi="Times New Roman" w:cs="Times New Roman"/>
          <w:color w:val="000000"/>
          <w:spacing w:val="2"/>
          <w:sz w:val="28"/>
          <w:szCs w:val="28"/>
          <w:lang w:val="vi-VN"/>
        </w:rPr>
      </w:pPr>
      <w:bookmarkStart w:id="0" w:name="_Hlk99723051"/>
      <w:r w:rsidRPr="00FF0F40">
        <w:rPr>
          <w:rFonts w:ascii="Times New Roman" w:eastAsia="Times New Roman" w:hAnsi="Times New Roman" w:cs="Times New Roman"/>
          <w:color w:val="000000"/>
          <w:spacing w:val="2"/>
          <w:sz w:val="28"/>
          <w:szCs w:val="28"/>
          <w:lang w:val="vi-VN"/>
        </w:rPr>
        <w:t xml:space="preserve">Sử dụng phương pháp chấm điểm để xây dựng tiêu chuẩn đánh giá về kỹ thuật. </w:t>
      </w:r>
    </w:p>
    <w:p w:rsidR="00FF0F40" w:rsidRPr="00FF0F40" w:rsidRDefault="00FF0F40" w:rsidP="00FF0F40">
      <w:pPr>
        <w:spacing w:before="120" w:after="120" w:line="240" w:lineRule="auto"/>
        <w:jc w:val="both"/>
        <w:rPr>
          <w:rFonts w:ascii="Times New Roman" w:eastAsia="Times New Roman" w:hAnsi="Times New Roman" w:cs="Times New Roman"/>
          <w:b/>
          <w:iCs/>
          <w:color w:val="000000"/>
          <w:sz w:val="28"/>
          <w:szCs w:val="28"/>
          <w:lang w:val="vi-VN"/>
        </w:rPr>
      </w:pPr>
      <w:r w:rsidRPr="00FF0F40">
        <w:rPr>
          <w:rFonts w:ascii="Times New Roman" w:eastAsia="Times New Roman" w:hAnsi="Times New Roman" w:cs="Times New Roman"/>
          <w:b/>
          <w:color w:val="000000"/>
          <w:sz w:val="28"/>
          <w:szCs w:val="28"/>
          <w:lang w:val="pl-PL"/>
        </w:rPr>
        <w:tab/>
      </w:r>
      <w:bookmarkEnd w:id="0"/>
      <w:r w:rsidRPr="00FF0F40">
        <w:rPr>
          <w:rFonts w:ascii="Times New Roman" w:eastAsia="Times New Roman" w:hAnsi="Times New Roman" w:cs="Times New Roman"/>
          <w:b/>
          <w:color w:val="000000"/>
          <w:sz w:val="28"/>
          <w:szCs w:val="28"/>
          <w:lang w:val="pl-PL"/>
        </w:rPr>
        <w:t xml:space="preserve">3.1. Đánh giá theo </w:t>
      </w:r>
      <w:r w:rsidRPr="00FF0F40">
        <w:rPr>
          <w:rFonts w:ascii="Times New Roman" w:eastAsia="Times New Roman" w:hAnsi="Times New Roman" w:cs="Times New Roman"/>
          <w:b/>
          <w:iCs/>
          <w:color w:val="000000"/>
          <w:sz w:val="28"/>
          <w:szCs w:val="28"/>
          <w:lang w:val="vi-VN"/>
        </w:rPr>
        <w:t>phương pháp chấm điểm:</w:t>
      </w:r>
    </w:p>
    <w:p w:rsidR="00FF0F40" w:rsidRPr="00FF0F40" w:rsidRDefault="00FF0F40" w:rsidP="00FF0F40">
      <w:pPr>
        <w:spacing w:after="0" w:line="240" w:lineRule="auto"/>
        <w:rPr>
          <w:rFonts w:ascii="Times New Roman" w:eastAsia="Times New Roman" w:hAnsi="Times New Roman" w:cs="Times New Roman"/>
          <w:color w:val="000000"/>
          <w:sz w:val="28"/>
          <w:szCs w:val="20"/>
        </w:rPr>
      </w:pPr>
      <w:r w:rsidRPr="00FF0F40">
        <w:rPr>
          <w:rFonts w:ascii="Times New Roman" w:eastAsia="Times New Roman" w:hAnsi="Times New Roman" w:cs="Times New Roman"/>
          <w:color w:val="000000"/>
          <w:sz w:val="28"/>
          <w:szCs w:val="20"/>
        </w:rPr>
        <w:t xml:space="preserve">E-HSDT được đánh giá là đạt yêu cầu về kỹ thuật và được tiếp tục xem xét về tài chính khi và chỉ khi: </w:t>
      </w:r>
    </w:p>
    <w:p w:rsidR="00FF0F40" w:rsidRPr="00FF0F40" w:rsidRDefault="00FF0F40" w:rsidP="00FF0F40">
      <w:pPr>
        <w:spacing w:after="0" w:line="240" w:lineRule="auto"/>
        <w:ind w:firstLine="567"/>
        <w:rPr>
          <w:rFonts w:ascii="Times New Roman" w:eastAsia="Times New Roman" w:hAnsi="Times New Roman" w:cs="Times New Roman"/>
          <w:color w:val="000000"/>
          <w:sz w:val="28"/>
          <w:szCs w:val="20"/>
        </w:rPr>
      </w:pPr>
      <w:r w:rsidRPr="00FF0F40">
        <w:rPr>
          <w:rFonts w:ascii="Times New Roman" w:eastAsia="Times New Roman" w:hAnsi="Times New Roman" w:cs="Times New Roman"/>
          <w:color w:val="000000"/>
          <w:sz w:val="28"/>
          <w:szCs w:val="20"/>
        </w:rPr>
        <w:t>1. Có tổng số điểm về kỹ thuật không thấp hơn 70 điểm.</w:t>
      </w:r>
    </w:p>
    <w:p w:rsidR="00FF0F40" w:rsidRPr="00FF0F40" w:rsidRDefault="00FF0F40" w:rsidP="00FF0F40">
      <w:pPr>
        <w:spacing w:after="0" w:line="240" w:lineRule="auto"/>
        <w:ind w:firstLine="567"/>
        <w:rPr>
          <w:rFonts w:ascii="Times New Roman" w:eastAsia="Times New Roman" w:hAnsi="Times New Roman" w:cs="Times New Roman"/>
          <w:color w:val="000000"/>
          <w:sz w:val="28"/>
          <w:szCs w:val="20"/>
        </w:rPr>
      </w:pPr>
      <w:r w:rsidRPr="00FF0F40">
        <w:rPr>
          <w:rFonts w:ascii="Times New Roman" w:eastAsia="Times New Roman" w:hAnsi="Times New Roman" w:cs="Times New Roman"/>
          <w:color w:val="000000"/>
          <w:sz w:val="28"/>
          <w:szCs w:val="20"/>
        </w:rPr>
        <w:t>2. Có số điểm bằng hoặc vượt mức điểm yêu cầu tối thiểu của tiêu chí tổng quát.</w:t>
      </w:r>
    </w:p>
    <w:p w:rsidR="00FF0F40" w:rsidRPr="00FF0F40" w:rsidRDefault="00FF0F40" w:rsidP="00FF0F40">
      <w:pPr>
        <w:spacing w:after="0" w:line="240" w:lineRule="auto"/>
        <w:ind w:firstLine="567"/>
        <w:rPr>
          <w:rFonts w:ascii="Times New Roman" w:eastAsia="Times New Roman" w:hAnsi="Times New Roman" w:cs="Times New Roman"/>
          <w:color w:val="000000"/>
          <w:sz w:val="28"/>
          <w:szCs w:val="20"/>
        </w:rPr>
      </w:pPr>
      <w:r w:rsidRPr="00FF0F40">
        <w:rPr>
          <w:rFonts w:ascii="Times New Roman" w:eastAsia="Times New Roman" w:hAnsi="Times New Roman" w:cs="Times New Roman"/>
          <w:color w:val="000000"/>
          <w:sz w:val="28"/>
          <w:szCs w:val="20"/>
        </w:rPr>
        <w:t>3. Có số điểm bằng hoặc vượt mức điểm yêu cầu tối thiểu của từng tiêu chí chi tiết cơ bản.</w:t>
      </w:r>
    </w:p>
    <w:p w:rsidR="00FF0F40" w:rsidRPr="00FF0F40" w:rsidRDefault="00FF0F40" w:rsidP="00FF0F40">
      <w:pPr>
        <w:spacing w:after="0" w:line="240" w:lineRule="auto"/>
        <w:rPr>
          <w:rFonts w:ascii="Times New Roman" w:eastAsia="Times New Roman" w:hAnsi="Times New Roman" w:cs="Times New Roman"/>
          <w:color w:val="000000"/>
          <w:sz w:val="28"/>
          <w:szCs w:val="20"/>
        </w:rPr>
      </w:pPr>
    </w:p>
    <w:tbl>
      <w:tblPr>
        <w:tblW w:w="9265" w:type="dxa"/>
        <w:tblLook w:val="04A0" w:firstRow="1" w:lastRow="0" w:firstColumn="1" w:lastColumn="0" w:noHBand="0" w:noVBand="1"/>
      </w:tblPr>
      <w:tblGrid>
        <w:gridCol w:w="746"/>
        <w:gridCol w:w="5279"/>
        <w:gridCol w:w="1530"/>
        <w:gridCol w:w="1710"/>
      </w:tblGrid>
      <w:tr w:rsidR="00FF0F40" w:rsidRPr="00FF0F40" w:rsidTr="00140074">
        <w:trPr>
          <w:trHeight w:val="6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STT</w:t>
            </w:r>
          </w:p>
        </w:tc>
        <w:tc>
          <w:tcPr>
            <w:tcW w:w="5321" w:type="dxa"/>
            <w:tcBorders>
              <w:top w:val="single" w:sz="4" w:space="0" w:color="auto"/>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Nội dung đánh giá (*)</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Mức điểm tối đa</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Mức điểm yêu cầu tối thiểu</w:t>
            </w:r>
          </w:p>
        </w:tc>
      </w:tr>
      <w:tr w:rsidR="00FF0F40" w:rsidRPr="00FF0F40" w:rsidTr="00140074">
        <w:trPr>
          <w:trHeight w:val="440"/>
        </w:trPr>
        <w:tc>
          <w:tcPr>
            <w:tcW w:w="704" w:type="dxa"/>
            <w:tcBorders>
              <w:top w:val="nil"/>
              <w:left w:val="single" w:sz="4" w:space="0" w:color="auto"/>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I</w:t>
            </w:r>
          </w:p>
        </w:tc>
        <w:tc>
          <w:tcPr>
            <w:tcW w:w="5321" w:type="dxa"/>
            <w:tcBorders>
              <w:top w:val="nil"/>
              <w:left w:val="nil"/>
              <w:bottom w:val="single" w:sz="4" w:space="0" w:color="auto"/>
              <w:right w:val="single" w:sz="4" w:space="0" w:color="auto"/>
            </w:tcBorders>
            <w:vAlign w:val="center"/>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Đánh giá chung</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65</w:t>
            </w:r>
          </w:p>
        </w:tc>
        <w:tc>
          <w:tcPr>
            <w:tcW w:w="171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45,5</w:t>
            </w: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1</w:t>
            </w: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 xml:space="preserve">Chỉ tiêu tỷ lệ biên khả năng thanh toán tại thời điểm </w:t>
            </w:r>
            <w:r w:rsidRPr="00FF0F40">
              <w:rPr>
                <w:rFonts w:ascii="Times New Roman" w:eastAsia="Times New Roman" w:hAnsi="Times New Roman" w:cs="Times New Roman"/>
                <w:b/>
                <w:bCs/>
                <w:sz w:val="28"/>
                <w:szCs w:val="28"/>
              </w:rPr>
              <w:t xml:space="preserve"> ngày </w:t>
            </w:r>
            <w:r w:rsidRPr="00FF0F40">
              <w:rPr>
                <w:rFonts w:ascii="Times New Roman" w:eastAsia="Times New Roman" w:hAnsi="Times New Roman" w:cs="Times New Roman"/>
                <w:b/>
                <w:bCs/>
                <w:sz w:val="28"/>
                <w:szCs w:val="28"/>
                <w:lang w:val="vi-VN"/>
              </w:rPr>
              <w:t>31</w:t>
            </w:r>
            <w:r w:rsidRPr="00FF0F40">
              <w:rPr>
                <w:rFonts w:ascii="Times New Roman" w:eastAsia="Times New Roman" w:hAnsi="Times New Roman" w:cs="Times New Roman"/>
                <w:b/>
                <w:bCs/>
                <w:sz w:val="28"/>
                <w:szCs w:val="28"/>
              </w:rPr>
              <w:t>/</w:t>
            </w:r>
            <w:r w:rsidRPr="00FF0F40">
              <w:rPr>
                <w:rFonts w:ascii="Times New Roman" w:eastAsia="Times New Roman" w:hAnsi="Times New Roman" w:cs="Times New Roman"/>
                <w:b/>
                <w:bCs/>
                <w:sz w:val="28"/>
                <w:szCs w:val="28"/>
                <w:lang w:val="vi-VN"/>
              </w:rPr>
              <w:t>12</w:t>
            </w:r>
            <w:r w:rsidRPr="00FF0F40">
              <w:rPr>
                <w:rFonts w:ascii="Times New Roman" w:eastAsia="Times New Roman" w:hAnsi="Times New Roman" w:cs="Times New Roman"/>
                <w:b/>
                <w:bCs/>
                <w:sz w:val="28"/>
                <w:szCs w:val="28"/>
              </w:rPr>
              <w:t>/</w:t>
            </w:r>
            <w:r w:rsidRPr="00FF0F40">
              <w:rPr>
                <w:rFonts w:ascii="Times New Roman" w:eastAsia="Times New Roman" w:hAnsi="Times New Roman" w:cs="Times New Roman"/>
                <w:b/>
                <w:bCs/>
                <w:sz w:val="28"/>
                <w:szCs w:val="28"/>
                <w:lang w:val="vi-VN"/>
              </w:rPr>
              <w:t>202</w:t>
            </w:r>
            <w:r w:rsidRPr="00FF0F40">
              <w:rPr>
                <w:rFonts w:ascii="Times New Roman" w:eastAsia="Times New Roman" w:hAnsi="Times New Roman" w:cs="Times New Roman"/>
                <w:b/>
                <w:bCs/>
                <w:sz w:val="28"/>
                <w:szCs w:val="28"/>
              </w:rPr>
              <w:t>5</w:t>
            </w:r>
            <w:r w:rsidRPr="00FF0F40">
              <w:rPr>
                <w:rFonts w:ascii="Times New Roman" w:eastAsia="Times New Roman" w:hAnsi="Times New Roman" w:cs="Times New Roman"/>
                <w:b/>
                <w:bCs/>
                <w:sz w:val="28"/>
                <w:szCs w:val="28"/>
                <w:lang w:val="vi-VN"/>
              </w:rPr>
              <w:t xml:space="preserve"> (theo Báo cáo tài chính được kiểm toán)</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10.0</w:t>
            </w:r>
          </w:p>
        </w:tc>
        <w:tc>
          <w:tcPr>
            <w:tcW w:w="1710" w:type="dxa"/>
            <w:tcBorders>
              <w:top w:val="nil"/>
              <w:left w:val="nil"/>
              <w:bottom w:val="single" w:sz="4" w:space="0" w:color="auto"/>
              <w:right w:val="single" w:sz="4" w:space="0" w:color="auto"/>
            </w:tcBorders>
            <w:noWrap/>
            <w:vAlign w:val="center"/>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numPr>
                <w:ilvl w:val="0"/>
                <w:numId w:val="1"/>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 xml:space="preserve">Đạt trên </w:t>
            </w:r>
            <w:r w:rsidRPr="00FF0F40">
              <w:rPr>
                <w:rFonts w:ascii="Times New Roman" w:eastAsia="Times New Roman" w:hAnsi="Times New Roman" w:cs="Times New Roman"/>
                <w:i/>
                <w:iCs/>
                <w:sz w:val="28"/>
                <w:szCs w:val="28"/>
              </w:rPr>
              <w:t>135</w:t>
            </w:r>
            <w:r w:rsidRPr="00FF0F40">
              <w:rPr>
                <w:rFonts w:ascii="Times New Roman" w:eastAsia="Times New Roman" w:hAnsi="Times New Roman" w:cs="Times New Roman"/>
                <w:i/>
                <w:iCs/>
                <w:sz w:val="28"/>
                <w:szCs w:val="28"/>
                <w:lang w:val="vi-VN"/>
              </w:rPr>
              <w:t>%</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10.0</w:t>
            </w: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numPr>
                <w:ilvl w:val="0"/>
                <w:numId w:val="1"/>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 xml:space="preserve">Đạt từ 100% đến </w:t>
            </w:r>
            <w:r w:rsidRPr="00FF0F40">
              <w:rPr>
                <w:rFonts w:ascii="Times New Roman" w:eastAsia="Times New Roman" w:hAnsi="Times New Roman" w:cs="Times New Roman"/>
                <w:i/>
                <w:iCs/>
                <w:sz w:val="28"/>
                <w:szCs w:val="28"/>
              </w:rPr>
              <w:t>135</w:t>
            </w:r>
            <w:r w:rsidRPr="00FF0F40">
              <w:rPr>
                <w:rFonts w:ascii="Times New Roman" w:eastAsia="Times New Roman" w:hAnsi="Times New Roman" w:cs="Times New Roman"/>
                <w:i/>
                <w:iCs/>
                <w:sz w:val="28"/>
                <w:szCs w:val="28"/>
                <w:lang w:val="vi-VN"/>
              </w:rPr>
              <w:t>%</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5.0</w:t>
            </w: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numPr>
                <w:ilvl w:val="0"/>
                <w:numId w:val="1"/>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Dưới 100%</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0.0</w:t>
            </w: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 xml:space="preserve">Căn cứ theo </w:t>
            </w:r>
            <w:r w:rsidRPr="00FF0F40">
              <w:rPr>
                <w:rFonts w:ascii="Times New Roman" w:eastAsia="Times New Roman" w:hAnsi="Times New Roman" w:cs="Times New Roman"/>
                <w:sz w:val="28"/>
                <w:szCs w:val="28"/>
              </w:rPr>
              <w:t xml:space="preserve">quy định tại </w:t>
            </w:r>
            <w:r w:rsidRPr="00FF0F40">
              <w:rPr>
                <w:rFonts w:ascii="Times New Roman" w:eastAsia="Times New Roman" w:hAnsi="Times New Roman" w:cs="Times New Roman"/>
                <w:bCs/>
                <w:sz w:val="28"/>
                <w:szCs w:val="28"/>
              </w:rPr>
              <w:t>Thông tư số 67/2023/TT-BTC ngày 02/11/2023</w:t>
            </w:r>
            <w:r w:rsidRPr="00FF0F40">
              <w:rPr>
                <w:rFonts w:ascii="Times New Roman" w:eastAsia="Times New Roman" w:hAnsi="Times New Roman" w:cs="Times New Roman"/>
                <w:sz w:val="28"/>
                <w:szCs w:val="28"/>
              </w:rPr>
              <w:t xml:space="preserve"> và </w:t>
            </w:r>
            <w:r w:rsidRPr="00FF0F40">
              <w:rPr>
                <w:rFonts w:ascii="Times New Roman" w:eastAsia="Times New Roman" w:hAnsi="Times New Roman" w:cs="Times New Roman"/>
                <w:bCs/>
                <w:sz w:val="28"/>
                <w:szCs w:val="28"/>
              </w:rPr>
              <w:t>Nghị định số 46/2023/NĐ-CP ngày 01/07/2023.</w:t>
            </w:r>
          </w:p>
          <w:p w:rsidR="00FF0F40" w:rsidRPr="00FF0F40" w:rsidRDefault="00FF0F40" w:rsidP="00FF0F40">
            <w:pPr>
              <w:spacing w:after="0" w:line="240" w:lineRule="auto"/>
              <w:jc w:val="both"/>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 Đối với Nhà thầu liên danh, điểm của Nhà thầu được tính bằng tổng điểm của các thành viên trong liên danh tương ứng với phần công việc mà từng thành viên đảm nhận (theo phương pháp bình quân gia quyền với trọng số là tỷ lệ công việc từng nhà thầu đảm nhận). Trường hợp trong liên danh có thành viên có chỉ tiêu dưới 100%, điểm số được tính là 0.</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2</w:t>
            </w: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 xml:space="preserve">Dự phòng </w:t>
            </w:r>
            <w:r w:rsidRPr="00FF0F40">
              <w:rPr>
                <w:rFonts w:ascii="Times New Roman" w:eastAsia="Times New Roman" w:hAnsi="Times New Roman" w:cs="Times New Roman"/>
                <w:b/>
                <w:bCs/>
                <w:sz w:val="28"/>
                <w:szCs w:val="28"/>
              </w:rPr>
              <w:t>bồi thường</w:t>
            </w:r>
            <w:r w:rsidRPr="00FF0F40">
              <w:rPr>
                <w:rFonts w:ascii="Times New Roman" w:eastAsia="Times New Roman" w:hAnsi="Times New Roman" w:cs="Times New Roman"/>
                <w:b/>
                <w:bCs/>
                <w:sz w:val="28"/>
                <w:szCs w:val="28"/>
                <w:lang w:val="vi-VN"/>
              </w:rPr>
              <w:t xml:space="preserve"> tại thời điểm </w:t>
            </w:r>
            <w:r w:rsidRPr="00FF0F40">
              <w:rPr>
                <w:rFonts w:ascii="Times New Roman" w:eastAsia="Times New Roman" w:hAnsi="Times New Roman" w:cs="Times New Roman"/>
                <w:b/>
                <w:bCs/>
                <w:sz w:val="28"/>
                <w:szCs w:val="28"/>
              </w:rPr>
              <w:t xml:space="preserve">ngày </w:t>
            </w:r>
            <w:r w:rsidRPr="00FF0F40">
              <w:rPr>
                <w:rFonts w:ascii="Times New Roman" w:eastAsia="Times New Roman" w:hAnsi="Times New Roman" w:cs="Times New Roman"/>
                <w:b/>
                <w:bCs/>
                <w:sz w:val="28"/>
                <w:szCs w:val="28"/>
                <w:lang w:val="vi-VN"/>
              </w:rPr>
              <w:t>31</w:t>
            </w:r>
            <w:r w:rsidRPr="00FF0F40">
              <w:rPr>
                <w:rFonts w:ascii="Times New Roman" w:eastAsia="Times New Roman" w:hAnsi="Times New Roman" w:cs="Times New Roman"/>
                <w:b/>
                <w:bCs/>
                <w:sz w:val="28"/>
                <w:szCs w:val="28"/>
              </w:rPr>
              <w:t>/</w:t>
            </w:r>
            <w:r w:rsidRPr="00FF0F40">
              <w:rPr>
                <w:rFonts w:ascii="Times New Roman" w:eastAsia="Times New Roman" w:hAnsi="Times New Roman" w:cs="Times New Roman"/>
                <w:b/>
                <w:bCs/>
                <w:sz w:val="28"/>
                <w:szCs w:val="28"/>
                <w:lang w:val="vi-VN"/>
              </w:rPr>
              <w:t>12</w:t>
            </w:r>
            <w:r w:rsidRPr="00FF0F40">
              <w:rPr>
                <w:rFonts w:ascii="Times New Roman" w:eastAsia="Times New Roman" w:hAnsi="Times New Roman" w:cs="Times New Roman"/>
                <w:b/>
                <w:bCs/>
                <w:sz w:val="28"/>
                <w:szCs w:val="28"/>
              </w:rPr>
              <w:t>/</w:t>
            </w:r>
            <w:r w:rsidRPr="00FF0F40">
              <w:rPr>
                <w:rFonts w:ascii="Times New Roman" w:eastAsia="Times New Roman" w:hAnsi="Times New Roman" w:cs="Times New Roman"/>
                <w:b/>
                <w:bCs/>
                <w:sz w:val="28"/>
                <w:szCs w:val="28"/>
                <w:lang w:val="vi-VN"/>
              </w:rPr>
              <w:t>202</w:t>
            </w:r>
            <w:r w:rsidRPr="00FF0F40">
              <w:rPr>
                <w:rFonts w:ascii="Times New Roman" w:eastAsia="Times New Roman" w:hAnsi="Times New Roman" w:cs="Times New Roman"/>
                <w:b/>
                <w:bCs/>
                <w:sz w:val="28"/>
                <w:szCs w:val="28"/>
              </w:rPr>
              <w:t>5</w:t>
            </w:r>
            <w:r w:rsidRPr="00FF0F40">
              <w:rPr>
                <w:rFonts w:ascii="Times New Roman" w:eastAsia="Times New Roman" w:hAnsi="Times New Roman" w:cs="Times New Roman"/>
                <w:b/>
                <w:bCs/>
                <w:sz w:val="28"/>
                <w:szCs w:val="28"/>
                <w:lang w:val="vi-VN"/>
              </w:rPr>
              <w:t xml:space="preserve"> (theo Báo cáo tài chính được kiểm toán)</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20.0</w:t>
            </w:r>
          </w:p>
        </w:tc>
        <w:tc>
          <w:tcPr>
            <w:tcW w:w="1710" w:type="dxa"/>
            <w:tcBorders>
              <w:top w:val="nil"/>
              <w:left w:val="nil"/>
              <w:bottom w:val="single" w:sz="4" w:space="0" w:color="auto"/>
              <w:right w:val="single" w:sz="4" w:space="0" w:color="auto"/>
            </w:tcBorders>
            <w:noWrap/>
            <w:vAlign w:val="center"/>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numPr>
                <w:ilvl w:val="0"/>
                <w:numId w:val="17"/>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 xml:space="preserve">Từ </w:t>
            </w:r>
            <w:r w:rsidRPr="00FF0F40">
              <w:rPr>
                <w:rFonts w:ascii="Times New Roman" w:eastAsia="Times New Roman" w:hAnsi="Times New Roman" w:cs="Times New Roman"/>
                <w:i/>
                <w:iCs/>
                <w:sz w:val="28"/>
                <w:szCs w:val="28"/>
              </w:rPr>
              <w:t>2000</w:t>
            </w:r>
            <w:r w:rsidRPr="00FF0F40">
              <w:rPr>
                <w:rFonts w:ascii="Times New Roman" w:eastAsia="Times New Roman" w:hAnsi="Times New Roman" w:cs="Times New Roman"/>
                <w:i/>
                <w:iCs/>
                <w:sz w:val="28"/>
                <w:szCs w:val="28"/>
                <w:lang w:val="vi-VN"/>
              </w:rPr>
              <w:t xml:space="preserve"> tỷ đồng trở lên</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20.0</w:t>
            </w: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numPr>
                <w:ilvl w:val="0"/>
                <w:numId w:val="17"/>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 xml:space="preserve">Từ </w:t>
            </w:r>
            <w:r w:rsidRPr="00FF0F40">
              <w:rPr>
                <w:rFonts w:ascii="Times New Roman" w:eastAsia="Times New Roman" w:hAnsi="Times New Roman" w:cs="Times New Roman"/>
                <w:i/>
                <w:iCs/>
                <w:sz w:val="28"/>
                <w:szCs w:val="28"/>
              </w:rPr>
              <w:t>1000</w:t>
            </w:r>
            <w:r w:rsidRPr="00FF0F40">
              <w:rPr>
                <w:rFonts w:ascii="Times New Roman" w:eastAsia="Times New Roman" w:hAnsi="Times New Roman" w:cs="Times New Roman"/>
                <w:i/>
                <w:iCs/>
                <w:sz w:val="28"/>
                <w:szCs w:val="28"/>
                <w:lang w:val="vi-VN"/>
              </w:rPr>
              <w:t xml:space="preserve"> tỷ đồng đến dưới </w:t>
            </w:r>
            <w:r w:rsidRPr="00FF0F40">
              <w:rPr>
                <w:rFonts w:ascii="Times New Roman" w:eastAsia="Times New Roman" w:hAnsi="Times New Roman" w:cs="Times New Roman"/>
                <w:i/>
                <w:iCs/>
                <w:sz w:val="28"/>
                <w:szCs w:val="28"/>
              </w:rPr>
              <w:t>2000</w:t>
            </w:r>
            <w:r w:rsidRPr="00FF0F40">
              <w:rPr>
                <w:rFonts w:ascii="Times New Roman" w:eastAsia="Times New Roman" w:hAnsi="Times New Roman" w:cs="Times New Roman"/>
                <w:i/>
                <w:iCs/>
                <w:sz w:val="28"/>
                <w:szCs w:val="28"/>
                <w:lang w:val="vi-VN"/>
              </w:rPr>
              <w:t xml:space="preserve"> tỷ đồng</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10.0</w:t>
            </w: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numPr>
                <w:ilvl w:val="0"/>
                <w:numId w:val="17"/>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 xml:space="preserve">Dưới </w:t>
            </w:r>
            <w:r w:rsidRPr="00FF0F40">
              <w:rPr>
                <w:rFonts w:ascii="Times New Roman" w:eastAsia="Times New Roman" w:hAnsi="Times New Roman" w:cs="Times New Roman"/>
                <w:i/>
                <w:iCs/>
                <w:sz w:val="28"/>
                <w:szCs w:val="28"/>
              </w:rPr>
              <w:t>1000</w:t>
            </w:r>
            <w:r w:rsidRPr="00FF0F40">
              <w:rPr>
                <w:rFonts w:ascii="Times New Roman" w:eastAsia="Times New Roman" w:hAnsi="Times New Roman" w:cs="Times New Roman"/>
                <w:i/>
                <w:iCs/>
                <w:sz w:val="28"/>
                <w:szCs w:val="28"/>
                <w:lang w:val="vi-VN"/>
              </w:rPr>
              <w:t xml:space="preserve"> tỷ đồng</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0.0</w:t>
            </w: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spacing w:after="0" w:line="240" w:lineRule="auto"/>
              <w:jc w:val="both"/>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Phương pháp xác định: Mã số 329.</w:t>
            </w:r>
            <w:r w:rsidRPr="00FF0F40">
              <w:rPr>
                <w:rFonts w:ascii="Times New Roman" w:eastAsia="Times New Roman" w:hAnsi="Times New Roman" w:cs="Times New Roman"/>
                <w:sz w:val="28"/>
                <w:szCs w:val="28"/>
              </w:rPr>
              <w:t>2</w:t>
            </w:r>
            <w:r w:rsidRPr="00FF0F40">
              <w:rPr>
                <w:rFonts w:ascii="Times New Roman" w:eastAsia="Times New Roman" w:hAnsi="Times New Roman" w:cs="Times New Roman"/>
                <w:sz w:val="28"/>
                <w:szCs w:val="28"/>
                <w:lang w:val="vi-VN"/>
              </w:rPr>
              <w:t xml:space="preserve"> thuộc Bảng cân đối kế toán, Báo cáo tài chính đã kiểm toán tại </w:t>
            </w:r>
            <w:r w:rsidRPr="00FF0F40">
              <w:rPr>
                <w:rFonts w:ascii="Times New Roman" w:eastAsia="Times New Roman" w:hAnsi="Times New Roman" w:cs="Times New Roman"/>
                <w:sz w:val="28"/>
                <w:szCs w:val="28"/>
              </w:rPr>
              <w:t>ngày 31/12/2025</w:t>
            </w:r>
            <w:r w:rsidRPr="00FF0F40">
              <w:rPr>
                <w:rFonts w:ascii="Times New Roman" w:eastAsia="Times New Roman" w:hAnsi="Times New Roman" w:cs="Times New Roman"/>
                <w:sz w:val="28"/>
                <w:szCs w:val="28"/>
                <w:lang w:val="vi-VN"/>
              </w:rPr>
              <w:t>.</w:t>
            </w:r>
          </w:p>
          <w:p w:rsidR="00FF0F40" w:rsidRPr="00FF0F40" w:rsidRDefault="00FF0F40" w:rsidP="00FF0F40">
            <w:pPr>
              <w:spacing w:after="0" w:line="240" w:lineRule="auto"/>
              <w:jc w:val="both"/>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 xml:space="preserve">* Đối với Nhà thầu liên danh, điểm của Nhà thầu được tính bằng tổng điểm của các thành viên trong liên danh tương ứng với phần công việc mà từng thành viên đảm nhận (theo phương pháp bình quân gia quyền với trọng số là tỷ lệ công việc từng nhà thầu đảm nhận). </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3</w:t>
            </w: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 xml:space="preserve">Hệ số khả năng thanh toán nợ ngắn hạn tại thời điểm </w:t>
            </w:r>
            <w:r w:rsidRPr="00FF0F40">
              <w:rPr>
                <w:rFonts w:ascii="Times New Roman" w:eastAsia="Times New Roman" w:hAnsi="Times New Roman" w:cs="Times New Roman"/>
                <w:b/>
                <w:bCs/>
                <w:sz w:val="28"/>
                <w:szCs w:val="28"/>
              </w:rPr>
              <w:t xml:space="preserve">ngày </w:t>
            </w:r>
            <w:r w:rsidRPr="00FF0F40">
              <w:rPr>
                <w:rFonts w:ascii="Times New Roman" w:eastAsia="Times New Roman" w:hAnsi="Times New Roman" w:cs="Times New Roman"/>
                <w:b/>
                <w:bCs/>
                <w:sz w:val="28"/>
                <w:szCs w:val="28"/>
                <w:lang w:val="vi-VN"/>
              </w:rPr>
              <w:t>31</w:t>
            </w:r>
            <w:r w:rsidRPr="00FF0F40">
              <w:rPr>
                <w:rFonts w:ascii="Times New Roman" w:eastAsia="Times New Roman" w:hAnsi="Times New Roman" w:cs="Times New Roman"/>
                <w:b/>
                <w:bCs/>
                <w:sz w:val="28"/>
                <w:szCs w:val="28"/>
              </w:rPr>
              <w:t>/</w:t>
            </w:r>
            <w:r w:rsidRPr="00FF0F40">
              <w:rPr>
                <w:rFonts w:ascii="Times New Roman" w:eastAsia="Times New Roman" w:hAnsi="Times New Roman" w:cs="Times New Roman"/>
                <w:b/>
                <w:bCs/>
                <w:sz w:val="28"/>
                <w:szCs w:val="28"/>
                <w:lang w:val="vi-VN"/>
              </w:rPr>
              <w:t>12</w:t>
            </w:r>
            <w:r w:rsidRPr="00FF0F40">
              <w:rPr>
                <w:rFonts w:ascii="Times New Roman" w:eastAsia="Times New Roman" w:hAnsi="Times New Roman" w:cs="Times New Roman"/>
                <w:b/>
                <w:bCs/>
                <w:sz w:val="28"/>
                <w:szCs w:val="28"/>
              </w:rPr>
              <w:t>/</w:t>
            </w:r>
            <w:r w:rsidRPr="00FF0F40">
              <w:rPr>
                <w:rFonts w:ascii="Times New Roman" w:eastAsia="Times New Roman" w:hAnsi="Times New Roman" w:cs="Times New Roman"/>
                <w:b/>
                <w:bCs/>
                <w:sz w:val="28"/>
                <w:szCs w:val="28"/>
                <w:lang w:val="vi-VN"/>
              </w:rPr>
              <w:t>202</w:t>
            </w:r>
            <w:r w:rsidRPr="00FF0F40">
              <w:rPr>
                <w:rFonts w:ascii="Times New Roman" w:eastAsia="Times New Roman" w:hAnsi="Times New Roman" w:cs="Times New Roman"/>
                <w:b/>
                <w:bCs/>
                <w:sz w:val="28"/>
                <w:szCs w:val="28"/>
              </w:rPr>
              <w:t>5</w:t>
            </w:r>
            <w:r w:rsidRPr="00FF0F40">
              <w:rPr>
                <w:rFonts w:ascii="Times New Roman" w:eastAsia="Times New Roman" w:hAnsi="Times New Roman" w:cs="Times New Roman"/>
                <w:b/>
                <w:bCs/>
                <w:sz w:val="28"/>
                <w:szCs w:val="28"/>
                <w:lang w:val="vi-VN"/>
              </w:rPr>
              <w:t xml:space="preserve"> (theo Báo cáo tài chính được kiểm toán)</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10.0</w:t>
            </w:r>
          </w:p>
        </w:tc>
        <w:tc>
          <w:tcPr>
            <w:tcW w:w="1710" w:type="dxa"/>
            <w:tcBorders>
              <w:top w:val="nil"/>
              <w:left w:val="nil"/>
              <w:bottom w:val="single" w:sz="4" w:space="0" w:color="auto"/>
              <w:right w:val="single" w:sz="4" w:space="0" w:color="auto"/>
            </w:tcBorders>
            <w:noWrap/>
            <w:vAlign w:val="center"/>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numPr>
                <w:ilvl w:val="0"/>
                <w:numId w:val="18"/>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Trên 1,5</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10.0</w:t>
            </w: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r>
      <w:tr w:rsidR="00FF0F40" w:rsidRPr="00FF0F40" w:rsidTr="00140074">
        <w:trPr>
          <w:trHeight w:val="600"/>
        </w:trPr>
        <w:tc>
          <w:tcPr>
            <w:tcW w:w="704" w:type="dxa"/>
            <w:tcBorders>
              <w:top w:val="nil"/>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c>
          <w:tcPr>
            <w:tcW w:w="5321" w:type="dxa"/>
            <w:tcBorders>
              <w:top w:val="nil"/>
              <w:left w:val="nil"/>
              <w:bottom w:val="single" w:sz="4" w:space="0" w:color="auto"/>
              <w:right w:val="single" w:sz="4" w:space="0" w:color="auto"/>
            </w:tcBorders>
            <w:shd w:val="clear" w:color="000000" w:fill="FFFFFF"/>
          </w:tcPr>
          <w:p w:rsidR="00FF0F40" w:rsidRPr="00FF0F40" w:rsidRDefault="00FF0F40" w:rsidP="00FF0F40">
            <w:pPr>
              <w:numPr>
                <w:ilvl w:val="0"/>
                <w:numId w:val="18"/>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Từ 1,0 tới 1,5</w:t>
            </w:r>
          </w:p>
        </w:tc>
        <w:tc>
          <w:tcPr>
            <w:tcW w:w="1530" w:type="dxa"/>
            <w:tcBorders>
              <w:top w:val="nil"/>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8.0</w:t>
            </w:r>
          </w:p>
        </w:tc>
        <w:tc>
          <w:tcPr>
            <w:tcW w:w="1710" w:type="dxa"/>
            <w:tcBorders>
              <w:top w:val="nil"/>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r>
      <w:tr w:rsidR="00FF0F40" w:rsidRPr="00FF0F40" w:rsidTr="00140074">
        <w:trPr>
          <w:trHeight w:val="600"/>
        </w:trPr>
        <w:tc>
          <w:tcPr>
            <w:tcW w:w="704" w:type="dxa"/>
            <w:tcBorders>
              <w:top w:val="single" w:sz="4" w:space="0" w:color="auto"/>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c>
          <w:tcPr>
            <w:tcW w:w="5321" w:type="dxa"/>
            <w:tcBorders>
              <w:top w:val="single" w:sz="4" w:space="0" w:color="auto"/>
              <w:left w:val="single" w:sz="4" w:space="0" w:color="auto"/>
              <w:bottom w:val="single" w:sz="4" w:space="0" w:color="auto"/>
              <w:right w:val="single" w:sz="4" w:space="0" w:color="auto"/>
            </w:tcBorders>
            <w:shd w:val="clear" w:color="000000" w:fill="FFFFFF"/>
          </w:tcPr>
          <w:p w:rsidR="00FF0F40" w:rsidRPr="00FF0F40" w:rsidRDefault="00FF0F40" w:rsidP="00FF0F40">
            <w:pPr>
              <w:numPr>
                <w:ilvl w:val="0"/>
                <w:numId w:val="18"/>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Dưới 1</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0.0</w:t>
            </w:r>
          </w:p>
        </w:tc>
        <w:tc>
          <w:tcPr>
            <w:tcW w:w="1710" w:type="dxa"/>
            <w:tcBorders>
              <w:top w:val="single" w:sz="4" w:space="0" w:color="auto"/>
              <w:left w:val="single" w:sz="4" w:space="0" w:color="auto"/>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i/>
                <w:iCs/>
                <w:sz w:val="28"/>
                <w:szCs w:val="28"/>
                <w:lang w:val="vi-VN"/>
              </w:rPr>
            </w:pPr>
          </w:p>
        </w:tc>
      </w:tr>
      <w:tr w:rsidR="00FF0F40" w:rsidRPr="00FF0F40" w:rsidTr="00140074">
        <w:trPr>
          <w:trHeight w:val="600"/>
        </w:trPr>
        <w:tc>
          <w:tcPr>
            <w:tcW w:w="704" w:type="dxa"/>
            <w:tcBorders>
              <w:top w:val="single" w:sz="4" w:space="0" w:color="auto"/>
              <w:left w:val="single" w:sz="4" w:space="0" w:color="auto"/>
              <w:bottom w:val="single" w:sz="4" w:space="0" w:color="auto"/>
              <w:right w:val="single" w:sz="4" w:space="0" w:color="auto"/>
            </w:tcBorders>
            <w:shd w:val="clear" w:color="000000" w:fill="FFFFFF"/>
            <w:noWrap/>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c>
          <w:tcPr>
            <w:tcW w:w="5321" w:type="dxa"/>
            <w:tcBorders>
              <w:top w:val="single" w:sz="4" w:space="0" w:color="auto"/>
              <w:left w:val="nil"/>
              <w:bottom w:val="single" w:sz="4" w:space="0" w:color="auto"/>
              <w:right w:val="single" w:sz="4" w:space="0" w:color="auto"/>
            </w:tcBorders>
            <w:shd w:val="clear" w:color="000000" w:fill="FFFFFF"/>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Hệ số khả năng thanh toán nợ ngắn hạn = Tài sản ngắn hạn / Nợ ngắn hạn</w:t>
            </w:r>
            <w:r w:rsidRPr="00FF0F40">
              <w:rPr>
                <w:rFonts w:ascii="Times New Roman" w:eastAsia="Times New Roman" w:hAnsi="Times New Roman" w:cs="Times New Roman"/>
                <w:sz w:val="28"/>
                <w:szCs w:val="28"/>
              </w:rPr>
              <w:t>.</w:t>
            </w:r>
          </w:p>
          <w:p w:rsidR="00FF0F40" w:rsidRPr="00FF0F40" w:rsidRDefault="00FF0F40" w:rsidP="00FF0F40">
            <w:pPr>
              <w:spacing w:after="0" w:line="240" w:lineRule="auto"/>
              <w:jc w:val="both"/>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 Đối với Nhà thầu liên danh, điểm của Nhà thầu được tính bằng tổng điểm của các thành viên trong liên danh tương ứng với phần công việc mà từng thành viên đảm nhận (theo phương pháp bình quân gia quyền với trọng số là tỷ lệ công việc từng nhà thầu đảm nhận).</w:t>
            </w:r>
            <w:r w:rsidRPr="00FF0F40">
              <w:rPr>
                <w:rFonts w:ascii="Times New Roman" w:eastAsia="Times New Roman" w:hAnsi="Times New Roman" w:cs="Times New Roman"/>
                <w:sz w:val="28"/>
                <w:szCs w:val="28"/>
              </w:rPr>
              <w:t xml:space="preserve"> </w:t>
            </w:r>
            <w:r w:rsidRPr="00FF0F40">
              <w:rPr>
                <w:rFonts w:ascii="Times New Roman" w:eastAsia="Times New Roman" w:hAnsi="Times New Roman" w:cs="Times New Roman"/>
                <w:sz w:val="28"/>
                <w:szCs w:val="28"/>
                <w:lang w:val="vi-VN"/>
              </w:rPr>
              <w:t>Trường hợp trong liên danh có thành viên có hệ số dưới 1, điểm số được tính là 0.</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c>
          <w:tcPr>
            <w:tcW w:w="1710" w:type="dxa"/>
            <w:tcBorders>
              <w:top w:val="single" w:sz="4" w:space="0" w:color="auto"/>
              <w:left w:val="nil"/>
              <w:bottom w:val="single" w:sz="4" w:space="0" w:color="auto"/>
              <w:right w:val="single" w:sz="4" w:space="0" w:color="auto"/>
            </w:tcBorders>
            <w:noWrap/>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r>
      <w:tr w:rsidR="00FF0F40" w:rsidRPr="00FF0F40" w:rsidTr="00140074">
        <w:trPr>
          <w:trHeight w:val="990"/>
        </w:trPr>
        <w:tc>
          <w:tcPr>
            <w:tcW w:w="704" w:type="dxa"/>
            <w:vMerge w:val="restart"/>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4</w:t>
            </w:r>
          </w:p>
        </w:tc>
        <w:tc>
          <w:tcPr>
            <w:tcW w:w="5321" w:type="dxa"/>
            <w:tcBorders>
              <w:top w:val="single" w:sz="4" w:space="0" w:color="auto"/>
              <w:left w:val="nil"/>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Xếp hạng tín nhiệm tài chính bởi các tổ chức xếp hạng quốc tế bao gồm A.M. Best hoặc Standard &amp; Poor's hoặc Moody’s hoặc Fitch tại năm tài chính gần nhất so với thời điểm đóng thầu.</w:t>
            </w:r>
          </w:p>
        </w:tc>
        <w:tc>
          <w:tcPr>
            <w:tcW w:w="1530" w:type="dxa"/>
            <w:vMerge w:val="restart"/>
            <w:tcBorders>
              <w:top w:val="nil"/>
              <w:left w:val="nil"/>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lang w:val="vi-VN"/>
              </w:rPr>
              <w:t>3</w:t>
            </w:r>
            <w:r w:rsidRPr="00FF0F40">
              <w:rPr>
                <w:rFonts w:ascii="Times New Roman" w:eastAsia="Times New Roman" w:hAnsi="Times New Roman" w:cs="Times New Roman"/>
                <w:b/>
                <w:bCs/>
                <w:sz w:val="28"/>
                <w:szCs w:val="28"/>
              </w:rPr>
              <w:t>.0</w:t>
            </w:r>
          </w:p>
          <w:p w:rsidR="00FF0F40" w:rsidRPr="00FF0F40" w:rsidRDefault="00FF0F40" w:rsidP="00FF0F40">
            <w:pPr>
              <w:spacing w:after="0" w:line="240" w:lineRule="auto"/>
              <w:jc w:val="center"/>
              <w:rPr>
                <w:rFonts w:ascii="Times New Roman" w:eastAsia="Times New Roman" w:hAnsi="Times New Roman" w:cs="Times New Roman"/>
                <w:b/>
                <w:bCs/>
                <w:sz w:val="28"/>
                <w:szCs w:val="28"/>
              </w:rPr>
            </w:pPr>
          </w:p>
        </w:tc>
        <w:tc>
          <w:tcPr>
            <w:tcW w:w="1710" w:type="dxa"/>
            <w:vMerge w:val="restart"/>
            <w:tcBorders>
              <w:top w:val="nil"/>
              <w:left w:val="nil"/>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p>
          <w:p w:rsidR="00FF0F40" w:rsidRPr="00FF0F40" w:rsidRDefault="00FF0F40" w:rsidP="00FF0F40">
            <w:pPr>
              <w:spacing w:after="0" w:line="240" w:lineRule="auto"/>
              <w:jc w:val="center"/>
              <w:rPr>
                <w:rFonts w:ascii="Times New Roman" w:eastAsia="Times New Roman" w:hAnsi="Times New Roman" w:cs="Times New Roman"/>
                <w:sz w:val="28"/>
                <w:szCs w:val="28"/>
              </w:rPr>
            </w:pPr>
          </w:p>
        </w:tc>
      </w:tr>
      <w:tr w:rsidR="00FF0F40" w:rsidRPr="00FF0F40" w:rsidTr="00140074">
        <w:trPr>
          <w:trHeight w:val="62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rPr>
              <w:t xml:space="preserve">Lưu ý: Đối với trường hợp liên danh, sẽ áp dụng tính điểm cho thành viên đứng đầu liên danh. </w:t>
            </w:r>
          </w:p>
        </w:tc>
        <w:tc>
          <w:tcPr>
            <w:tcW w:w="1530" w:type="dxa"/>
            <w:vMerge/>
            <w:tcBorders>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rPr>
            </w:pPr>
          </w:p>
        </w:tc>
        <w:tc>
          <w:tcPr>
            <w:tcW w:w="1710" w:type="dxa"/>
            <w:vMerge/>
            <w:tcBorders>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p>
        </w:tc>
      </w:tr>
      <w:tr w:rsidR="00FF0F40" w:rsidRPr="00FF0F40" w:rsidTr="00140074">
        <w:trPr>
          <w:trHeight w:val="930"/>
        </w:trPr>
        <w:tc>
          <w:tcPr>
            <w:tcW w:w="704" w:type="dxa"/>
            <w:vMerge w:val="restart"/>
            <w:tcBorders>
              <w:top w:val="nil"/>
              <w:left w:val="single" w:sz="4" w:space="0" w:color="auto"/>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hideMark/>
          </w:tcPr>
          <w:p w:rsidR="00FF0F40" w:rsidRPr="00FF0F40" w:rsidRDefault="00FF0F40" w:rsidP="00FF0F40">
            <w:pPr>
              <w:numPr>
                <w:ilvl w:val="0"/>
                <w:numId w:val="2"/>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Nhà thầu được xếp hạng tài chính trên mức B++ theo A.M Best; hoặc trên mức BBB theo Standard &amp; Poor’s hoặc Fitch; </w:t>
            </w:r>
            <w:r w:rsidRPr="00FF0F40">
              <w:rPr>
                <w:rFonts w:ascii="Times New Roman" w:eastAsia="Times New Roman" w:hAnsi="Times New Roman" w:cs="Times New Roman"/>
                <w:i/>
                <w:iCs/>
                <w:sz w:val="28"/>
                <w:szCs w:val="28"/>
              </w:rPr>
              <w:lastRenderedPageBreak/>
              <w:t>hoặc trên mức Baa1 theo Moody’s.</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lastRenderedPageBreak/>
              <w:t>3</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w:t>
            </w:r>
          </w:p>
        </w:tc>
      </w:tr>
      <w:tr w:rsidR="00FF0F40" w:rsidRPr="00FF0F40" w:rsidTr="00140074">
        <w:trPr>
          <w:trHeight w:val="93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2"/>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Nhà thầu được xếp hạng tài chính ở mức B++ theo A.M Best; hoặc ở mức BBB theo Standard &amp; Poor’s hoặc Fitch; hoặc ở mức Baa1 theo Moody’s.</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2</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w:t>
            </w:r>
          </w:p>
        </w:tc>
      </w:tr>
      <w:tr w:rsidR="00FF0F40" w:rsidRPr="00FF0F40" w:rsidTr="00140074">
        <w:trPr>
          <w:trHeight w:val="557"/>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hideMark/>
          </w:tcPr>
          <w:p w:rsidR="00FF0F40" w:rsidRPr="00FF0F40" w:rsidRDefault="00FF0F40" w:rsidP="00FF0F40">
            <w:pPr>
              <w:numPr>
                <w:ilvl w:val="0"/>
                <w:numId w:val="2"/>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Nhà thầu không được xếp hạng tài chính; hoặc được xếp hạng tài chính dưới mức B++ theo A.M Best; hoặc dưới mức BBB theo Standard &amp; Poor’s hoặc Fitch; hoặc dưới mức Baa1 theo Moody’s.</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0.0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w:t>
            </w:r>
          </w:p>
        </w:tc>
      </w:tr>
      <w:tr w:rsidR="00FF0F40" w:rsidRPr="00FF0F40" w:rsidTr="00140074">
        <w:trPr>
          <w:trHeight w:val="450"/>
        </w:trPr>
        <w:tc>
          <w:tcPr>
            <w:tcW w:w="704" w:type="dxa"/>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5</w:t>
            </w: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Bộ máy tổ chức và nhân sự thực hiện</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lang w:val="vi-VN"/>
              </w:rPr>
              <w:t>10</w:t>
            </w:r>
            <w:r w:rsidRPr="00FF0F40">
              <w:rPr>
                <w:rFonts w:ascii="Times New Roman" w:eastAsia="Times New Roman" w:hAnsi="Times New Roman" w:cs="Times New Roman"/>
                <w:b/>
                <w:bCs/>
                <w:sz w:val="28"/>
                <w:szCs w:val="28"/>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lang w:val="vi-VN"/>
              </w:rPr>
              <w:t>6.0</w:t>
            </w:r>
          </w:p>
        </w:tc>
      </w:tr>
      <w:tr w:rsidR="00FF0F40" w:rsidRPr="00FF0F40" w:rsidTr="00140074">
        <w:trPr>
          <w:trHeight w:val="930"/>
        </w:trPr>
        <w:tc>
          <w:tcPr>
            <w:tcW w:w="704" w:type="dxa"/>
            <w:vMerge w:val="restart"/>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5</w:t>
            </w:r>
            <w:r w:rsidRPr="00FF0F40">
              <w:rPr>
                <w:rFonts w:ascii="Times New Roman" w:eastAsia="Times New Roman" w:hAnsi="Times New Roman" w:cs="Times New Roman"/>
                <w:sz w:val="28"/>
                <w:szCs w:val="28"/>
              </w:rPr>
              <w:t>.1</w:t>
            </w:r>
          </w:p>
        </w:tc>
        <w:tc>
          <w:tcPr>
            <w:tcW w:w="5321" w:type="dxa"/>
            <w:tcBorders>
              <w:top w:val="single" w:sz="4" w:space="0" w:color="auto"/>
              <w:left w:val="nil"/>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Nhà thầu được cấp Chứng chỉ/Chứng nhận Hệ thống quản lý chất lượng theo tiêu chuẩn quốc tế (ISO 9001:2015) còn hiệu lực đến thời điểm đóng thầu</w:t>
            </w:r>
          </w:p>
        </w:tc>
        <w:tc>
          <w:tcPr>
            <w:tcW w:w="15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2</w:t>
            </w:r>
            <w:r w:rsidRPr="00FF0F40">
              <w:rPr>
                <w:rFonts w:ascii="Times New Roman" w:eastAsia="Times New Roman" w:hAnsi="Times New Roman" w:cs="Times New Roman"/>
                <w:sz w:val="28"/>
                <w:szCs w:val="28"/>
              </w:rPr>
              <w:t>.0</w:t>
            </w:r>
          </w:p>
        </w:tc>
        <w:tc>
          <w:tcPr>
            <w:tcW w:w="1710" w:type="dxa"/>
            <w:vMerge w:val="restart"/>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62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Lưu ý: Đối với trường hợp liên danh thì đánh giá theo năng lực của thành viên đứng đầu liên danh.</w:t>
            </w:r>
          </w:p>
        </w:tc>
        <w:tc>
          <w:tcPr>
            <w:tcW w:w="1530"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p>
        </w:tc>
        <w:tc>
          <w:tcPr>
            <w:tcW w:w="1710"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p>
        </w:tc>
      </w:tr>
      <w:tr w:rsidR="00FF0F40" w:rsidRPr="00FF0F40" w:rsidTr="00140074">
        <w:trPr>
          <w:trHeight w:val="620"/>
        </w:trPr>
        <w:tc>
          <w:tcPr>
            <w:tcW w:w="704" w:type="dxa"/>
            <w:vMerge w:val="restart"/>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3"/>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Có Chứng chỉ/Chứng nhận quản lý tiêu chuẩn quốc tế (ISO 9001:2015).</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2</w:t>
            </w:r>
            <w:r w:rsidRPr="00FF0F40">
              <w:rPr>
                <w:rFonts w:ascii="Times New Roman" w:eastAsia="Times New Roman" w:hAnsi="Times New Roman" w:cs="Times New Roman"/>
                <w:sz w:val="28"/>
                <w:szCs w:val="28"/>
              </w:rPr>
              <w:t>.0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2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3"/>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Không có Chứng chỉ/Chứng nhận quản lý tiêu chuẩn quốc tế.</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0.0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2286"/>
        </w:trPr>
        <w:tc>
          <w:tcPr>
            <w:tcW w:w="704" w:type="dxa"/>
            <w:tcBorders>
              <w:top w:val="single" w:sz="4" w:space="0" w:color="auto"/>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5</w:t>
            </w:r>
            <w:r w:rsidRPr="00FF0F40">
              <w:rPr>
                <w:rFonts w:ascii="Times New Roman" w:eastAsia="Times New Roman" w:hAnsi="Times New Roman" w:cs="Times New Roman"/>
                <w:sz w:val="28"/>
                <w:szCs w:val="28"/>
              </w:rPr>
              <w:t>.2</w:t>
            </w:r>
          </w:p>
        </w:tc>
        <w:tc>
          <w:tcPr>
            <w:tcW w:w="5321" w:type="dxa"/>
            <w:tcBorders>
              <w:top w:val="single" w:sz="4" w:space="0" w:color="auto"/>
              <w:left w:val="single" w:sz="4" w:space="0" w:color="auto"/>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Tổng giám đốc hoặc Giám đốc hoặc người đại diện theo pháp luật có ít nhất 05 năm kinh nghiệm làm việc trong lĩnh vực bảo hiểm, tài chính, ngân hàng, trong đó có ít nhất 03 năm giữ vị trí là người quản lý, người kiểm soát của doanh nghiệp bảo hiểm, doanh nghiệp tái bảo hiểm, chi nhánh nước ngoài</w:t>
            </w:r>
          </w:p>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i/>
                <w:iCs/>
                <w:sz w:val="28"/>
                <w:szCs w:val="28"/>
              </w:rPr>
              <w:t>Lưu ý: Đối với trường hợp liên danh thì đánh giá theo năng lực của thành viên đứng đầu liên danh.</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4</w:t>
            </w:r>
            <w:r w:rsidRPr="00FF0F40">
              <w:rPr>
                <w:rFonts w:ascii="Times New Roman" w:eastAsia="Times New Roman" w:hAnsi="Times New Roman" w:cs="Times New Roman"/>
                <w:sz w:val="28"/>
                <w:szCs w:val="28"/>
              </w:rPr>
              <w:t>.0</w:t>
            </w:r>
          </w:p>
        </w:tc>
        <w:tc>
          <w:tcPr>
            <w:tcW w:w="1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3.0</w:t>
            </w:r>
          </w:p>
        </w:tc>
      </w:tr>
      <w:tr w:rsidR="00FF0F40" w:rsidRPr="00FF0F40" w:rsidTr="00140074">
        <w:trPr>
          <w:trHeight w:val="310"/>
        </w:trPr>
        <w:tc>
          <w:tcPr>
            <w:tcW w:w="704" w:type="dxa"/>
            <w:vMerge w:val="restart"/>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single" w:sz="4" w:space="0" w:color="auto"/>
              <w:left w:val="nil"/>
              <w:bottom w:val="single" w:sz="4" w:space="0" w:color="auto"/>
              <w:right w:val="single" w:sz="4" w:space="0" w:color="auto"/>
            </w:tcBorders>
            <w:shd w:val="clear" w:color="000000" w:fill="FFFFFF"/>
            <w:vAlign w:val="center"/>
            <w:hideMark/>
          </w:tcPr>
          <w:p w:rsidR="00FF0F40" w:rsidRPr="00FF0F40" w:rsidRDefault="00FF0F40" w:rsidP="00FF0F40">
            <w:pPr>
              <w:numPr>
                <w:ilvl w:val="0"/>
                <w:numId w:val="16"/>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Trên 10 năm</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4</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31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numPr>
                <w:ilvl w:val="0"/>
                <w:numId w:val="16"/>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Từ 05 - 10 năm</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3.0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31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numPr>
                <w:ilvl w:val="0"/>
                <w:numId w:val="16"/>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Dưới 05 năm</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0.0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650"/>
        </w:trPr>
        <w:tc>
          <w:tcPr>
            <w:tcW w:w="704" w:type="dxa"/>
            <w:vMerge w:val="restart"/>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5</w:t>
            </w:r>
            <w:r w:rsidRPr="00FF0F40">
              <w:rPr>
                <w:rFonts w:ascii="Times New Roman" w:eastAsia="Times New Roman" w:hAnsi="Times New Roman" w:cs="Times New Roman"/>
                <w:sz w:val="28"/>
                <w:szCs w:val="28"/>
              </w:rPr>
              <w:t>.3</w:t>
            </w: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Kinh nghiệm của chuyên viên xử lý tổn thất, giám định sơ bộ và giải quyết bồi thường cho các hợp đồng bảo hiểm công</w:t>
            </w:r>
            <w:r w:rsidRPr="00FF0F40">
              <w:rPr>
                <w:rFonts w:ascii="Times New Roman" w:eastAsia="Times New Roman" w:hAnsi="Times New Roman" w:cs="Times New Roman"/>
                <w:sz w:val="28"/>
                <w:szCs w:val="28"/>
                <w:lang w:val="vi-VN"/>
              </w:rPr>
              <w:t xml:space="preserve"> trình công nghiệp cấp I</w:t>
            </w:r>
            <w:r w:rsidRPr="00FF0F40">
              <w:rPr>
                <w:rFonts w:ascii="Times New Roman" w:eastAsia="Times New Roman" w:hAnsi="Times New Roman" w:cs="Times New Roman"/>
                <w:sz w:val="28"/>
                <w:szCs w:val="28"/>
              </w:rPr>
              <w:t>.</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4</w:t>
            </w:r>
            <w:r w:rsidRPr="00FF0F40">
              <w:rPr>
                <w:rFonts w:ascii="Times New Roman" w:eastAsia="Times New Roman" w:hAnsi="Times New Roman" w:cs="Times New Roman"/>
                <w:sz w:val="28"/>
                <w:szCs w:val="28"/>
              </w:rPr>
              <w:t>.0</w:t>
            </w:r>
          </w:p>
        </w:tc>
        <w:tc>
          <w:tcPr>
            <w:tcW w:w="1710" w:type="dxa"/>
            <w:tcBorders>
              <w:top w:val="single" w:sz="4" w:space="0" w:color="auto"/>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3.0</w:t>
            </w:r>
          </w:p>
        </w:tc>
      </w:tr>
      <w:tr w:rsidR="00FF0F40" w:rsidRPr="00FF0F40" w:rsidTr="00140074">
        <w:trPr>
          <w:trHeight w:val="62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Lưu ý: Đối với trường hợp liên danh thì đánh giá theo năng lực của thành viên đứng đầu liên danh.</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c>
          <w:tcPr>
            <w:tcW w:w="1710" w:type="dxa"/>
            <w:tcBorders>
              <w:top w:val="single" w:sz="4" w:space="0" w:color="auto"/>
              <w:left w:val="nil"/>
              <w:bottom w:val="single" w:sz="4" w:space="0" w:color="auto"/>
              <w:right w:val="single" w:sz="4" w:space="0" w:color="auto"/>
            </w:tcBorders>
            <w:shd w:val="clear" w:color="000000" w:fill="FFFFFF"/>
            <w:noWrap/>
          </w:tcPr>
          <w:p w:rsidR="00FF0F40" w:rsidRPr="00FF0F40" w:rsidRDefault="00FF0F40" w:rsidP="00FF0F40">
            <w:pPr>
              <w:spacing w:after="0" w:line="240" w:lineRule="auto"/>
              <w:jc w:val="both"/>
              <w:rPr>
                <w:rFonts w:ascii="Times New Roman" w:eastAsia="Times New Roman" w:hAnsi="Times New Roman" w:cs="Times New Roman"/>
                <w:sz w:val="28"/>
                <w:szCs w:val="28"/>
              </w:rPr>
            </w:pPr>
          </w:p>
        </w:tc>
      </w:tr>
      <w:tr w:rsidR="00FF0F40" w:rsidRPr="00FF0F40" w:rsidTr="00140074">
        <w:trPr>
          <w:trHeight w:val="310"/>
        </w:trPr>
        <w:tc>
          <w:tcPr>
            <w:tcW w:w="704" w:type="dxa"/>
            <w:vMerge w:val="restart"/>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4"/>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Trên 5 năm</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4</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shd w:val="clear" w:color="000000" w:fill="FFFFFF"/>
            <w:noWrap/>
          </w:tcPr>
          <w:p w:rsidR="00FF0F40" w:rsidRPr="00FF0F40" w:rsidRDefault="00FF0F40" w:rsidP="00FF0F40">
            <w:pPr>
              <w:spacing w:after="0" w:line="240" w:lineRule="auto"/>
              <w:jc w:val="both"/>
              <w:outlineLvl w:val="0"/>
              <w:rPr>
                <w:rFonts w:ascii="Times New Roman" w:eastAsia="Times New Roman" w:hAnsi="Times New Roman" w:cs="Times New Roman"/>
                <w:sz w:val="28"/>
                <w:szCs w:val="28"/>
              </w:rPr>
            </w:pPr>
          </w:p>
        </w:tc>
      </w:tr>
      <w:tr w:rsidR="00FF0F40" w:rsidRPr="00FF0F40" w:rsidTr="00140074">
        <w:trPr>
          <w:trHeight w:val="31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4"/>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Từ 03 - 5 năm </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3</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31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4"/>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Dưới 03 năm</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0.0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60"/>
        </w:trPr>
        <w:tc>
          <w:tcPr>
            <w:tcW w:w="704" w:type="dxa"/>
            <w:tcBorders>
              <w:top w:val="nil"/>
              <w:left w:val="single" w:sz="4" w:space="0" w:color="auto"/>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6</w:t>
            </w:r>
          </w:p>
        </w:tc>
        <w:tc>
          <w:tcPr>
            <w:tcW w:w="5321"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Điều kiện tạm ứng số tiền bồi thường khi có tổn thất</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lang w:val="vi-VN"/>
              </w:rPr>
              <w:t>3</w:t>
            </w:r>
            <w:r w:rsidRPr="00FF0F40">
              <w:rPr>
                <w:rFonts w:ascii="Times New Roman" w:eastAsia="Times New Roman" w:hAnsi="Times New Roman" w:cs="Times New Roman"/>
                <w:b/>
                <w:bCs/>
                <w:sz w:val="28"/>
                <w:szCs w:val="28"/>
              </w:rPr>
              <w:t>.0</w:t>
            </w:r>
          </w:p>
        </w:tc>
        <w:tc>
          <w:tcPr>
            <w:tcW w:w="171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2.0</w:t>
            </w:r>
          </w:p>
        </w:tc>
      </w:tr>
      <w:tr w:rsidR="00FF0F40" w:rsidRPr="00FF0F40" w:rsidTr="00140074">
        <w:trPr>
          <w:trHeight w:val="710"/>
        </w:trPr>
        <w:tc>
          <w:tcPr>
            <w:tcW w:w="704" w:type="dxa"/>
            <w:vMerge w:val="restart"/>
            <w:tcBorders>
              <w:top w:val="nil"/>
              <w:left w:val="single" w:sz="4" w:space="0" w:color="auto"/>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3"/>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Nhà thầu đề xuất điều kiện tạm ứng số tiền bồi thường ≥ 75% khi có tổn thất.</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3</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w:t>
            </w:r>
          </w:p>
        </w:tc>
      </w:tr>
      <w:tr w:rsidR="00FF0F40" w:rsidRPr="00FF0F40" w:rsidTr="00140074">
        <w:trPr>
          <w:trHeight w:val="77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3"/>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Nhà thầu đề xuất điều kiện tạm ứng số tiền bồi thường  ≥ 50% và &lt; 75% khi có tổn thất.</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2.0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72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3"/>
              </w:numPr>
              <w:spacing w:after="160" w:line="278" w:lineRule="auto"/>
              <w:contextualSpacing/>
              <w:jc w:val="both"/>
              <w:outlineLvl w:val="0"/>
              <w:rPr>
                <w:rFonts w:ascii="Times New Roman" w:eastAsia="Times New Roman" w:hAnsi="Times New Roman" w:cs="Times New Roman"/>
                <w:sz w:val="28"/>
                <w:szCs w:val="28"/>
              </w:rPr>
            </w:pPr>
            <w:r w:rsidRPr="00FF0F40">
              <w:rPr>
                <w:rFonts w:ascii="Times New Roman" w:eastAsia="Times New Roman" w:hAnsi="Times New Roman" w:cs="Times New Roman"/>
                <w:i/>
                <w:iCs/>
                <w:sz w:val="28"/>
                <w:szCs w:val="28"/>
              </w:rPr>
              <w:t>Nhà thầu đề xuất điều kiện tạm ứng số tiền bồi thường &lt; 50% khi có tổn thất.</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0.0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680"/>
        </w:trPr>
        <w:tc>
          <w:tcPr>
            <w:tcW w:w="704" w:type="dxa"/>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7</w:t>
            </w:r>
          </w:p>
        </w:tc>
        <w:tc>
          <w:tcPr>
            <w:tcW w:w="5321"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Thời gian bảo hiểm của Gói thầu (theo</w:t>
            </w:r>
            <w:r w:rsidRPr="00FF0F40">
              <w:rPr>
                <w:rFonts w:ascii="Times New Roman" w:eastAsia="Times New Roman" w:hAnsi="Times New Roman" w:cs="Times New Roman"/>
                <w:b/>
                <w:bCs/>
                <w:sz w:val="28"/>
                <w:szCs w:val="28"/>
              </w:rPr>
              <w:t xml:space="preserve"> </w:t>
            </w:r>
            <w:r w:rsidRPr="00FF0F40">
              <w:rPr>
                <w:rFonts w:ascii="Times New Roman" w:eastAsia="Times New Roman" w:hAnsi="Times New Roman" w:cs="Times New Roman"/>
                <w:b/>
                <w:bCs/>
                <w:sz w:val="28"/>
                <w:szCs w:val="28"/>
                <w:lang w:val="vi-VN"/>
              </w:rPr>
              <w:t>Chương V – Yêu cầu về kỹ thuật trong E-HSMT)</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lang w:val="vi-VN"/>
              </w:rPr>
              <w:t>4</w:t>
            </w:r>
            <w:r w:rsidRPr="00FF0F40">
              <w:rPr>
                <w:rFonts w:ascii="Times New Roman" w:eastAsia="Times New Roman" w:hAnsi="Times New Roman" w:cs="Times New Roman"/>
                <w:b/>
                <w:bCs/>
                <w:sz w:val="28"/>
                <w:szCs w:val="28"/>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lang w:val="vi-VN"/>
              </w:rPr>
              <w:t>3</w:t>
            </w:r>
            <w:r w:rsidRPr="00FF0F40">
              <w:rPr>
                <w:rFonts w:ascii="Times New Roman" w:eastAsia="Times New Roman" w:hAnsi="Times New Roman" w:cs="Times New Roman"/>
                <w:b/>
                <w:bCs/>
                <w:sz w:val="28"/>
                <w:szCs w:val="28"/>
              </w:rPr>
              <w:t>.0</w:t>
            </w:r>
          </w:p>
        </w:tc>
      </w:tr>
      <w:tr w:rsidR="00FF0F40" w:rsidRPr="00FF0F40" w:rsidTr="00140074">
        <w:trPr>
          <w:trHeight w:val="557"/>
        </w:trPr>
        <w:tc>
          <w:tcPr>
            <w:tcW w:w="704" w:type="dxa"/>
            <w:tcBorders>
              <w:top w:val="single" w:sz="4" w:space="0" w:color="auto"/>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single" w:sz="4" w:space="0" w:color="auto"/>
              <w:left w:val="nil"/>
              <w:bottom w:val="single" w:sz="4" w:space="0" w:color="auto"/>
              <w:right w:val="single" w:sz="4" w:space="0" w:color="auto"/>
            </w:tcBorders>
            <w:shd w:val="clear" w:color="000000" w:fill="FFFFFF"/>
            <w:hideMark/>
          </w:tcPr>
          <w:p w:rsidR="00FF0F40" w:rsidRPr="00FF0F40" w:rsidRDefault="00FF0F40" w:rsidP="00FF0F40">
            <w:pPr>
              <w:numPr>
                <w:ilvl w:val="0"/>
                <w:numId w:val="15"/>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Nhà thầu đề xuất thời gian bảo hiểm có lợi hơn cho Ch</w:t>
            </w:r>
            <w:bookmarkStart w:id="1" w:name="_GoBack"/>
            <w:bookmarkEnd w:id="1"/>
            <w:r w:rsidRPr="00FF0F40">
              <w:rPr>
                <w:rFonts w:ascii="Times New Roman" w:eastAsia="Times New Roman" w:hAnsi="Times New Roman" w:cs="Times New Roman"/>
                <w:i/>
                <w:iCs/>
                <w:sz w:val="28"/>
                <w:szCs w:val="28"/>
              </w:rPr>
              <w:t>ủ đầu tư và vẫn đảm bảo thời gian bảo hiểm của gói thầu .</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4</w:t>
            </w:r>
            <w:r w:rsidRPr="00FF0F40">
              <w:rPr>
                <w:rFonts w:ascii="Times New Roman" w:eastAsia="Times New Roman" w:hAnsi="Times New Roman" w:cs="Times New Roman"/>
                <w:i/>
                <w:iCs/>
                <w:sz w:val="28"/>
                <w:szCs w:val="28"/>
              </w:rPr>
              <w:t>.0</w:t>
            </w:r>
          </w:p>
        </w:tc>
        <w:tc>
          <w:tcPr>
            <w:tcW w:w="1710" w:type="dxa"/>
            <w:tcBorders>
              <w:top w:val="single" w:sz="4" w:space="0" w:color="auto"/>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w:t>
            </w:r>
          </w:p>
        </w:tc>
      </w:tr>
      <w:tr w:rsidR="00FF0F40" w:rsidRPr="00FF0F40" w:rsidTr="00140074">
        <w:trPr>
          <w:trHeight w:val="930"/>
        </w:trPr>
        <w:tc>
          <w:tcPr>
            <w:tcW w:w="704" w:type="dxa"/>
            <w:tcBorders>
              <w:top w:val="single" w:sz="4" w:space="0" w:color="auto"/>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single" w:sz="4" w:space="0" w:color="auto"/>
              <w:left w:val="nil"/>
              <w:bottom w:val="single" w:sz="4" w:space="0" w:color="auto"/>
              <w:right w:val="single" w:sz="4" w:space="0" w:color="auto"/>
            </w:tcBorders>
            <w:shd w:val="clear" w:color="000000" w:fill="FFFFFF"/>
            <w:hideMark/>
          </w:tcPr>
          <w:p w:rsidR="00FF0F40" w:rsidRPr="00FF0F40" w:rsidRDefault="00FF0F40" w:rsidP="00FF0F40">
            <w:pPr>
              <w:numPr>
                <w:ilvl w:val="0"/>
                <w:numId w:val="15"/>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Nhà thầu đề xuất thời gian bảo hiểm tuân thủ theo yêu cầu của Chương trình bảo hiểm quy định tại Chương V – Yêu cầu về kỹ thuật trong E-HSMT.</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3</w:t>
            </w:r>
            <w:r w:rsidRPr="00FF0F40">
              <w:rPr>
                <w:rFonts w:ascii="Times New Roman" w:eastAsia="Times New Roman" w:hAnsi="Times New Roman" w:cs="Times New Roman"/>
                <w:i/>
                <w:iCs/>
                <w:sz w:val="28"/>
                <w:szCs w:val="28"/>
              </w:rPr>
              <w:t>.0</w:t>
            </w:r>
          </w:p>
        </w:tc>
        <w:tc>
          <w:tcPr>
            <w:tcW w:w="1710" w:type="dxa"/>
            <w:tcBorders>
              <w:top w:val="single" w:sz="4" w:space="0" w:color="auto"/>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w:t>
            </w:r>
          </w:p>
        </w:tc>
      </w:tr>
      <w:tr w:rsidR="00FF0F40" w:rsidRPr="00FF0F40" w:rsidTr="00140074">
        <w:trPr>
          <w:trHeight w:val="420"/>
        </w:trPr>
        <w:tc>
          <w:tcPr>
            <w:tcW w:w="704" w:type="dxa"/>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8</w:t>
            </w: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Quy trình tổ chức thực hiện bảo hiểm cho gói thầu</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lang w:val="vi-VN"/>
              </w:rPr>
              <w:t>5</w:t>
            </w:r>
            <w:r w:rsidRPr="00FF0F40">
              <w:rPr>
                <w:rFonts w:ascii="Times New Roman" w:eastAsia="Times New Roman" w:hAnsi="Times New Roman" w:cs="Times New Roman"/>
                <w:b/>
                <w:bCs/>
                <w:sz w:val="28"/>
                <w:szCs w:val="28"/>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4.0</w:t>
            </w:r>
          </w:p>
        </w:tc>
      </w:tr>
      <w:tr w:rsidR="00FF0F40" w:rsidRPr="00FF0F40" w:rsidTr="00140074">
        <w:trPr>
          <w:trHeight w:val="420"/>
        </w:trPr>
        <w:tc>
          <w:tcPr>
            <w:tcW w:w="704" w:type="dxa"/>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8</w:t>
            </w:r>
            <w:r w:rsidRPr="00FF0F40">
              <w:rPr>
                <w:rFonts w:ascii="Times New Roman" w:eastAsia="Times New Roman" w:hAnsi="Times New Roman" w:cs="Times New Roman"/>
                <w:sz w:val="28"/>
                <w:szCs w:val="28"/>
              </w:rPr>
              <w:t>.1</w:t>
            </w: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Có sơ đồ và quy trình bảo hiểm</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3</w:t>
            </w:r>
            <w:r w:rsidRPr="00FF0F40">
              <w:rPr>
                <w:rFonts w:ascii="Times New Roman" w:eastAsia="Times New Roman" w:hAnsi="Times New Roman" w:cs="Times New Roman"/>
                <w:sz w:val="28"/>
                <w:szCs w:val="28"/>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3.0</w:t>
            </w:r>
          </w:p>
        </w:tc>
      </w:tr>
      <w:tr w:rsidR="00FF0F40" w:rsidRPr="00FF0F40" w:rsidTr="00140074">
        <w:trPr>
          <w:trHeight w:val="431"/>
        </w:trPr>
        <w:tc>
          <w:tcPr>
            <w:tcW w:w="704" w:type="dxa"/>
            <w:vMerge w:val="restart"/>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2"/>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Có sơ đồ và quy trình bảo hiểm với đầy đủ thông tin và phù hợp với quy trình tổ chức thực hiện bảo hiểm do nhà thầu đề xuất trong E-HSDT.</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3</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lang w:val="vi-VN"/>
              </w:rPr>
            </w:pPr>
          </w:p>
        </w:tc>
      </w:tr>
      <w:tr w:rsidR="00FF0F40" w:rsidRPr="00FF0F40" w:rsidTr="00140074">
        <w:trPr>
          <w:trHeight w:val="135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2"/>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Không có sơ đồ và quy trình bảo hiểm hoặc có sơ đồ và quy trình bảo hiểm nhưng không đầy đủ thông tin và không phù hợp với quy trình tổ chức thực hiện bảo hiểm do nhà thầu đề xuất trong E-HSDT.</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0.0</w:t>
            </w:r>
          </w:p>
        </w:tc>
        <w:tc>
          <w:tcPr>
            <w:tcW w:w="171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r>
      <w:tr w:rsidR="00FF0F40" w:rsidRPr="00FF0F40" w:rsidTr="00140074">
        <w:trPr>
          <w:trHeight w:val="1967"/>
        </w:trPr>
        <w:tc>
          <w:tcPr>
            <w:tcW w:w="704" w:type="dxa"/>
            <w:tcBorders>
              <w:top w:val="nil"/>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lastRenderedPageBreak/>
              <w:t>8</w:t>
            </w:r>
            <w:r w:rsidRPr="00FF0F40">
              <w:rPr>
                <w:rFonts w:ascii="Times New Roman" w:eastAsia="Times New Roman" w:hAnsi="Times New Roman" w:cs="Times New Roman"/>
                <w:sz w:val="28"/>
                <w:szCs w:val="28"/>
              </w:rPr>
              <w:t>.2</w:t>
            </w: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Sơ đồ và quy trình bảo hiểm thể hiện sự liên kết chặt chẽ giữa tất cả mọi đối tượng liên quan chương trình bảo hiểm của Dự án (Người mua bảo hiểm</w:t>
            </w:r>
            <w:r w:rsidRPr="00FF0F40">
              <w:rPr>
                <w:rFonts w:ascii="Times New Roman" w:eastAsia="Times New Roman" w:hAnsi="Times New Roman" w:cs="Times New Roman"/>
                <w:sz w:val="28"/>
                <w:szCs w:val="28"/>
                <w:lang w:val="vi-VN"/>
              </w:rPr>
              <w:t>/Người được bảo hiểm</w:t>
            </w:r>
            <w:r w:rsidRPr="00FF0F40">
              <w:rPr>
                <w:rFonts w:ascii="Times New Roman" w:eastAsia="Times New Roman" w:hAnsi="Times New Roman" w:cs="Times New Roman"/>
                <w:sz w:val="28"/>
                <w:szCs w:val="28"/>
              </w:rPr>
              <w:t>-Công ty môi giới bảo hiểm - Công ty bảo hiểm - Công ty giám định độc lập); Có bản hướng dẫn phương thức,</w:t>
            </w:r>
            <w:r w:rsidRPr="00FF0F40">
              <w:rPr>
                <w:rFonts w:ascii="Times New Roman" w:eastAsia="Times New Roman" w:hAnsi="Times New Roman" w:cs="Times New Roman"/>
                <w:sz w:val="28"/>
                <w:szCs w:val="28"/>
                <w:lang w:val="vi-VN"/>
              </w:rPr>
              <w:t xml:space="preserve"> thời gian,</w:t>
            </w:r>
            <w:r w:rsidRPr="00FF0F40">
              <w:rPr>
                <w:rFonts w:ascii="Times New Roman" w:eastAsia="Times New Roman" w:hAnsi="Times New Roman" w:cs="Times New Roman"/>
                <w:sz w:val="28"/>
                <w:szCs w:val="28"/>
              </w:rPr>
              <w:t xml:space="preserve"> giấy tờ thủ tục giải quyết, khiếu nại đòi bồi thường cho khách hàng; </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2</w:t>
            </w:r>
            <w:r w:rsidRPr="00FF0F40">
              <w:rPr>
                <w:rFonts w:ascii="Times New Roman" w:eastAsia="Times New Roman" w:hAnsi="Times New Roman" w:cs="Times New Roman"/>
                <w:sz w:val="28"/>
                <w:szCs w:val="28"/>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1.0</w:t>
            </w:r>
          </w:p>
        </w:tc>
      </w:tr>
      <w:tr w:rsidR="00FF0F40" w:rsidRPr="00FF0F40" w:rsidTr="00140074">
        <w:trPr>
          <w:trHeight w:val="720"/>
        </w:trPr>
        <w:tc>
          <w:tcPr>
            <w:tcW w:w="704" w:type="dxa"/>
            <w:vMerge w:val="restart"/>
            <w:tcBorders>
              <w:top w:val="nil"/>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1"/>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 xml:space="preserve">Có quy trình và sơ đồ </w:t>
            </w:r>
            <w:r w:rsidRPr="00FF0F40">
              <w:rPr>
                <w:rFonts w:ascii="Times New Roman" w:eastAsia="Times New Roman" w:hAnsi="Times New Roman" w:cs="Times New Roman"/>
                <w:i/>
                <w:iCs/>
                <w:sz w:val="28"/>
                <w:szCs w:val="28"/>
              </w:rPr>
              <w:t xml:space="preserve">đáp ứng yêu cầu, </w:t>
            </w:r>
            <w:r w:rsidRPr="00FF0F40">
              <w:rPr>
                <w:rFonts w:ascii="Times New Roman" w:eastAsia="Times New Roman" w:hAnsi="Times New Roman" w:cs="Times New Roman"/>
                <w:i/>
                <w:iCs/>
                <w:sz w:val="28"/>
                <w:szCs w:val="28"/>
                <w:lang w:val="vi-VN"/>
              </w:rPr>
              <w:t xml:space="preserve"> thời gian xử lý nhanh,</w:t>
            </w:r>
            <w:r w:rsidRPr="00FF0F40">
              <w:rPr>
                <w:rFonts w:ascii="Times New Roman" w:eastAsia="Times New Roman" w:hAnsi="Times New Roman" w:cs="Times New Roman"/>
                <w:i/>
                <w:iCs/>
                <w:sz w:val="28"/>
                <w:szCs w:val="28"/>
              </w:rPr>
              <w:t xml:space="preserve"> dễ thực hiện và</w:t>
            </w:r>
            <w:r w:rsidRPr="00FF0F40">
              <w:rPr>
                <w:rFonts w:ascii="Times New Roman" w:eastAsia="Times New Roman" w:hAnsi="Times New Roman" w:cs="Times New Roman"/>
                <w:i/>
                <w:iCs/>
                <w:sz w:val="28"/>
                <w:szCs w:val="28"/>
                <w:lang w:val="vi-VN"/>
              </w:rPr>
              <w:t xml:space="preserve"> có lợi cho Chủ đầu tư</w:t>
            </w:r>
            <w:r w:rsidRPr="00FF0F40">
              <w:rPr>
                <w:rFonts w:ascii="Times New Roman" w:eastAsia="Times New Roman" w:hAnsi="Times New Roman" w:cs="Times New Roman"/>
                <w:i/>
                <w:iCs/>
                <w:sz w:val="28"/>
                <w:szCs w:val="28"/>
              </w:rPr>
              <w:t>.</w:t>
            </w:r>
          </w:p>
          <w:p w:rsidR="00FF0F40" w:rsidRPr="00FF0F40" w:rsidRDefault="00FF0F40" w:rsidP="00FF0F40">
            <w:pPr>
              <w:spacing w:after="160" w:line="278" w:lineRule="auto"/>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rPr>
              <w:t>(Nhà thầu cung cấp tài liệu chứng minh, giải thích các nội dung có lợi hơn (nếu có) cho Chủ đầu tư trong E-HSDT).</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2.0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5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1"/>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Có quy trình và sơ đồ đáp ứng yêu cầu</w:t>
            </w:r>
            <w:r w:rsidRPr="00FF0F40">
              <w:rPr>
                <w:rFonts w:ascii="Times New Roman" w:eastAsia="Times New Roman" w:hAnsi="Times New Roman" w:cs="Times New Roman"/>
                <w:i/>
                <w:iCs/>
                <w:sz w:val="28"/>
                <w:szCs w:val="28"/>
              </w:rPr>
              <w:t>.</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1.0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20"/>
        </w:trPr>
        <w:tc>
          <w:tcPr>
            <w:tcW w:w="704" w:type="dxa"/>
            <w:tcBorders>
              <w:top w:val="nil"/>
              <w:left w:val="single" w:sz="4" w:space="0" w:color="auto"/>
              <w:bottom w:val="single" w:sz="4" w:space="0" w:color="auto"/>
              <w:right w:val="single" w:sz="4" w:space="0" w:color="auto"/>
            </w:tcBorders>
            <w:noWrap/>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II</w:t>
            </w:r>
          </w:p>
        </w:tc>
        <w:tc>
          <w:tcPr>
            <w:tcW w:w="5321" w:type="dxa"/>
            <w:tcBorders>
              <w:top w:val="nil"/>
              <w:left w:val="nil"/>
              <w:bottom w:val="single" w:sz="4" w:space="0" w:color="auto"/>
              <w:right w:val="single" w:sz="4" w:space="0" w:color="auto"/>
            </w:tcBorders>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rPr>
              <w:t>Yêu cầu về phạm vi cung cấp</w:t>
            </w:r>
            <w:r w:rsidRPr="00FF0F40">
              <w:rPr>
                <w:rFonts w:ascii="Times New Roman" w:eastAsia="Times New Roman" w:hAnsi="Times New Roman" w:cs="Times New Roman"/>
                <w:b/>
                <w:bCs/>
                <w:sz w:val="28"/>
                <w:szCs w:val="28"/>
                <w:lang w:val="vi-VN"/>
              </w:rPr>
              <w:t xml:space="preserve"> dịch vụ bảo hiểm</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20.0</w:t>
            </w:r>
          </w:p>
        </w:tc>
        <w:tc>
          <w:tcPr>
            <w:tcW w:w="171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14.0</w:t>
            </w:r>
          </w:p>
        </w:tc>
      </w:tr>
      <w:tr w:rsidR="00FF0F40" w:rsidRPr="00FF0F40" w:rsidTr="00140074">
        <w:trPr>
          <w:trHeight w:val="520"/>
        </w:trPr>
        <w:tc>
          <w:tcPr>
            <w:tcW w:w="704" w:type="dxa"/>
            <w:vMerge w:val="restart"/>
            <w:tcBorders>
              <w:top w:val="nil"/>
              <w:left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1</w:t>
            </w:r>
          </w:p>
        </w:tc>
        <w:tc>
          <w:tcPr>
            <w:tcW w:w="5321" w:type="dxa"/>
            <w:tcBorders>
              <w:top w:val="single" w:sz="4" w:space="0" w:color="auto"/>
              <w:left w:val="nil"/>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Phạm vi, điều kiện bảo hiểm</w:t>
            </w:r>
          </w:p>
        </w:tc>
        <w:tc>
          <w:tcPr>
            <w:tcW w:w="1530" w:type="dxa"/>
            <w:vMerge w:val="restart"/>
            <w:tcBorders>
              <w:top w:val="nil"/>
              <w:left w:val="nil"/>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10</w:t>
            </w:r>
            <w:r w:rsidRPr="00FF0F40">
              <w:rPr>
                <w:rFonts w:ascii="Times New Roman" w:eastAsia="Times New Roman" w:hAnsi="Times New Roman" w:cs="Times New Roman"/>
                <w:sz w:val="28"/>
                <w:szCs w:val="28"/>
              </w:rPr>
              <w:t>.0</w:t>
            </w:r>
          </w:p>
        </w:tc>
        <w:tc>
          <w:tcPr>
            <w:tcW w:w="1710" w:type="dxa"/>
            <w:vMerge w:val="restart"/>
            <w:tcBorders>
              <w:top w:val="nil"/>
              <w:left w:val="nil"/>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8.0</w:t>
            </w:r>
          </w:p>
        </w:tc>
      </w:tr>
      <w:tr w:rsidR="00FF0F40" w:rsidRPr="00FF0F40" w:rsidTr="00140074">
        <w:trPr>
          <w:trHeight w:val="930"/>
        </w:trPr>
        <w:tc>
          <w:tcPr>
            <w:tcW w:w="704" w:type="dxa"/>
            <w:vMerge/>
            <w:tcBorders>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c>
          <w:tcPr>
            <w:tcW w:w="5321"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Phạm vi và Điều khoản bảo hiểm đáp ứng yêu cầu về Phạm vi cung cấp/Chương trình bảo hiểm theo quy định tại Chương V – Yêu cầu về kỹ thuật trong E-HSMT</w:t>
            </w:r>
            <w:r w:rsidRPr="00FF0F40">
              <w:rPr>
                <w:rFonts w:ascii="Times New Roman" w:eastAsia="Times New Roman" w:hAnsi="Times New Roman" w:cs="Times New Roman"/>
                <w:sz w:val="28"/>
                <w:szCs w:val="28"/>
              </w:rPr>
              <w:t>.</w:t>
            </w:r>
          </w:p>
        </w:tc>
        <w:tc>
          <w:tcPr>
            <w:tcW w:w="1530" w:type="dxa"/>
            <w:vMerge/>
            <w:tcBorders>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c>
          <w:tcPr>
            <w:tcW w:w="1710" w:type="dxa"/>
            <w:vMerge/>
            <w:tcBorders>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r>
      <w:tr w:rsidR="00FF0F40" w:rsidRPr="00FF0F40" w:rsidTr="00140074">
        <w:trPr>
          <w:trHeight w:val="962"/>
        </w:trPr>
        <w:tc>
          <w:tcPr>
            <w:tcW w:w="704" w:type="dxa"/>
            <w:vMerge w:val="restart"/>
            <w:tcBorders>
              <w:top w:val="single" w:sz="4" w:space="0" w:color="auto"/>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lang w:val="vi-VN"/>
              </w:rPr>
            </w:pPr>
          </w:p>
        </w:tc>
        <w:tc>
          <w:tcPr>
            <w:tcW w:w="5321" w:type="dxa"/>
            <w:tcBorders>
              <w:top w:val="single" w:sz="4" w:space="0" w:color="auto"/>
              <w:left w:val="single" w:sz="4" w:space="0" w:color="auto"/>
              <w:right w:val="single" w:sz="4" w:space="0" w:color="auto"/>
            </w:tcBorders>
            <w:shd w:val="clear" w:color="000000" w:fill="FFFFFF"/>
            <w:hideMark/>
          </w:tcPr>
          <w:p w:rsidR="00FF0F40" w:rsidRPr="00FF0F40" w:rsidRDefault="00FF0F40" w:rsidP="00FF0F40">
            <w:pPr>
              <w:numPr>
                <w:ilvl w:val="0"/>
                <w:numId w:val="10"/>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Nhà thầu chào đầy đủ, đáp ứng toàn bộ Phạm vi cung cấp/Chương trình bảo hiểm, có thêm nội dung, điều khoản bổ sung có lợi cho Chủ đầu tư</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10</w:t>
            </w:r>
            <w:r w:rsidRPr="00FF0F40">
              <w:rPr>
                <w:rFonts w:ascii="Times New Roman" w:eastAsia="Times New Roman" w:hAnsi="Times New Roman" w:cs="Times New Roman"/>
                <w:i/>
                <w:iCs/>
                <w:sz w:val="28"/>
                <w:szCs w:val="28"/>
              </w:rPr>
              <w:t>.0</w:t>
            </w:r>
          </w:p>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p>
        </w:tc>
        <w:tc>
          <w:tcPr>
            <w:tcW w:w="1710" w:type="dxa"/>
            <w:vMerge w:val="restart"/>
            <w:tcBorders>
              <w:top w:val="single" w:sz="4" w:space="0" w:color="auto"/>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p w:rsidR="00FF0F40" w:rsidRPr="00FF0F40" w:rsidRDefault="00FF0F40" w:rsidP="00FF0F40">
            <w:pPr>
              <w:spacing w:after="0" w:line="240" w:lineRule="auto"/>
              <w:jc w:val="both"/>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93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left w:val="single" w:sz="4" w:space="0" w:color="auto"/>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(Nhà thầu cung cấp tài liệu chứng minh, giải thích các nội dung, điều khoản bổ sung (nếu có) có lợi cho Chủ đầu tư trong E-HSDT).</w:t>
            </w:r>
          </w:p>
        </w:tc>
        <w:tc>
          <w:tcPr>
            <w:tcW w:w="153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p>
        </w:tc>
        <w:tc>
          <w:tcPr>
            <w:tcW w:w="1710" w:type="dxa"/>
            <w:vMerge/>
            <w:tcBorders>
              <w:top w:val="single" w:sz="4" w:space="0" w:color="auto"/>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outlineLvl w:val="0"/>
              <w:rPr>
                <w:rFonts w:ascii="Times New Roman" w:eastAsia="Times New Roman" w:hAnsi="Times New Roman" w:cs="Times New Roman"/>
                <w:sz w:val="28"/>
                <w:szCs w:val="28"/>
              </w:rPr>
            </w:pPr>
          </w:p>
        </w:tc>
      </w:tr>
      <w:tr w:rsidR="00FF0F40" w:rsidRPr="00FF0F40" w:rsidTr="00140074">
        <w:trPr>
          <w:trHeight w:val="62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single" w:sz="4" w:space="0" w:color="auto"/>
              <w:left w:val="nil"/>
              <w:bottom w:val="single" w:sz="4" w:space="0" w:color="auto"/>
              <w:right w:val="single" w:sz="4" w:space="0" w:color="auto"/>
            </w:tcBorders>
            <w:shd w:val="clear" w:color="000000" w:fill="FFFFFF"/>
            <w:hideMark/>
          </w:tcPr>
          <w:p w:rsidR="00FF0F40" w:rsidRPr="00FF0F40" w:rsidRDefault="00FF0F40" w:rsidP="00FF0F40">
            <w:pPr>
              <w:numPr>
                <w:ilvl w:val="0"/>
                <w:numId w:val="10"/>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Nhà thầu chào đầy đủ, đáp ứng toàn bộ Phạm vi cung cấp/Chương trình bảo hiểm.</w:t>
            </w:r>
          </w:p>
        </w:tc>
        <w:tc>
          <w:tcPr>
            <w:tcW w:w="1530"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8</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93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10"/>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Nhà thầu chào thiếu hoặc không đáp ứng bất kỳ nội dung nào về Phạm vi cung cấp/Chương trình bảo hiểm hoặc đưa ra điều kiện gây bất lợi cho Chủ đầu tư.</w:t>
            </w:r>
          </w:p>
        </w:tc>
        <w:tc>
          <w:tcPr>
            <w:tcW w:w="1530"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0.0</w:t>
            </w:r>
          </w:p>
        </w:tc>
        <w:tc>
          <w:tcPr>
            <w:tcW w:w="1710"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1484"/>
        </w:trPr>
        <w:tc>
          <w:tcPr>
            <w:tcW w:w="704" w:type="dxa"/>
            <w:vMerge w:val="restart"/>
            <w:tcBorders>
              <w:top w:val="nil"/>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lastRenderedPageBreak/>
              <w:t>2</w:t>
            </w:r>
          </w:p>
        </w:tc>
        <w:tc>
          <w:tcPr>
            <w:tcW w:w="5321" w:type="dxa"/>
            <w:tcBorders>
              <w:top w:val="single" w:sz="4" w:space="0" w:color="auto"/>
              <w:left w:val="nil"/>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Điều</w:t>
            </w:r>
            <w:r w:rsidRPr="00FF0F40">
              <w:rPr>
                <w:rFonts w:ascii="Times New Roman" w:eastAsia="Times New Roman" w:hAnsi="Times New Roman" w:cs="Times New Roman"/>
                <w:sz w:val="28"/>
                <w:szCs w:val="28"/>
                <w:lang w:val="vi-VN"/>
              </w:rPr>
              <w:t xml:space="preserve"> khoản bổ sung: </w:t>
            </w:r>
            <w:r w:rsidRPr="00FF0F40">
              <w:rPr>
                <w:rFonts w:ascii="Times New Roman" w:eastAsia="Times New Roman" w:hAnsi="Times New Roman" w:cs="Times New Roman"/>
                <w:sz w:val="28"/>
                <w:szCs w:val="28"/>
              </w:rPr>
              <w:t>Mỗi điều khoản bổ sung</w:t>
            </w:r>
            <w:r w:rsidRPr="00FF0F40">
              <w:rPr>
                <w:rFonts w:ascii="Times New Roman" w:eastAsia="Times New Roman" w:hAnsi="Times New Roman" w:cs="Times New Roman"/>
                <w:sz w:val="28"/>
                <w:szCs w:val="28"/>
                <w:lang w:val="vi-VN"/>
              </w:rPr>
              <w:t xml:space="preserve"> nhiều hơn quy định tại Chương V – Yêu cầu về kỹ thuật trong E-HSMT</w:t>
            </w:r>
            <w:r w:rsidRPr="00FF0F40">
              <w:rPr>
                <w:rFonts w:ascii="Times New Roman" w:eastAsia="Times New Roman" w:hAnsi="Times New Roman" w:cs="Times New Roman"/>
                <w:sz w:val="28"/>
                <w:szCs w:val="28"/>
              </w:rPr>
              <w:t xml:space="preserve"> do nhà thầu đề xuất có lợi cho Chủ đầu tư được cộng thêm 1 điểm nhưng tối đa không quá</w:t>
            </w:r>
            <w:r w:rsidRPr="00FF0F40">
              <w:rPr>
                <w:rFonts w:ascii="Times New Roman" w:eastAsia="Times New Roman" w:hAnsi="Times New Roman" w:cs="Times New Roman"/>
                <w:sz w:val="28"/>
                <w:szCs w:val="28"/>
                <w:lang w:val="vi-VN"/>
              </w:rPr>
              <w:t xml:space="preserve"> 3 </w:t>
            </w:r>
            <w:r w:rsidRPr="00FF0F40">
              <w:rPr>
                <w:rFonts w:ascii="Times New Roman" w:eastAsia="Times New Roman" w:hAnsi="Times New Roman" w:cs="Times New Roman"/>
                <w:sz w:val="28"/>
                <w:szCs w:val="28"/>
              </w:rPr>
              <w:t>điểm</w:t>
            </w:r>
          </w:p>
        </w:tc>
        <w:tc>
          <w:tcPr>
            <w:tcW w:w="1530" w:type="dxa"/>
            <w:vMerge w:val="restart"/>
            <w:tcBorders>
              <w:top w:val="nil"/>
              <w:left w:val="nil"/>
              <w:right w:val="single" w:sz="4" w:space="0" w:color="auto"/>
            </w:tcBorders>
            <w:shd w:val="clear" w:color="000000" w:fill="FFFFFF"/>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3.0</w:t>
            </w:r>
          </w:p>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c>
          <w:tcPr>
            <w:tcW w:w="1710" w:type="dxa"/>
            <w:vMerge w:val="restart"/>
            <w:tcBorders>
              <w:top w:val="nil"/>
              <w:left w:val="nil"/>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63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Ghi chú: Nhà thầu phải thuyết minh chi tiết điều khoản bổ sung do Nhà thầu đề xuất là có lợi cho Chủ đầu tư bằng văn bản. </w:t>
            </w:r>
          </w:p>
        </w:tc>
        <w:tc>
          <w:tcPr>
            <w:tcW w:w="1530" w:type="dxa"/>
            <w:vMerge/>
            <w:tcBorders>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p>
        </w:tc>
        <w:tc>
          <w:tcPr>
            <w:tcW w:w="1710" w:type="dxa"/>
            <w:vMerge/>
            <w:tcBorders>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p>
        </w:tc>
      </w:tr>
      <w:tr w:rsidR="00FF0F40" w:rsidRPr="00FF0F40" w:rsidTr="00140074">
        <w:trPr>
          <w:trHeight w:val="660"/>
        </w:trPr>
        <w:tc>
          <w:tcPr>
            <w:tcW w:w="704" w:type="dxa"/>
            <w:vMerge w:val="restart"/>
            <w:tcBorders>
              <w:top w:val="nil"/>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9"/>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Mỗi điều khoản bổ sung do nhà thầu đề xuất có lợi cho Chủ đầu tư và có thuyết minh bằng văn bản.</w:t>
            </w:r>
          </w:p>
        </w:tc>
        <w:tc>
          <w:tcPr>
            <w:tcW w:w="1530"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3</w:t>
            </w:r>
          </w:p>
        </w:tc>
        <w:tc>
          <w:tcPr>
            <w:tcW w:w="1710"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62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9"/>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Các điều khoản bổ sung do nhà thầu đề xuất gây bất lợi cho Chủ đầu tư.</w:t>
            </w:r>
          </w:p>
        </w:tc>
        <w:tc>
          <w:tcPr>
            <w:tcW w:w="1530"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0.0</w:t>
            </w:r>
          </w:p>
        </w:tc>
        <w:tc>
          <w:tcPr>
            <w:tcW w:w="1710"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510"/>
        </w:trPr>
        <w:tc>
          <w:tcPr>
            <w:tcW w:w="704" w:type="dxa"/>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3</w:t>
            </w: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Mức khấu trừ</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7</w:t>
            </w:r>
            <w:r w:rsidRPr="00FF0F40">
              <w:rPr>
                <w:rFonts w:ascii="Times New Roman" w:eastAsia="Times New Roman" w:hAnsi="Times New Roman" w:cs="Times New Roman"/>
                <w:sz w:val="28"/>
                <w:szCs w:val="28"/>
              </w:rPr>
              <w:t>.0</w:t>
            </w:r>
          </w:p>
        </w:tc>
        <w:tc>
          <w:tcPr>
            <w:tcW w:w="171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5.0</w:t>
            </w:r>
          </w:p>
        </w:tc>
      </w:tr>
      <w:tr w:rsidR="00FF0F40" w:rsidRPr="00FF0F40" w:rsidTr="00140074">
        <w:trPr>
          <w:trHeight w:val="1240"/>
        </w:trPr>
        <w:tc>
          <w:tcPr>
            <w:tcW w:w="704" w:type="dxa"/>
            <w:vMerge w:val="restart"/>
            <w:tcBorders>
              <w:top w:val="nil"/>
              <w:left w:val="single" w:sz="4" w:space="0" w:color="auto"/>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8"/>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 Có ít nhất một mức khấu trừ thấp hơn 10% so với mức yêu cầu trong E-HSMT và không có mức khấu trừ nào cao hơn mức yêu cầu trong E-HSMT.</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7</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5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8"/>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Các mức khấu trừ bằng với yêu cầu trong E-HSMT.</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5.0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5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8"/>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Có bất kỳ mức khấu trừ nào cao hơn yêu cầu trong E-HSMT.</w:t>
            </w:r>
          </w:p>
        </w:tc>
        <w:tc>
          <w:tcPr>
            <w:tcW w:w="1530" w:type="dxa"/>
            <w:tcBorders>
              <w:top w:val="nil"/>
              <w:left w:val="nil"/>
              <w:bottom w:val="single" w:sz="4" w:space="0" w:color="auto"/>
              <w:right w:val="single" w:sz="4" w:space="0" w:color="auto"/>
            </w:tcBorders>
            <w:shd w:val="clear" w:color="000000" w:fill="FFFFFF"/>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0.0</w:t>
            </w:r>
          </w:p>
        </w:tc>
        <w:tc>
          <w:tcPr>
            <w:tcW w:w="1710" w:type="dxa"/>
            <w:tcBorders>
              <w:top w:val="nil"/>
              <w:left w:val="nil"/>
              <w:bottom w:val="single" w:sz="4" w:space="0" w:color="auto"/>
              <w:right w:val="single" w:sz="4" w:space="0" w:color="auto"/>
            </w:tcBorders>
            <w:shd w:val="clear" w:color="000000" w:fill="FFFFFF"/>
            <w:noWrap/>
            <w:hideMark/>
          </w:tcPr>
          <w:p w:rsidR="00FF0F40" w:rsidRPr="00FF0F40" w:rsidRDefault="00FF0F40" w:rsidP="00FF0F40">
            <w:pPr>
              <w:spacing w:after="0" w:line="240" w:lineRule="auto"/>
              <w:jc w:val="both"/>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520"/>
        </w:trPr>
        <w:tc>
          <w:tcPr>
            <w:tcW w:w="704" w:type="dxa"/>
            <w:tcBorders>
              <w:top w:val="nil"/>
              <w:left w:val="single" w:sz="4" w:space="0" w:color="auto"/>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III</w:t>
            </w:r>
          </w:p>
        </w:tc>
        <w:tc>
          <w:tcPr>
            <w:tcW w:w="5321"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Yêu cầu về tái bảo hiểm</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15.0</w:t>
            </w:r>
          </w:p>
        </w:tc>
        <w:tc>
          <w:tcPr>
            <w:tcW w:w="171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10,5</w:t>
            </w:r>
          </w:p>
        </w:tc>
      </w:tr>
      <w:tr w:rsidR="00FF0F40" w:rsidRPr="00FF0F40" w:rsidTr="00140074">
        <w:trPr>
          <w:trHeight w:val="754"/>
        </w:trPr>
        <w:tc>
          <w:tcPr>
            <w:tcW w:w="704" w:type="dxa"/>
            <w:tcBorders>
              <w:top w:val="nil"/>
              <w:left w:val="single" w:sz="4" w:space="0" w:color="auto"/>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1</w:t>
            </w:r>
          </w:p>
        </w:tc>
        <w:tc>
          <w:tcPr>
            <w:tcW w:w="5321" w:type="dxa"/>
            <w:tcBorders>
              <w:top w:val="nil"/>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Tính phù hợp của bản chào tái bảo hiểm của nhà tái bảo hiểm đứng đầu (về Chương trình bảo hiểm):</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5</w:t>
            </w:r>
            <w:r w:rsidRPr="00FF0F40">
              <w:rPr>
                <w:rFonts w:ascii="Times New Roman" w:eastAsia="Times New Roman" w:hAnsi="Times New Roman" w:cs="Times New Roman"/>
                <w:sz w:val="28"/>
                <w:szCs w:val="28"/>
              </w:rPr>
              <w:t>.0</w:t>
            </w:r>
          </w:p>
        </w:tc>
        <w:tc>
          <w:tcPr>
            <w:tcW w:w="171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rPr>
              <w:t>4.</w:t>
            </w:r>
            <w:r w:rsidRPr="00FF0F40">
              <w:rPr>
                <w:rFonts w:ascii="Times New Roman" w:eastAsia="Times New Roman" w:hAnsi="Times New Roman" w:cs="Times New Roman"/>
                <w:sz w:val="28"/>
                <w:szCs w:val="28"/>
                <w:lang w:val="vi-VN"/>
              </w:rPr>
              <w:t>0</w:t>
            </w:r>
          </w:p>
        </w:tc>
      </w:tr>
      <w:tr w:rsidR="00FF0F40" w:rsidRPr="00FF0F40" w:rsidTr="00140074">
        <w:trPr>
          <w:trHeight w:val="1330"/>
        </w:trPr>
        <w:tc>
          <w:tcPr>
            <w:tcW w:w="704" w:type="dxa"/>
            <w:vMerge w:val="restart"/>
            <w:tcBorders>
              <w:top w:val="single" w:sz="4" w:space="0" w:color="auto"/>
              <w:left w:val="single" w:sz="4" w:space="0" w:color="auto"/>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single" w:sz="4" w:space="0" w:color="auto"/>
              <w:left w:val="nil"/>
              <w:bottom w:val="single" w:sz="4" w:space="0" w:color="auto"/>
              <w:right w:val="single" w:sz="4" w:space="0" w:color="auto"/>
            </w:tcBorders>
            <w:hideMark/>
          </w:tcPr>
          <w:p w:rsidR="00FF0F40" w:rsidRPr="00FF0F40" w:rsidRDefault="00FF0F40" w:rsidP="00FF0F40">
            <w:pPr>
              <w:numPr>
                <w:ilvl w:val="0"/>
                <w:numId w:val="7"/>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 xml:space="preserve">Có bản chụp màu (scan) từ bản gốc chào tái bảo hiểm của nhà tái bảo hiểm đứng đầu và nội dung có khác biệt nhưng đảm bảo phạm vi bảo hiểm tốt hơn cho Chủ đầu tư so với Chương trình bảo hiểm theo quy định tại Chương V – Yêu cầu về kỹ thuật </w:t>
            </w:r>
            <w:r w:rsidRPr="00FF0F40">
              <w:rPr>
                <w:rFonts w:ascii="Times New Roman" w:eastAsia="Times New Roman" w:hAnsi="Times New Roman" w:cs="Times New Roman"/>
                <w:i/>
                <w:iCs/>
                <w:sz w:val="28"/>
                <w:szCs w:val="28"/>
              </w:rPr>
              <w:t>trong</w:t>
            </w:r>
            <w:r w:rsidRPr="00FF0F40">
              <w:rPr>
                <w:rFonts w:ascii="Times New Roman" w:eastAsia="Times New Roman" w:hAnsi="Times New Roman" w:cs="Times New Roman"/>
                <w:i/>
                <w:iCs/>
                <w:sz w:val="28"/>
                <w:szCs w:val="28"/>
                <w:lang w:val="vi-VN"/>
              </w:rPr>
              <w:t xml:space="preserve"> E-HSMT</w:t>
            </w:r>
            <w:r w:rsidRPr="00FF0F40">
              <w:rPr>
                <w:rFonts w:ascii="Times New Roman" w:eastAsia="Times New Roman" w:hAnsi="Times New Roman" w:cs="Times New Roman"/>
                <w:i/>
                <w:iCs/>
                <w:sz w:val="28"/>
                <w:szCs w:val="28"/>
              </w:rPr>
              <w:t>.</w:t>
            </w:r>
          </w:p>
        </w:tc>
        <w:tc>
          <w:tcPr>
            <w:tcW w:w="1530" w:type="dxa"/>
            <w:tcBorders>
              <w:top w:val="single" w:sz="4" w:space="0" w:color="auto"/>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5</w:t>
            </w:r>
            <w:r w:rsidRPr="00FF0F40">
              <w:rPr>
                <w:rFonts w:ascii="Times New Roman" w:eastAsia="Times New Roman" w:hAnsi="Times New Roman" w:cs="Times New Roman"/>
                <w:i/>
                <w:iCs/>
                <w:sz w:val="28"/>
                <w:szCs w:val="28"/>
              </w:rPr>
              <w:t>.0</w:t>
            </w:r>
          </w:p>
        </w:tc>
        <w:tc>
          <w:tcPr>
            <w:tcW w:w="1710" w:type="dxa"/>
            <w:tcBorders>
              <w:top w:val="single" w:sz="4" w:space="0" w:color="auto"/>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130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hideMark/>
          </w:tcPr>
          <w:p w:rsidR="00FF0F40" w:rsidRPr="00FF0F40" w:rsidRDefault="00FF0F40" w:rsidP="00FF0F40">
            <w:pPr>
              <w:numPr>
                <w:ilvl w:val="0"/>
                <w:numId w:val="7"/>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 xml:space="preserve">Có bản chụp màu (scan) từ bản gốc chào tái bảo hiểm của nhà tái bảo hiểm đứng đầu và nội dung tuân thủ theo quy định tại Chương V – Yêu cầu về kỹ thuật </w:t>
            </w:r>
            <w:r w:rsidRPr="00FF0F40">
              <w:rPr>
                <w:rFonts w:ascii="Times New Roman" w:eastAsia="Times New Roman" w:hAnsi="Times New Roman" w:cs="Times New Roman"/>
                <w:i/>
                <w:iCs/>
                <w:sz w:val="28"/>
                <w:szCs w:val="28"/>
              </w:rPr>
              <w:t>trong</w:t>
            </w:r>
            <w:r w:rsidRPr="00FF0F40">
              <w:rPr>
                <w:rFonts w:ascii="Times New Roman" w:eastAsia="Times New Roman" w:hAnsi="Times New Roman" w:cs="Times New Roman"/>
                <w:i/>
                <w:iCs/>
                <w:sz w:val="28"/>
                <w:szCs w:val="28"/>
                <w:lang w:val="vi-VN"/>
              </w:rPr>
              <w:t xml:space="preserve"> E-HSMT.</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rPr>
              <w:t>4</w:t>
            </w:r>
            <w:r w:rsidRPr="00FF0F40">
              <w:rPr>
                <w:rFonts w:ascii="Times New Roman" w:eastAsia="Times New Roman" w:hAnsi="Times New Roman" w:cs="Times New Roman"/>
                <w:i/>
                <w:iCs/>
                <w:sz w:val="28"/>
                <w:szCs w:val="28"/>
                <w:lang w:val="vi-VN"/>
              </w:rPr>
              <w:t>.0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1290"/>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7"/>
              </w:numPr>
              <w:spacing w:after="160" w:line="278" w:lineRule="auto"/>
              <w:contextualSpacing/>
              <w:jc w:val="both"/>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 xml:space="preserve">Có bản chụp màu (scan) từ bản gốc chào tái bảo hiểm của nhà tái bảo hiểm đứng đầu và nội dung có khác biệt nhưng gây bất lợi cho Chủ đầu tư so với Chương trình bảo hiểm theo quy định tại Chương V – Yêu cầu về kỹ thuật </w:t>
            </w:r>
            <w:r w:rsidRPr="00FF0F40">
              <w:rPr>
                <w:rFonts w:ascii="Times New Roman" w:eastAsia="Times New Roman" w:hAnsi="Times New Roman" w:cs="Times New Roman"/>
                <w:i/>
                <w:iCs/>
                <w:sz w:val="28"/>
                <w:szCs w:val="28"/>
              </w:rPr>
              <w:t xml:space="preserve">trong </w:t>
            </w:r>
            <w:r w:rsidRPr="00FF0F40">
              <w:rPr>
                <w:rFonts w:ascii="Times New Roman" w:eastAsia="Times New Roman" w:hAnsi="Times New Roman" w:cs="Times New Roman"/>
                <w:i/>
                <w:iCs/>
                <w:sz w:val="28"/>
                <w:szCs w:val="28"/>
                <w:lang w:val="vi-VN"/>
              </w:rPr>
              <w:t>E-HSMT</w:t>
            </w:r>
            <w:r w:rsidRPr="00FF0F40">
              <w:rPr>
                <w:rFonts w:ascii="Times New Roman" w:eastAsia="Times New Roman" w:hAnsi="Times New Roman" w:cs="Times New Roman"/>
                <w:i/>
                <w:iCs/>
                <w:sz w:val="28"/>
                <w:szCs w:val="28"/>
              </w:rPr>
              <w:t>.</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0.0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50"/>
        </w:trPr>
        <w:tc>
          <w:tcPr>
            <w:tcW w:w="704" w:type="dxa"/>
            <w:tcBorders>
              <w:top w:val="nil"/>
              <w:left w:val="single" w:sz="4" w:space="0" w:color="auto"/>
              <w:bottom w:val="single" w:sz="4" w:space="0" w:color="auto"/>
              <w:right w:val="single" w:sz="4" w:space="0" w:color="auto"/>
            </w:tcBorders>
            <w:noWrap/>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2</w:t>
            </w: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Tỷ lệ nhận tái bảo hiểm của nhà tái bảo hiểm đứng đầu:</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4</w:t>
            </w:r>
            <w:r w:rsidRPr="00FF0F40">
              <w:rPr>
                <w:rFonts w:ascii="Times New Roman" w:eastAsia="Times New Roman" w:hAnsi="Times New Roman" w:cs="Times New Roman"/>
                <w:sz w:val="28"/>
                <w:szCs w:val="28"/>
              </w:rPr>
              <w:t>.0</w:t>
            </w:r>
          </w:p>
        </w:tc>
        <w:tc>
          <w:tcPr>
            <w:tcW w:w="171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3.0</w:t>
            </w:r>
          </w:p>
        </w:tc>
      </w:tr>
      <w:tr w:rsidR="00FF0F40" w:rsidRPr="00FF0F40" w:rsidTr="00140074">
        <w:trPr>
          <w:trHeight w:val="450"/>
        </w:trPr>
        <w:tc>
          <w:tcPr>
            <w:tcW w:w="704" w:type="dxa"/>
            <w:vMerge w:val="restart"/>
            <w:tcBorders>
              <w:top w:val="nil"/>
              <w:left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hideMark/>
          </w:tcPr>
          <w:p w:rsidR="00FF0F40" w:rsidRPr="00FF0F40" w:rsidRDefault="00FF0F40" w:rsidP="00FF0F40">
            <w:pPr>
              <w:numPr>
                <w:ilvl w:val="0"/>
                <w:numId w:val="6"/>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 </w:t>
            </w:r>
            <w:r w:rsidRPr="00FF0F40">
              <w:rPr>
                <w:rFonts w:ascii="Times New Roman" w:eastAsia="Times New Roman" w:hAnsi="Times New Roman" w:cs="Times New Roman"/>
                <w:sz w:val="28"/>
                <w:szCs w:val="28"/>
                <w:u w:val="single"/>
              </w:rPr>
              <w:t>&gt;</w:t>
            </w:r>
            <w:r w:rsidRPr="00FF0F40">
              <w:rPr>
                <w:rFonts w:ascii="Times New Roman" w:eastAsia="Times New Roman" w:hAnsi="Times New Roman" w:cs="Times New Roman"/>
                <w:i/>
                <w:iCs/>
                <w:sz w:val="28"/>
                <w:szCs w:val="28"/>
              </w:rPr>
              <w:t xml:space="preserve"> 20% </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4</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50"/>
        </w:trPr>
        <w:tc>
          <w:tcPr>
            <w:tcW w:w="704" w:type="dxa"/>
            <w:vMerge/>
            <w:tcBorders>
              <w:left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hideMark/>
          </w:tcPr>
          <w:p w:rsidR="00FF0F40" w:rsidRPr="00FF0F40" w:rsidRDefault="00FF0F40" w:rsidP="00FF0F40">
            <w:pPr>
              <w:numPr>
                <w:ilvl w:val="0"/>
                <w:numId w:val="6"/>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 </w:t>
            </w:r>
            <w:r w:rsidRPr="00FF0F40">
              <w:rPr>
                <w:rFonts w:ascii="Times New Roman" w:eastAsia="Times New Roman" w:hAnsi="Times New Roman" w:cs="Times New Roman"/>
                <w:sz w:val="28"/>
                <w:szCs w:val="28"/>
                <w:u w:val="single"/>
              </w:rPr>
              <w:t>&gt;</w:t>
            </w:r>
            <w:r w:rsidRPr="00FF0F40">
              <w:rPr>
                <w:rFonts w:ascii="Times New Roman" w:eastAsia="Times New Roman" w:hAnsi="Times New Roman" w:cs="Times New Roman"/>
                <w:i/>
                <w:iCs/>
                <w:sz w:val="28"/>
                <w:szCs w:val="28"/>
              </w:rPr>
              <w:t xml:space="preserve"> 10% đến dưới 20%</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3.0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50"/>
        </w:trPr>
        <w:tc>
          <w:tcPr>
            <w:tcW w:w="704" w:type="dxa"/>
            <w:vMerge/>
            <w:tcBorders>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hideMark/>
          </w:tcPr>
          <w:p w:rsidR="00FF0F40" w:rsidRPr="00FF0F40" w:rsidRDefault="00FF0F40" w:rsidP="00FF0F40">
            <w:pPr>
              <w:numPr>
                <w:ilvl w:val="0"/>
                <w:numId w:val="6"/>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&lt; 10%</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0.0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1833"/>
        </w:trPr>
        <w:tc>
          <w:tcPr>
            <w:tcW w:w="704" w:type="dxa"/>
            <w:tcBorders>
              <w:top w:val="single" w:sz="4" w:space="0" w:color="auto"/>
              <w:left w:val="single" w:sz="4" w:space="0" w:color="auto"/>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3</w:t>
            </w:r>
          </w:p>
        </w:tc>
        <w:tc>
          <w:tcPr>
            <w:tcW w:w="5321" w:type="dxa"/>
            <w:tcBorders>
              <w:top w:val="single" w:sz="4" w:space="0" w:color="auto"/>
              <w:left w:val="nil"/>
              <w:bottom w:val="single" w:sz="4" w:space="0" w:color="auto"/>
              <w:right w:val="single" w:sz="4" w:space="0" w:color="auto"/>
            </w:tcBorders>
            <w:shd w:val="clear" w:color="000000" w:fill="FFFFFF"/>
            <w:vAlign w:val="center"/>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Xếp hạng tín nhiệm tài chính của nhà tái bảo hiểm đứng đầu bởi các tổ chức xếp hạng quốc tế gồm A.M.Best hoặc được xếp hạng tương đương bởi các tổ chức xếp hạng khác như Standard &amp; Poor’s hoặc Moody’s hoặc Fitch tại năm tài chính gần nhất so với thời điểm đóng thầu</w:t>
            </w:r>
            <w:r w:rsidRPr="00FF0F40">
              <w:rPr>
                <w:rFonts w:ascii="Times New Roman" w:eastAsia="Times New Roman" w:hAnsi="Times New Roman" w:cs="Times New Roman"/>
                <w:sz w:val="28"/>
                <w:szCs w:val="28"/>
              </w:rPr>
              <w:t>:</w:t>
            </w:r>
          </w:p>
        </w:tc>
        <w:tc>
          <w:tcPr>
            <w:tcW w:w="1530" w:type="dxa"/>
            <w:tcBorders>
              <w:top w:val="single" w:sz="4" w:space="0" w:color="auto"/>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3</w:t>
            </w:r>
            <w:r w:rsidRPr="00FF0F40">
              <w:rPr>
                <w:rFonts w:ascii="Times New Roman" w:eastAsia="Times New Roman" w:hAnsi="Times New Roman" w:cs="Times New Roman"/>
                <w:sz w:val="28"/>
                <w:szCs w:val="28"/>
              </w:rPr>
              <w:t>.0</w:t>
            </w:r>
          </w:p>
        </w:tc>
        <w:tc>
          <w:tcPr>
            <w:tcW w:w="1710" w:type="dxa"/>
            <w:tcBorders>
              <w:top w:val="single" w:sz="4" w:space="0" w:color="auto"/>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2.0</w:t>
            </w:r>
          </w:p>
        </w:tc>
      </w:tr>
      <w:tr w:rsidR="00FF0F40" w:rsidRPr="00FF0F40" w:rsidTr="00140074">
        <w:trPr>
          <w:trHeight w:val="930"/>
        </w:trPr>
        <w:tc>
          <w:tcPr>
            <w:tcW w:w="704" w:type="dxa"/>
            <w:vMerge w:val="restart"/>
            <w:tcBorders>
              <w:top w:val="nil"/>
              <w:left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5"/>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Xếp hạng trên mức B++ theo </w:t>
            </w:r>
            <w:proofErr w:type="spellStart"/>
            <w:r w:rsidRPr="00FF0F40">
              <w:rPr>
                <w:rFonts w:ascii="Times New Roman" w:eastAsia="Times New Roman" w:hAnsi="Times New Roman" w:cs="Times New Roman"/>
                <w:i/>
                <w:iCs/>
                <w:sz w:val="28"/>
                <w:szCs w:val="28"/>
              </w:rPr>
              <w:t>A.M.Best</w:t>
            </w:r>
            <w:proofErr w:type="spellEnd"/>
            <w:r w:rsidRPr="00FF0F40">
              <w:rPr>
                <w:rFonts w:ascii="Times New Roman" w:eastAsia="Times New Roman" w:hAnsi="Times New Roman" w:cs="Times New Roman"/>
                <w:i/>
                <w:iCs/>
                <w:sz w:val="28"/>
                <w:szCs w:val="28"/>
              </w:rPr>
              <w:t>; hoặc trên mức BBB theo Standard &amp; Poor’s hoặc Fitch; hoặc trên mức Baa1 theo Moody’s.</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lang w:val="vi-VN"/>
              </w:rPr>
              <w:t>3</w:t>
            </w:r>
            <w:r w:rsidRPr="00FF0F40">
              <w:rPr>
                <w:rFonts w:ascii="Times New Roman" w:eastAsia="Times New Roman" w:hAnsi="Times New Roman" w:cs="Times New Roman"/>
                <w:i/>
                <w:iCs/>
                <w:sz w:val="28"/>
                <w:szCs w:val="28"/>
              </w:rPr>
              <w:t>.0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both"/>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1493"/>
        </w:trPr>
        <w:tc>
          <w:tcPr>
            <w:tcW w:w="704" w:type="dxa"/>
            <w:vMerge/>
            <w:tcBorders>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numPr>
                <w:ilvl w:val="0"/>
                <w:numId w:val="5"/>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Xếp hạng ở mức B++ theo </w:t>
            </w:r>
            <w:proofErr w:type="spellStart"/>
            <w:r w:rsidRPr="00FF0F40">
              <w:rPr>
                <w:rFonts w:ascii="Times New Roman" w:eastAsia="Times New Roman" w:hAnsi="Times New Roman" w:cs="Times New Roman"/>
                <w:i/>
                <w:iCs/>
                <w:sz w:val="28"/>
                <w:szCs w:val="28"/>
              </w:rPr>
              <w:t>A.M.Best</w:t>
            </w:r>
            <w:proofErr w:type="spellEnd"/>
            <w:r w:rsidRPr="00FF0F40">
              <w:rPr>
                <w:rFonts w:ascii="Times New Roman" w:eastAsia="Times New Roman" w:hAnsi="Times New Roman" w:cs="Times New Roman"/>
                <w:i/>
                <w:iCs/>
                <w:sz w:val="28"/>
                <w:szCs w:val="28"/>
              </w:rPr>
              <w:t>; hoặc mức BBB theo Standard &amp; Poor’s hoặc Fitch; hoặc mức Baa1 theo Moody’s.</w:t>
            </w:r>
          </w:p>
        </w:tc>
        <w:tc>
          <w:tcPr>
            <w:tcW w:w="1530" w:type="dxa"/>
            <w:tcBorders>
              <w:top w:val="nil"/>
              <w:left w:val="nil"/>
              <w:bottom w:val="single" w:sz="4" w:space="0" w:color="auto"/>
              <w:right w:val="single" w:sz="4" w:space="0" w:color="auto"/>
            </w:tcBorders>
            <w:noWrap/>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lang w:val="vi-VN"/>
              </w:rPr>
            </w:pPr>
            <w:r w:rsidRPr="00FF0F40">
              <w:rPr>
                <w:rFonts w:ascii="Times New Roman" w:eastAsia="Times New Roman" w:hAnsi="Times New Roman" w:cs="Times New Roman"/>
                <w:i/>
                <w:iCs/>
                <w:sz w:val="28"/>
                <w:szCs w:val="28"/>
                <w:lang w:val="vi-VN"/>
              </w:rPr>
              <w:t>2.0</w:t>
            </w:r>
          </w:p>
        </w:tc>
        <w:tc>
          <w:tcPr>
            <w:tcW w:w="1710" w:type="dxa"/>
            <w:tcBorders>
              <w:top w:val="nil"/>
              <w:left w:val="nil"/>
              <w:bottom w:val="single" w:sz="4" w:space="0" w:color="auto"/>
              <w:right w:val="single" w:sz="4" w:space="0" w:color="auto"/>
            </w:tcBorders>
            <w:noWrap/>
            <w:hideMark/>
          </w:tcPr>
          <w:p w:rsidR="00FF0F40" w:rsidRPr="00FF0F40" w:rsidRDefault="00FF0F40" w:rsidP="00FF0F40">
            <w:pPr>
              <w:spacing w:after="0" w:line="240" w:lineRule="auto"/>
              <w:jc w:val="center"/>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w:t>
            </w:r>
          </w:p>
        </w:tc>
      </w:tr>
      <w:tr w:rsidR="00FF0F40" w:rsidRPr="00FF0F40" w:rsidTr="00140074">
        <w:trPr>
          <w:trHeight w:val="450"/>
        </w:trPr>
        <w:tc>
          <w:tcPr>
            <w:tcW w:w="704" w:type="dxa"/>
            <w:vMerge w:val="restart"/>
            <w:tcBorders>
              <w:top w:val="nil"/>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4</w:t>
            </w:r>
          </w:p>
        </w:tc>
        <w:tc>
          <w:tcPr>
            <w:tcW w:w="5321" w:type="dxa"/>
            <w:tcBorders>
              <w:top w:val="single" w:sz="4" w:space="0" w:color="auto"/>
              <w:left w:val="nil"/>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b/>
                <w:bCs/>
                <w:sz w:val="28"/>
                <w:szCs w:val="28"/>
                <w:lang w:val="vi-VN"/>
              </w:rPr>
            </w:pPr>
            <w:r w:rsidRPr="00FF0F40">
              <w:rPr>
                <w:rFonts w:ascii="Times New Roman" w:eastAsia="Times New Roman" w:hAnsi="Times New Roman" w:cs="Times New Roman"/>
                <w:b/>
                <w:bCs/>
                <w:sz w:val="28"/>
                <w:szCs w:val="28"/>
                <w:lang w:val="vi-VN"/>
              </w:rPr>
              <w:t xml:space="preserve">Xếp hạng rating của các nhà tái bảo hiểm theo sau </w:t>
            </w:r>
          </w:p>
        </w:tc>
        <w:tc>
          <w:tcPr>
            <w:tcW w:w="1530" w:type="dxa"/>
            <w:vMerge w:val="restart"/>
            <w:tcBorders>
              <w:top w:val="nil"/>
              <w:left w:val="nil"/>
              <w:right w:val="single" w:sz="4" w:space="0" w:color="auto"/>
            </w:tcBorders>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3</w:t>
            </w:r>
            <w:r w:rsidRPr="00FF0F40">
              <w:rPr>
                <w:rFonts w:ascii="Times New Roman" w:eastAsia="Times New Roman" w:hAnsi="Times New Roman" w:cs="Times New Roman"/>
                <w:sz w:val="28"/>
                <w:szCs w:val="28"/>
              </w:rPr>
              <w:t>.0</w:t>
            </w:r>
          </w:p>
          <w:p w:rsidR="00FF0F40" w:rsidRPr="00FF0F40" w:rsidRDefault="00FF0F40" w:rsidP="00FF0F40">
            <w:pPr>
              <w:spacing w:after="0" w:line="240" w:lineRule="auto"/>
              <w:jc w:val="center"/>
              <w:rPr>
                <w:rFonts w:ascii="Times New Roman" w:eastAsia="Times New Roman" w:hAnsi="Times New Roman" w:cs="Times New Roman"/>
                <w:sz w:val="28"/>
                <w:szCs w:val="28"/>
              </w:rPr>
            </w:pPr>
          </w:p>
        </w:tc>
        <w:tc>
          <w:tcPr>
            <w:tcW w:w="1710" w:type="dxa"/>
            <w:vMerge w:val="restart"/>
            <w:tcBorders>
              <w:top w:val="nil"/>
              <w:left w:val="nil"/>
              <w:right w:val="single" w:sz="4" w:space="0" w:color="auto"/>
            </w:tcBorders>
            <w:hideMark/>
          </w:tcPr>
          <w:p w:rsidR="00FF0F40" w:rsidRPr="00FF0F40" w:rsidRDefault="00FF0F40" w:rsidP="00FF0F40">
            <w:pPr>
              <w:spacing w:after="0" w:line="240" w:lineRule="auto"/>
              <w:jc w:val="center"/>
              <w:rPr>
                <w:rFonts w:ascii="Times New Roman" w:eastAsia="Times New Roman" w:hAnsi="Times New Roman" w:cs="Times New Roman"/>
                <w:sz w:val="28"/>
                <w:szCs w:val="28"/>
                <w:lang w:val="vi-VN"/>
              </w:rPr>
            </w:pPr>
          </w:p>
        </w:tc>
      </w:tr>
      <w:tr w:rsidR="00FF0F40" w:rsidRPr="00FF0F40" w:rsidTr="00140074">
        <w:trPr>
          <w:trHeight w:val="669"/>
        </w:trPr>
        <w:tc>
          <w:tcPr>
            <w:tcW w:w="704" w:type="dxa"/>
            <w:vMerge/>
            <w:tcBorders>
              <w:top w:val="nil"/>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p>
        </w:tc>
        <w:tc>
          <w:tcPr>
            <w:tcW w:w="5321" w:type="dxa"/>
            <w:tcBorders>
              <w:top w:val="nil"/>
              <w:left w:val="nil"/>
              <w:bottom w:val="single" w:sz="4" w:space="0" w:color="auto"/>
              <w:right w:val="single" w:sz="4" w:space="0" w:color="auto"/>
            </w:tcBorders>
            <w:shd w:val="clear" w:color="000000" w:fill="FFFFFF"/>
            <w:hideMark/>
          </w:tcPr>
          <w:p w:rsidR="00FF0F40" w:rsidRPr="00FF0F40" w:rsidRDefault="00FF0F40" w:rsidP="00FF0F40">
            <w:pPr>
              <w:spacing w:after="0" w:line="240" w:lineRule="auto"/>
              <w:jc w:val="both"/>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Nhà thầu phải cam kết thu xếp các nhà tái bảo hiểm theo sau (Theo mẫu ĐGKT-01 Mục 6 Chương V E-HSMT) đảm bảo:</w:t>
            </w:r>
          </w:p>
        </w:tc>
        <w:tc>
          <w:tcPr>
            <w:tcW w:w="1530" w:type="dxa"/>
            <w:vMerge/>
            <w:tcBorders>
              <w:left w:val="nil"/>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p>
        </w:tc>
        <w:tc>
          <w:tcPr>
            <w:tcW w:w="1710" w:type="dxa"/>
            <w:vMerge/>
            <w:tcBorders>
              <w:left w:val="nil"/>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sz w:val="28"/>
                <w:szCs w:val="28"/>
              </w:rPr>
            </w:pPr>
          </w:p>
        </w:tc>
      </w:tr>
      <w:tr w:rsidR="00FF0F40" w:rsidRPr="00FF0F40" w:rsidTr="00140074">
        <w:trPr>
          <w:trHeight w:val="1860"/>
        </w:trPr>
        <w:tc>
          <w:tcPr>
            <w:tcW w:w="704" w:type="dxa"/>
            <w:tcBorders>
              <w:top w:val="single" w:sz="4" w:space="0" w:color="auto"/>
              <w:left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single" w:sz="4" w:space="0" w:color="auto"/>
              <w:left w:val="single" w:sz="4" w:space="0" w:color="auto"/>
              <w:bottom w:val="single" w:sz="4" w:space="0" w:color="auto"/>
              <w:right w:val="single" w:sz="4" w:space="0" w:color="auto"/>
            </w:tcBorders>
            <w:shd w:val="clear" w:color="000000" w:fill="FFFFFF"/>
            <w:hideMark/>
          </w:tcPr>
          <w:p w:rsidR="00FF0F40" w:rsidRPr="00FF0F40" w:rsidRDefault="00FF0F40" w:rsidP="00FF0F40">
            <w:pPr>
              <w:numPr>
                <w:ilvl w:val="0"/>
                <w:numId w:val="4"/>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Tổng </w:t>
            </w:r>
            <w:proofErr w:type="spellStart"/>
            <w:r w:rsidRPr="00FF0F40">
              <w:rPr>
                <w:rFonts w:ascii="Times New Roman" w:eastAsia="Times New Roman" w:hAnsi="Times New Roman" w:cs="Times New Roman"/>
                <w:i/>
                <w:iCs/>
                <w:sz w:val="28"/>
                <w:szCs w:val="28"/>
              </w:rPr>
              <w:t>tỷ</w:t>
            </w:r>
            <w:proofErr w:type="spellEnd"/>
            <w:r w:rsidRPr="00FF0F40">
              <w:rPr>
                <w:rFonts w:ascii="Times New Roman" w:eastAsia="Times New Roman" w:hAnsi="Times New Roman" w:cs="Times New Roman"/>
                <w:i/>
                <w:iCs/>
                <w:sz w:val="28"/>
                <w:szCs w:val="28"/>
              </w:rPr>
              <w:t xml:space="preserve"> lệ nhận tái bảo hiểm của các nhà tái bảo hiểm theo sau có mức xếp hạng tín nhiệm tài chính từ mức B++ trở lên theo </w:t>
            </w:r>
            <w:proofErr w:type="spellStart"/>
            <w:r w:rsidRPr="00FF0F40">
              <w:rPr>
                <w:rFonts w:ascii="Times New Roman" w:eastAsia="Times New Roman" w:hAnsi="Times New Roman" w:cs="Times New Roman"/>
                <w:i/>
                <w:iCs/>
                <w:sz w:val="28"/>
                <w:szCs w:val="28"/>
              </w:rPr>
              <w:t>A.M.Best</w:t>
            </w:r>
            <w:proofErr w:type="spellEnd"/>
            <w:r w:rsidRPr="00FF0F40">
              <w:rPr>
                <w:rFonts w:ascii="Times New Roman" w:eastAsia="Times New Roman" w:hAnsi="Times New Roman" w:cs="Times New Roman"/>
                <w:i/>
                <w:iCs/>
                <w:sz w:val="28"/>
                <w:szCs w:val="28"/>
              </w:rPr>
              <w:t xml:space="preserve"> (hoặc từ mức BBB trở lên theo Standard &amp; Poor’s hoặc Fitch; hoặc từ mức Baa1 trở lên theo Moody’s) đạt từ</w:t>
            </w:r>
            <w:r w:rsidRPr="00FF0F40">
              <w:rPr>
                <w:rFonts w:ascii="Times New Roman" w:eastAsia="Times New Roman" w:hAnsi="Times New Roman" w:cs="Times New Roman"/>
                <w:i/>
                <w:iCs/>
                <w:sz w:val="28"/>
                <w:szCs w:val="28"/>
                <w:lang w:val="vi-VN"/>
              </w:rPr>
              <w:t xml:space="preserve"> 5</w:t>
            </w:r>
            <w:r w:rsidRPr="00FF0F40">
              <w:rPr>
                <w:rFonts w:ascii="Times New Roman" w:eastAsia="Times New Roman" w:hAnsi="Times New Roman" w:cs="Times New Roman"/>
                <w:i/>
                <w:iCs/>
                <w:sz w:val="28"/>
                <w:szCs w:val="28"/>
              </w:rPr>
              <w:t>0% trở lên trên tổng trách nhiệm bảo hiểm của gói thầu</w:t>
            </w:r>
          </w:p>
        </w:tc>
        <w:tc>
          <w:tcPr>
            <w:tcW w:w="1530" w:type="dxa"/>
            <w:tcBorders>
              <w:top w:val="single" w:sz="4" w:space="0" w:color="auto"/>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3.0</w:t>
            </w:r>
          </w:p>
        </w:tc>
        <w:tc>
          <w:tcPr>
            <w:tcW w:w="1710" w:type="dxa"/>
            <w:tcBorders>
              <w:top w:val="single" w:sz="4" w:space="0" w:color="auto"/>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1860"/>
        </w:trPr>
        <w:tc>
          <w:tcPr>
            <w:tcW w:w="704" w:type="dxa"/>
            <w:tcBorders>
              <w:top w:val="nil"/>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single" w:sz="4" w:space="0" w:color="auto"/>
              <w:left w:val="single" w:sz="4" w:space="0" w:color="auto"/>
              <w:bottom w:val="single" w:sz="4" w:space="0" w:color="auto"/>
              <w:right w:val="single" w:sz="4" w:space="0" w:color="auto"/>
            </w:tcBorders>
            <w:shd w:val="clear" w:color="000000" w:fill="FFFFFF"/>
            <w:hideMark/>
          </w:tcPr>
          <w:p w:rsidR="00FF0F40" w:rsidRPr="00FF0F40" w:rsidRDefault="00FF0F40" w:rsidP="00FF0F40">
            <w:pPr>
              <w:numPr>
                <w:ilvl w:val="0"/>
                <w:numId w:val="4"/>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Tổng </w:t>
            </w:r>
            <w:proofErr w:type="spellStart"/>
            <w:r w:rsidRPr="00FF0F40">
              <w:rPr>
                <w:rFonts w:ascii="Times New Roman" w:eastAsia="Times New Roman" w:hAnsi="Times New Roman" w:cs="Times New Roman"/>
                <w:i/>
                <w:iCs/>
                <w:sz w:val="28"/>
                <w:szCs w:val="28"/>
              </w:rPr>
              <w:t>tỷ</w:t>
            </w:r>
            <w:proofErr w:type="spellEnd"/>
            <w:r w:rsidRPr="00FF0F40">
              <w:rPr>
                <w:rFonts w:ascii="Times New Roman" w:eastAsia="Times New Roman" w:hAnsi="Times New Roman" w:cs="Times New Roman"/>
                <w:i/>
                <w:iCs/>
                <w:sz w:val="28"/>
                <w:szCs w:val="28"/>
              </w:rPr>
              <w:t xml:space="preserve"> lệ nhận tái bảo hiểm của các nhà tái bảo hiểm theo sau có mức xếp hạng tín nhiệm tài chính từ mức B++ trở lên theo </w:t>
            </w:r>
            <w:proofErr w:type="spellStart"/>
            <w:r w:rsidRPr="00FF0F40">
              <w:rPr>
                <w:rFonts w:ascii="Times New Roman" w:eastAsia="Times New Roman" w:hAnsi="Times New Roman" w:cs="Times New Roman"/>
                <w:i/>
                <w:iCs/>
                <w:sz w:val="28"/>
                <w:szCs w:val="28"/>
              </w:rPr>
              <w:t>A.M.Best</w:t>
            </w:r>
            <w:proofErr w:type="spellEnd"/>
            <w:r w:rsidRPr="00FF0F40">
              <w:rPr>
                <w:rFonts w:ascii="Times New Roman" w:eastAsia="Times New Roman" w:hAnsi="Times New Roman" w:cs="Times New Roman"/>
                <w:i/>
                <w:iCs/>
                <w:sz w:val="28"/>
                <w:szCs w:val="28"/>
              </w:rPr>
              <w:t xml:space="preserve"> (hoặc từ mức BBB trở lên theo Standard &amp; Poor’s hoặc Fitch; hoặc từ mức Baa1 trở lên theo Moody’s) đạt từ 30% đến &lt; </w:t>
            </w:r>
            <w:r w:rsidRPr="00FF0F40">
              <w:rPr>
                <w:rFonts w:ascii="Times New Roman" w:eastAsia="Times New Roman" w:hAnsi="Times New Roman" w:cs="Times New Roman"/>
                <w:i/>
                <w:iCs/>
                <w:sz w:val="28"/>
                <w:szCs w:val="28"/>
                <w:lang w:val="vi-VN"/>
              </w:rPr>
              <w:t>5</w:t>
            </w:r>
            <w:r w:rsidRPr="00FF0F40">
              <w:rPr>
                <w:rFonts w:ascii="Times New Roman" w:eastAsia="Times New Roman" w:hAnsi="Times New Roman" w:cs="Times New Roman"/>
                <w:i/>
                <w:iCs/>
                <w:sz w:val="28"/>
                <w:szCs w:val="28"/>
              </w:rPr>
              <w:t xml:space="preserve">0% trên tổng trách nhiệm bảo hiểm cho gói thầu </w:t>
            </w:r>
          </w:p>
        </w:tc>
        <w:tc>
          <w:tcPr>
            <w:tcW w:w="1530" w:type="dxa"/>
            <w:tcBorders>
              <w:top w:val="single" w:sz="4" w:space="0" w:color="auto"/>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lang w:val="vi-VN"/>
              </w:rPr>
            </w:pPr>
            <w:r w:rsidRPr="00FF0F40">
              <w:rPr>
                <w:rFonts w:ascii="Times New Roman" w:eastAsia="Times New Roman" w:hAnsi="Times New Roman" w:cs="Times New Roman"/>
                <w:sz w:val="28"/>
                <w:szCs w:val="28"/>
                <w:lang w:val="vi-VN"/>
              </w:rPr>
              <w:t>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r>
      <w:tr w:rsidR="00FF0F40" w:rsidRPr="00FF0F40" w:rsidTr="00140074">
        <w:trPr>
          <w:trHeight w:val="2707"/>
        </w:trPr>
        <w:tc>
          <w:tcPr>
            <w:tcW w:w="704" w:type="dxa"/>
            <w:tcBorders>
              <w:top w:val="nil"/>
              <w:left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single" w:sz="4" w:space="0" w:color="auto"/>
              <w:left w:val="nil"/>
              <w:bottom w:val="single" w:sz="4" w:space="0" w:color="auto"/>
              <w:right w:val="single" w:sz="4" w:space="0" w:color="auto"/>
            </w:tcBorders>
            <w:shd w:val="clear" w:color="000000" w:fill="FFFFFF"/>
            <w:hideMark/>
          </w:tcPr>
          <w:p w:rsidR="00FF0F40" w:rsidRPr="00FF0F40" w:rsidRDefault="00FF0F40" w:rsidP="00FF0F40">
            <w:pPr>
              <w:numPr>
                <w:ilvl w:val="0"/>
                <w:numId w:val="4"/>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 xml:space="preserve">Tổng </w:t>
            </w:r>
            <w:proofErr w:type="spellStart"/>
            <w:r w:rsidRPr="00FF0F40">
              <w:rPr>
                <w:rFonts w:ascii="Times New Roman" w:eastAsia="Times New Roman" w:hAnsi="Times New Roman" w:cs="Times New Roman"/>
                <w:i/>
                <w:iCs/>
                <w:sz w:val="28"/>
                <w:szCs w:val="28"/>
              </w:rPr>
              <w:t>tỷ</w:t>
            </w:r>
            <w:proofErr w:type="spellEnd"/>
            <w:r w:rsidRPr="00FF0F40">
              <w:rPr>
                <w:rFonts w:ascii="Times New Roman" w:eastAsia="Times New Roman" w:hAnsi="Times New Roman" w:cs="Times New Roman"/>
                <w:i/>
                <w:iCs/>
                <w:sz w:val="28"/>
                <w:szCs w:val="28"/>
              </w:rPr>
              <w:t xml:space="preserve"> lệ nhận tái bảo hiểm của các nhà tái bảo hiểm theo sau có mức xếp hạng tín nhiệm tài chính từ mức B++ trở lên theo </w:t>
            </w:r>
            <w:proofErr w:type="spellStart"/>
            <w:r w:rsidRPr="00FF0F40">
              <w:rPr>
                <w:rFonts w:ascii="Times New Roman" w:eastAsia="Times New Roman" w:hAnsi="Times New Roman" w:cs="Times New Roman"/>
                <w:i/>
                <w:iCs/>
                <w:sz w:val="28"/>
                <w:szCs w:val="28"/>
              </w:rPr>
              <w:t>A.M.Best</w:t>
            </w:r>
            <w:proofErr w:type="spellEnd"/>
            <w:r w:rsidRPr="00FF0F40">
              <w:rPr>
                <w:rFonts w:ascii="Times New Roman" w:eastAsia="Times New Roman" w:hAnsi="Times New Roman" w:cs="Times New Roman"/>
                <w:i/>
                <w:iCs/>
                <w:sz w:val="28"/>
                <w:szCs w:val="28"/>
              </w:rPr>
              <w:t xml:space="preserve"> (hoặc từ mức BBB trở lên theo Standard &amp; Poor’s hoặc Fitch; hoặc từ mức Baa1 trở lên theo Moody’s) đạt trên từ &gt;20% đến &lt; 30% trên tổng trách nhiệm bảo hiểm của gói thầu </w:t>
            </w:r>
          </w:p>
        </w:tc>
        <w:tc>
          <w:tcPr>
            <w:tcW w:w="1530" w:type="dxa"/>
            <w:tcBorders>
              <w:top w:val="single" w:sz="4" w:space="0" w:color="auto"/>
              <w:left w:val="nil"/>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lang w:val="vi-VN"/>
              </w:rPr>
              <w:t>1</w:t>
            </w:r>
            <w:r w:rsidRPr="00FF0F40">
              <w:rPr>
                <w:rFonts w:ascii="Times New Roman" w:eastAsia="Times New Roman" w:hAnsi="Times New Roman" w:cs="Times New Roman"/>
                <w:sz w:val="28"/>
                <w:szCs w:val="28"/>
              </w:rPr>
              <w:t>.0</w:t>
            </w:r>
          </w:p>
        </w:tc>
        <w:tc>
          <w:tcPr>
            <w:tcW w:w="1710" w:type="dxa"/>
            <w:tcBorders>
              <w:top w:val="single" w:sz="4" w:space="0" w:color="auto"/>
              <w:left w:val="nil"/>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450"/>
        </w:trPr>
        <w:tc>
          <w:tcPr>
            <w:tcW w:w="704" w:type="dxa"/>
            <w:tcBorders>
              <w:top w:val="nil"/>
              <w:left w:val="single" w:sz="4" w:space="0" w:color="auto"/>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p>
        </w:tc>
        <w:tc>
          <w:tcPr>
            <w:tcW w:w="5321" w:type="dxa"/>
            <w:tcBorders>
              <w:top w:val="single" w:sz="4" w:space="0" w:color="auto"/>
              <w:left w:val="nil"/>
              <w:bottom w:val="single" w:sz="4" w:space="0" w:color="auto"/>
              <w:right w:val="single" w:sz="4" w:space="0" w:color="auto"/>
            </w:tcBorders>
            <w:shd w:val="clear" w:color="000000" w:fill="FFFFFF"/>
            <w:hideMark/>
          </w:tcPr>
          <w:p w:rsidR="00FF0F40" w:rsidRPr="00FF0F40" w:rsidRDefault="00FF0F40" w:rsidP="00FF0F40">
            <w:pPr>
              <w:numPr>
                <w:ilvl w:val="0"/>
                <w:numId w:val="4"/>
              </w:numPr>
              <w:spacing w:after="160" w:line="278" w:lineRule="auto"/>
              <w:contextualSpacing/>
              <w:jc w:val="both"/>
              <w:outlineLvl w:val="0"/>
              <w:rPr>
                <w:rFonts w:ascii="Times New Roman" w:eastAsia="Times New Roman" w:hAnsi="Times New Roman" w:cs="Times New Roman"/>
                <w:i/>
                <w:iCs/>
                <w:sz w:val="28"/>
                <w:szCs w:val="28"/>
              </w:rPr>
            </w:pPr>
            <w:r w:rsidRPr="00FF0F40">
              <w:rPr>
                <w:rFonts w:ascii="Times New Roman" w:eastAsia="Times New Roman" w:hAnsi="Times New Roman" w:cs="Times New Roman"/>
                <w:i/>
                <w:iCs/>
                <w:sz w:val="28"/>
                <w:szCs w:val="28"/>
              </w:rPr>
              <w:t>Không đáp ứng điều kiện tại Mục a, b và c của Tiêu chí này.</w:t>
            </w:r>
          </w:p>
        </w:tc>
        <w:tc>
          <w:tcPr>
            <w:tcW w:w="1530" w:type="dxa"/>
            <w:tcBorders>
              <w:top w:val="single" w:sz="4" w:space="0" w:color="auto"/>
              <w:left w:val="nil"/>
              <w:bottom w:val="single" w:sz="4" w:space="0" w:color="auto"/>
              <w:right w:val="single" w:sz="4" w:space="0" w:color="auto"/>
            </w:tcBorders>
            <w:vAlign w:val="center"/>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0.0</w:t>
            </w:r>
          </w:p>
        </w:tc>
        <w:tc>
          <w:tcPr>
            <w:tcW w:w="1710" w:type="dxa"/>
            <w:tcBorders>
              <w:top w:val="single" w:sz="4" w:space="0" w:color="auto"/>
              <w:left w:val="nil"/>
              <w:bottom w:val="single" w:sz="4" w:space="0" w:color="auto"/>
              <w:right w:val="single" w:sz="4" w:space="0" w:color="auto"/>
            </w:tcBorders>
            <w:hideMark/>
          </w:tcPr>
          <w:p w:rsidR="00FF0F40" w:rsidRPr="00FF0F40" w:rsidRDefault="00FF0F40" w:rsidP="00FF0F40">
            <w:pPr>
              <w:spacing w:after="0" w:line="240" w:lineRule="auto"/>
              <w:jc w:val="center"/>
              <w:outlineLvl w:val="0"/>
              <w:rPr>
                <w:rFonts w:ascii="Times New Roman" w:eastAsia="Times New Roman" w:hAnsi="Times New Roman" w:cs="Times New Roman"/>
                <w:sz w:val="28"/>
                <w:szCs w:val="28"/>
              </w:rPr>
            </w:pPr>
            <w:r w:rsidRPr="00FF0F40">
              <w:rPr>
                <w:rFonts w:ascii="Times New Roman" w:eastAsia="Times New Roman" w:hAnsi="Times New Roman" w:cs="Times New Roman"/>
                <w:sz w:val="28"/>
                <w:szCs w:val="28"/>
              </w:rPr>
              <w:t> </w:t>
            </w:r>
          </w:p>
        </w:tc>
      </w:tr>
      <w:tr w:rsidR="00FF0F40" w:rsidRPr="00FF0F40" w:rsidTr="00140074">
        <w:trPr>
          <w:trHeight w:val="510"/>
        </w:trPr>
        <w:tc>
          <w:tcPr>
            <w:tcW w:w="6025" w:type="dxa"/>
            <w:gridSpan w:val="2"/>
            <w:tcBorders>
              <w:top w:val="single" w:sz="4" w:space="0" w:color="auto"/>
              <w:left w:val="single" w:sz="4" w:space="0" w:color="auto"/>
              <w:bottom w:val="single" w:sz="4" w:space="0" w:color="auto"/>
              <w:right w:val="single" w:sz="4" w:space="0" w:color="auto"/>
            </w:tcBorders>
            <w:vAlign w:val="center"/>
            <w:hideMark/>
          </w:tcPr>
          <w:p w:rsidR="00FF0F40" w:rsidRPr="00FF0F40" w:rsidRDefault="00FF0F40" w:rsidP="00FF0F40">
            <w:pPr>
              <w:spacing w:after="0" w:line="240" w:lineRule="auto"/>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Tổng điểm kỹ thuật</w:t>
            </w:r>
          </w:p>
        </w:tc>
        <w:tc>
          <w:tcPr>
            <w:tcW w:w="1530" w:type="dxa"/>
            <w:tcBorders>
              <w:top w:val="nil"/>
              <w:left w:val="nil"/>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100.0</w:t>
            </w:r>
          </w:p>
        </w:tc>
        <w:tc>
          <w:tcPr>
            <w:tcW w:w="1710" w:type="dxa"/>
            <w:tcBorders>
              <w:top w:val="nil"/>
              <w:left w:val="nil"/>
              <w:bottom w:val="single" w:sz="4" w:space="0" w:color="auto"/>
              <w:right w:val="single" w:sz="4" w:space="0" w:color="auto"/>
            </w:tcBorders>
            <w:vAlign w:val="center"/>
            <w:hideMark/>
          </w:tcPr>
          <w:p w:rsidR="00FF0F40" w:rsidRPr="00FF0F40" w:rsidRDefault="00FF0F40" w:rsidP="00FF0F40">
            <w:pPr>
              <w:spacing w:after="0" w:line="240" w:lineRule="auto"/>
              <w:jc w:val="center"/>
              <w:rPr>
                <w:rFonts w:ascii="Times New Roman" w:eastAsia="Times New Roman" w:hAnsi="Times New Roman" w:cs="Times New Roman"/>
                <w:b/>
                <w:bCs/>
                <w:sz w:val="28"/>
                <w:szCs w:val="28"/>
              </w:rPr>
            </w:pPr>
            <w:r w:rsidRPr="00FF0F40">
              <w:rPr>
                <w:rFonts w:ascii="Times New Roman" w:eastAsia="Times New Roman" w:hAnsi="Times New Roman" w:cs="Times New Roman"/>
                <w:b/>
                <w:bCs/>
                <w:sz w:val="28"/>
                <w:szCs w:val="28"/>
              </w:rPr>
              <w:t>70.0</w:t>
            </w:r>
          </w:p>
        </w:tc>
      </w:tr>
    </w:tbl>
    <w:p w:rsidR="00846A2C" w:rsidRDefault="00FF0F40"/>
    <w:sectPr w:rsidR="00846A2C" w:rsidSect="005121AE">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9DC"/>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49279A9"/>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6187E9A"/>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F933744"/>
    <w:multiLevelType w:val="hybridMultilevel"/>
    <w:tmpl w:val="D96CC5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9B1934"/>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1A416662"/>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F8447FD"/>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22A4267C"/>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31820F9D"/>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36FA5447"/>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9610D3B"/>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50DF4117"/>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53E07A42"/>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58E16E8A"/>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667A2540"/>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709149FC"/>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7CD00900"/>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CD5501A"/>
    <w:multiLevelType w:val="hybridMultilevel"/>
    <w:tmpl w:val="D96CC5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17"/>
  </w:num>
  <w:num w:numId="3">
    <w:abstractNumId w:val="5"/>
  </w:num>
  <w:num w:numId="4">
    <w:abstractNumId w:val="12"/>
  </w:num>
  <w:num w:numId="5">
    <w:abstractNumId w:val="4"/>
  </w:num>
  <w:num w:numId="6">
    <w:abstractNumId w:val="1"/>
  </w:num>
  <w:num w:numId="7">
    <w:abstractNumId w:val="10"/>
  </w:num>
  <w:num w:numId="8">
    <w:abstractNumId w:val="0"/>
  </w:num>
  <w:num w:numId="9">
    <w:abstractNumId w:val="6"/>
  </w:num>
  <w:num w:numId="10">
    <w:abstractNumId w:val="16"/>
  </w:num>
  <w:num w:numId="11">
    <w:abstractNumId w:val="2"/>
  </w:num>
  <w:num w:numId="12">
    <w:abstractNumId w:val="7"/>
  </w:num>
  <w:num w:numId="13">
    <w:abstractNumId w:val="11"/>
  </w:num>
  <w:num w:numId="14">
    <w:abstractNumId w:val="15"/>
  </w:num>
  <w:num w:numId="15">
    <w:abstractNumId w:val="8"/>
  </w:num>
  <w:num w:numId="16">
    <w:abstractNumId w:val="14"/>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93"/>
    <w:rsid w:val="00243993"/>
    <w:rsid w:val="004D5644"/>
    <w:rsid w:val="005121AE"/>
    <w:rsid w:val="00861C4E"/>
    <w:rsid w:val="00D81CCF"/>
    <w:rsid w:val="00FF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STANDARDUSER</dc:creator>
  <cp:keywords/>
  <dc:description/>
  <cp:lastModifiedBy>STANDARDUSER</cp:lastModifiedBy>
  <cp:revision>2</cp:revision>
  <dcterms:created xsi:type="dcterms:W3CDTF">2026-04-17T11:56:00Z</dcterms:created>
  <dcterms:modified xsi:type="dcterms:W3CDTF">2026-04-17T11:57:00Z</dcterms:modified>
</cp:coreProperties>
</file>