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B2A4A" w14:textId="77777777" w:rsidR="00591655" w:rsidRPr="00591655" w:rsidRDefault="00591655" w:rsidP="00591655">
      <w:pPr>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8"/>
          <w:szCs w:val="28"/>
          <w:lang w:val="nl-NL"/>
        </w:rPr>
      </w:pPr>
      <w:r w:rsidRPr="00591655">
        <w:rPr>
          <w:rFonts w:ascii="Times New Roman" w:eastAsia="Batang" w:hAnsi="Times New Roman" w:cs="Times New Roman"/>
          <w:b/>
          <w:bCs/>
          <w:iCs/>
          <w:noProof/>
          <w:kern w:val="36"/>
          <w:sz w:val="28"/>
          <w:szCs w:val="28"/>
          <w:lang w:val="nl-NL"/>
        </w:rPr>
        <w:t xml:space="preserve">Mục </w:t>
      </w:r>
      <w:r w:rsidRPr="00591655">
        <w:rPr>
          <w:rFonts w:ascii="Times New Roman" w:eastAsia="Batang" w:hAnsi="Times New Roman" w:cs="Times New Roman"/>
          <w:b/>
          <w:bCs/>
          <w:iCs/>
          <w:noProof/>
          <w:kern w:val="36"/>
          <w:sz w:val="28"/>
          <w:szCs w:val="28"/>
          <w:lang w:val="pl-PL"/>
        </w:rPr>
        <w:t>3</w:t>
      </w:r>
      <w:r w:rsidRPr="00591655">
        <w:rPr>
          <w:rFonts w:ascii="Times New Roman" w:eastAsia="Batang" w:hAnsi="Times New Roman" w:cs="Times New Roman"/>
          <w:b/>
          <w:bCs/>
          <w:iCs/>
          <w:noProof/>
          <w:kern w:val="36"/>
          <w:sz w:val="28"/>
          <w:szCs w:val="28"/>
          <w:lang w:val="nl-NL"/>
        </w:rPr>
        <w:t>. Tiêu chuẩn đánh giá về kỹ thuật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211"/>
        <w:gridCol w:w="3827"/>
        <w:gridCol w:w="2552"/>
      </w:tblGrid>
      <w:tr w:rsidR="00591655" w:rsidRPr="00591655" w14:paraId="192991A9" w14:textId="77777777" w:rsidTr="00E2393D">
        <w:trPr>
          <w:trHeight w:val="20"/>
        </w:trPr>
        <w:tc>
          <w:tcPr>
            <w:tcW w:w="761" w:type="dxa"/>
            <w:vMerge w:val="restart"/>
            <w:shd w:val="clear" w:color="auto" w:fill="auto"/>
            <w:vAlign w:val="center"/>
            <w:hideMark/>
          </w:tcPr>
          <w:p w14:paraId="5F96EAD9"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Mục</w:t>
            </w:r>
          </w:p>
        </w:tc>
        <w:tc>
          <w:tcPr>
            <w:tcW w:w="2211" w:type="dxa"/>
            <w:vMerge w:val="restart"/>
            <w:shd w:val="clear" w:color="auto" w:fill="auto"/>
            <w:vAlign w:val="center"/>
            <w:hideMark/>
          </w:tcPr>
          <w:p w14:paraId="3BBC6398"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Nội dung đánh giá</w:t>
            </w:r>
          </w:p>
        </w:tc>
        <w:tc>
          <w:tcPr>
            <w:tcW w:w="6379" w:type="dxa"/>
            <w:gridSpan w:val="2"/>
            <w:shd w:val="clear" w:color="auto" w:fill="auto"/>
            <w:vAlign w:val="center"/>
            <w:hideMark/>
          </w:tcPr>
          <w:p w14:paraId="4545931D"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Mức độ đáp ứng</w:t>
            </w:r>
          </w:p>
        </w:tc>
      </w:tr>
      <w:tr w:rsidR="00591655" w:rsidRPr="00591655" w14:paraId="10295B4D" w14:textId="77777777" w:rsidTr="00E2393D">
        <w:trPr>
          <w:trHeight w:val="20"/>
        </w:trPr>
        <w:tc>
          <w:tcPr>
            <w:tcW w:w="761" w:type="dxa"/>
            <w:vMerge/>
            <w:vAlign w:val="center"/>
            <w:hideMark/>
          </w:tcPr>
          <w:p w14:paraId="6AC5B6DD"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p>
        </w:tc>
        <w:tc>
          <w:tcPr>
            <w:tcW w:w="2211" w:type="dxa"/>
            <w:vMerge/>
            <w:vAlign w:val="center"/>
            <w:hideMark/>
          </w:tcPr>
          <w:p w14:paraId="3E053E83"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p>
        </w:tc>
        <w:tc>
          <w:tcPr>
            <w:tcW w:w="3827" w:type="dxa"/>
            <w:shd w:val="clear" w:color="auto" w:fill="auto"/>
            <w:hideMark/>
          </w:tcPr>
          <w:p w14:paraId="6A3BF5BD" w14:textId="77777777" w:rsidR="00591655" w:rsidRPr="00591655" w:rsidRDefault="00591655" w:rsidP="00591655">
            <w:pPr>
              <w:spacing w:after="0" w:line="240" w:lineRule="auto"/>
              <w:jc w:val="center"/>
              <w:rPr>
                <w:rFonts w:ascii="Times New Roman" w:eastAsia="Times New Roman" w:hAnsi="Times New Roman" w:cs="Times New Roman"/>
                <w:b/>
                <w:color w:val="FF0000"/>
                <w:sz w:val="26"/>
                <w:szCs w:val="26"/>
              </w:rPr>
            </w:pPr>
            <w:r w:rsidRPr="00591655">
              <w:rPr>
                <w:rFonts w:ascii="Times New Roman" w:eastAsia="Times New Roman" w:hAnsi="Times New Roman" w:cs="Times New Roman"/>
                <w:b/>
                <w:color w:val="FF0000"/>
                <w:sz w:val="26"/>
                <w:szCs w:val="26"/>
              </w:rPr>
              <w:t>Đạt</w:t>
            </w:r>
          </w:p>
        </w:tc>
        <w:tc>
          <w:tcPr>
            <w:tcW w:w="2552" w:type="dxa"/>
            <w:shd w:val="clear" w:color="auto" w:fill="auto"/>
            <w:hideMark/>
          </w:tcPr>
          <w:p w14:paraId="194F3ECF" w14:textId="77777777" w:rsidR="00591655" w:rsidRPr="00591655" w:rsidRDefault="00591655" w:rsidP="00591655">
            <w:pPr>
              <w:spacing w:after="0" w:line="240" w:lineRule="auto"/>
              <w:jc w:val="center"/>
              <w:rPr>
                <w:rFonts w:ascii="Times New Roman" w:eastAsia="Times New Roman" w:hAnsi="Times New Roman" w:cs="Times New Roman"/>
                <w:b/>
                <w:color w:val="FF0000"/>
                <w:sz w:val="26"/>
                <w:szCs w:val="26"/>
                <w:lang w:val="vi-VN"/>
              </w:rPr>
            </w:pPr>
            <w:r w:rsidRPr="00591655">
              <w:rPr>
                <w:rFonts w:ascii="Times New Roman" w:eastAsia="Times New Roman" w:hAnsi="Times New Roman" w:cs="Times New Roman"/>
                <w:b/>
                <w:color w:val="FF0000"/>
                <w:sz w:val="26"/>
                <w:szCs w:val="26"/>
              </w:rPr>
              <w:t>Không đạt</w:t>
            </w:r>
          </w:p>
        </w:tc>
      </w:tr>
      <w:tr w:rsidR="00591655" w:rsidRPr="00591655" w14:paraId="2CBFDD6D" w14:textId="77777777" w:rsidTr="00E2393D">
        <w:trPr>
          <w:trHeight w:val="20"/>
        </w:trPr>
        <w:tc>
          <w:tcPr>
            <w:tcW w:w="761" w:type="dxa"/>
            <w:vAlign w:val="center"/>
          </w:tcPr>
          <w:p w14:paraId="1DA0531F" w14:textId="77777777" w:rsidR="00591655" w:rsidRPr="00591655" w:rsidRDefault="00591655" w:rsidP="00591655">
            <w:pPr>
              <w:spacing w:after="0" w:line="240" w:lineRule="auto"/>
              <w:jc w:val="center"/>
              <w:rPr>
                <w:rFonts w:ascii="Times New Roman" w:eastAsia="Times New Roman" w:hAnsi="Times New Roman" w:cs="Times New Roman"/>
                <w:bCs/>
                <w:color w:val="FF0000"/>
                <w:sz w:val="26"/>
                <w:szCs w:val="26"/>
                <w:lang w:val="vi-VN"/>
              </w:rPr>
            </w:pPr>
            <w:r w:rsidRPr="00591655">
              <w:rPr>
                <w:rFonts w:ascii="Times New Roman" w:eastAsia="Times New Roman" w:hAnsi="Times New Roman" w:cs="Times New Roman"/>
                <w:bCs/>
                <w:color w:val="FF0000"/>
                <w:sz w:val="26"/>
                <w:szCs w:val="26"/>
                <w:lang w:val="vi-VN"/>
              </w:rPr>
              <w:t>(1)</w:t>
            </w:r>
          </w:p>
        </w:tc>
        <w:tc>
          <w:tcPr>
            <w:tcW w:w="2211" w:type="dxa"/>
            <w:vAlign w:val="center"/>
          </w:tcPr>
          <w:p w14:paraId="2AA17DF1"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Cs/>
                <w:color w:val="FF0000"/>
                <w:sz w:val="26"/>
                <w:szCs w:val="26"/>
                <w:lang w:val="vi-VN"/>
              </w:rPr>
              <w:t>(2)</w:t>
            </w:r>
          </w:p>
        </w:tc>
        <w:tc>
          <w:tcPr>
            <w:tcW w:w="3827" w:type="dxa"/>
            <w:shd w:val="clear" w:color="auto" w:fill="auto"/>
          </w:tcPr>
          <w:p w14:paraId="10694A70" w14:textId="77777777" w:rsidR="00591655" w:rsidRPr="00591655" w:rsidRDefault="00591655" w:rsidP="00591655">
            <w:pPr>
              <w:spacing w:after="0" w:line="240" w:lineRule="auto"/>
              <w:jc w:val="center"/>
              <w:rPr>
                <w:rFonts w:ascii="Times New Roman" w:eastAsia="Times New Roman" w:hAnsi="Times New Roman" w:cs="Times New Roman"/>
                <w:b/>
                <w:color w:val="FF0000"/>
                <w:sz w:val="26"/>
                <w:szCs w:val="26"/>
              </w:rPr>
            </w:pPr>
            <w:r w:rsidRPr="00591655">
              <w:rPr>
                <w:rFonts w:ascii="Times New Roman" w:eastAsia="Times New Roman" w:hAnsi="Times New Roman" w:cs="Times New Roman"/>
                <w:bCs/>
                <w:color w:val="FF0000"/>
                <w:sz w:val="26"/>
                <w:szCs w:val="26"/>
                <w:lang w:val="vi-VN"/>
              </w:rPr>
              <w:t>(3)</w:t>
            </w:r>
          </w:p>
        </w:tc>
        <w:tc>
          <w:tcPr>
            <w:tcW w:w="2552" w:type="dxa"/>
            <w:shd w:val="clear" w:color="auto" w:fill="auto"/>
          </w:tcPr>
          <w:p w14:paraId="325973E5" w14:textId="77777777" w:rsidR="00591655" w:rsidRPr="00591655" w:rsidRDefault="00591655" w:rsidP="00591655">
            <w:pPr>
              <w:tabs>
                <w:tab w:val="left" w:pos="1139"/>
                <w:tab w:val="center" w:pos="1530"/>
              </w:tabs>
              <w:spacing w:after="0" w:line="240" w:lineRule="auto"/>
              <w:jc w:val="both"/>
              <w:rPr>
                <w:rFonts w:ascii="Times New Roman" w:eastAsia="Times New Roman" w:hAnsi="Times New Roman" w:cs="Times New Roman"/>
                <w:b/>
                <w:color w:val="FF0000"/>
                <w:sz w:val="26"/>
                <w:szCs w:val="26"/>
              </w:rPr>
            </w:pPr>
            <w:r w:rsidRPr="00591655">
              <w:rPr>
                <w:rFonts w:ascii="Times New Roman" w:eastAsia="Times New Roman" w:hAnsi="Times New Roman" w:cs="Times New Roman"/>
                <w:bCs/>
                <w:color w:val="FF0000"/>
                <w:sz w:val="26"/>
                <w:szCs w:val="26"/>
                <w:lang w:val="vi-VN"/>
              </w:rPr>
              <w:tab/>
            </w:r>
            <w:r w:rsidRPr="00591655">
              <w:rPr>
                <w:rFonts w:ascii="Times New Roman" w:eastAsia="Times New Roman" w:hAnsi="Times New Roman" w:cs="Times New Roman"/>
                <w:bCs/>
                <w:color w:val="FF0000"/>
                <w:sz w:val="26"/>
                <w:szCs w:val="26"/>
                <w:lang w:val="vi-VN"/>
              </w:rPr>
              <w:tab/>
              <w:t>(4)</w:t>
            </w:r>
          </w:p>
        </w:tc>
      </w:tr>
      <w:tr w:rsidR="00591655" w:rsidRPr="00591655" w14:paraId="7CA10DFE" w14:textId="77777777" w:rsidTr="00E2393D">
        <w:trPr>
          <w:trHeight w:val="20"/>
        </w:trPr>
        <w:tc>
          <w:tcPr>
            <w:tcW w:w="761" w:type="dxa"/>
            <w:shd w:val="clear" w:color="auto" w:fill="auto"/>
            <w:vAlign w:val="center"/>
            <w:hideMark/>
          </w:tcPr>
          <w:p w14:paraId="579E7224"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A</w:t>
            </w:r>
          </w:p>
        </w:tc>
        <w:tc>
          <w:tcPr>
            <w:tcW w:w="8590" w:type="dxa"/>
            <w:gridSpan w:val="3"/>
            <w:shd w:val="clear" w:color="auto" w:fill="auto"/>
            <w:vAlign w:val="center"/>
            <w:hideMark/>
          </w:tcPr>
          <w:p w14:paraId="748DBD38"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Đặc tính kỹ thuật của hàng hóa</w:t>
            </w:r>
          </w:p>
        </w:tc>
      </w:tr>
      <w:tr w:rsidR="00BC251D" w:rsidRPr="00E1426D" w14:paraId="01E308A1" w14:textId="77777777" w:rsidTr="00E2393D">
        <w:trPr>
          <w:trHeight w:val="20"/>
        </w:trPr>
        <w:tc>
          <w:tcPr>
            <w:tcW w:w="761" w:type="dxa"/>
            <w:shd w:val="clear" w:color="auto" w:fill="auto"/>
            <w:vAlign w:val="center"/>
            <w:hideMark/>
          </w:tcPr>
          <w:p w14:paraId="49A2C4D4" w14:textId="77777777" w:rsidR="00BC251D" w:rsidRPr="00591655" w:rsidRDefault="00BC251D" w:rsidP="00BC251D">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1</w:t>
            </w:r>
          </w:p>
        </w:tc>
        <w:tc>
          <w:tcPr>
            <w:tcW w:w="2211" w:type="dxa"/>
            <w:shd w:val="clear" w:color="auto" w:fill="auto"/>
            <w:vAlign w:val="center"/>
          </w:tcPr>
          <w:p w14:paraId="0465E717" w14:textId="6C8B407B" w:rsidR="00BC251D" w:rsidRPr="00B76869" w:rsidRDefault="00BC251D"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Tính hợp lệ của hàng hoá chào thầu</w:t>
            </w:r>
          </w:p>
        </w:tc>
        <w:tc>
          <w:tcPr>
            <w:tcW w:w="3827" w:type="dxa"/>
            <w:shd w:val="clear" w:color="auto" w:fill="auto"/>
            <w:vAlign w:val="center"/>
          </w:tcPr>
          <w:p w14:paraId="545F0A50" w14:textId="571CF042" w:rsidR="00BC251D" w:rsidRPr="00B76869" w:rsidRDefault="00BC251D"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Nhà thầu phải nêu rõ tên, ký mã hiệu, nhãn mác, hãng sản xuất, xuất xứ của hàng hoá chào thầu</w:t>
            </w:r>
          </w:p>
        </w:tc>
        <w:tc>
          <w:tcPr>
            <w:tcW w:w="2552" w:type="dxa"/>
            <w:shd w:val="clear" w:color="auto" w:fill="auto"/>
            <w:vAlign w:val="center"/>
          </w:tcPr>
          <w:p w14:paraId="5D1B784D" w14:textId="074E8EC5" w:rsidR="00BC251D" w:rsidRPr="00BC251D" w:rsidRDefault="00BC251D"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Nhà thầu không nêu rõ tên, ký mã hiệu, nhãn mác, hãng sản xuất,  xuất xứ của hàng hoá chào thầu</w:t>
            </w:r>
          </w:p>
        </w:tc>
      </w:tr>
      <w:tr w:rsidR="00BC251D" w:rsidRPr="00591655" w14:paraId="4DD4CBC3" w14:textId="77777777" w:rsidTr="00D86E0E">
        <w:trPr>
          <w:trHeight w:val="20"/>
        </w:trPr>
        <w:tc>
          <w:tcPr>
            <w:tcW w:w="761" w:type="dxa"/>
            <w:shd w:val="clear" w:color="auto" w:fill="auto"/>
            <w:vAlign w:val="center"/>
            <w:hideMark/>
          </w:tcPr>
          <w:p w14:paraId="7DCEB61E" w14:textId="77777777" w:rsidR="00BC251D" w:rsidRPr="00591655" w:rsidRDefault="00BC251D" w:rsidP="00BC251D">
            <w:pPr>
              <w:spacing w:after="0" w:line="240" w:lineRule="auto"/>
              <w:jc w:val="center"/>
              <w:rPr>
                <w:rFonts w:ascii="Times New Roman" w:eastAsia="Times New Roman" w:hAnsi="Times New Roman" w:cs="Times New Roman"/>
                <w:bCs/>
                <w:color w:val="FF0000"/>
                <w:sz w:val="26"/>
                <w:szCs w:val="26"/>
              </w:rPr>
            </w:pPr>
            <w:r w:rsidRPr="00591655">
              <w:rPr>
                <w:rFonts w:ascii="Times New Roman" w:eastAsia="Times New Roman" w:hAnsi="Times New Roman" w:cs="Times New Roman"/>
                <w:bCs/>
                <w:color w:val="FF0000"/>
                <w:sz w:val="26"/>
                <w:szCs w:val="26"/>
              </w:rPr>
              <w:t>2</w:t>
            </w:r>
          </w:p>
        </w:tc>
        <w:tc>
          <w:tcPr>
            <w:tcW w:w="2211" w:type="dxa"/>
            <w:shd w:val="clear" w:color="auto" w:fill="auto"/>
            <w:vAlign w:val="center"/>
          </w:tcPr>
          <w:p w14:paraId="7E2D8E7D" w14:textId="77777777" w:rsidR="00BC251D" w:rsidRPr="00B76869" w:rsidRDefault="00BC251D"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Tính hợp lệ của hàng hóa</w:t>
            </w:r>
          </w:p>
        </w:tc>
        <w:tc>
          <w:tcPr>
            <w:tcW w:w="3827" w:type="dxa"/>
            <w:shd w:val="clear" w:color="auto" w:fill="auto"/>
            <w:vAlign w:val="center"/>
          </w:tcPr>
          <w:p w14:paraId="34C0506A" w14:textId="1BF88966" w:rsidR="00BC251D" w:rsidRPr="00B76869" w:rsidRDefault="00B76869"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 xml:space="preserve">Có tất cả các đặc tính, thông số kỹ thuật của hàng hóa, tiêu chuẩn sản xuất, hoàn toàn phù hợp đáp ứng yêu cầu của HSMT. Có Giấy chứng nhận cơ sở đủ điều kiện an toàn thực phẩm về sản xuất hoặc kinh doanh các mặt hàng tương </w:t>
            </w:r>
            <w:r w:rsidRPr="00E1426D">
              <w:rPr>
                <w:rFonts w:ascii="Times New Roman" w:eastAsia="Times New Roman" w:hAnsi="Times New Roman" w:cs="Times New Roman"/>
                <w:color w:val="FF0000"/>
                <w:sz w:val="26"/>
                <w:szCs w:val="26"/>
                <w:lang w:val="vi-VN"/>
              </w:rPr>
              <w:t>ứng</w:t>
            </w:r>
            <w:r w:rsidRPr="00B76869">
              <w:rPr>
                <w:rFonts w:ascii="Times New Roman" w:eastAsia="Times New Roman" w:hAnsi="Times New Roman" w:cs="Times New Roman"/>
                <w:color w:val="FF0000"/>
                <w:sz w:val="26"/>
                <w:szCs w:val="26"/>
                <w:lang w:val="vi-VN"/>
              </w:rPr>
              <w:t>. Có tài liệu chứng minh</w:t>
            </w:r>
          </w:p>
        </w:tc>
        <w:tc>
          <w:tcPr>
            <w:tcW w:w="2552" w:type="dxa"/>
            <w:shd w:val="clear" w:color="auto" w:fill="auto"/>
            <w:vAlign w:val="center"/>
          </w:tcPr>
          <w:p w14:paraId="50D9C7DA" w14:textId="492B7328" w:rsidR="00BC251D" w:rsidRPr="00B76869" w:rsidRDefault="00B76869" w:rsidP="00BC251D">
            <w:pPr>
              <w:spacing w:after="0" w:line="240" w:lineRule="auto"/>
              <w:jc w:val="both"/>
              <w:rPr>
                <w:rFonts w:ascii="Times New Roman" w:eastAsia="Times New Roman" w:hAnsi="Times New Roman" w:cs="Times New Roman"/>
                <w:color w:val="FF0000"/>
                <w:sz w:val="26"/>
                <w:szCs w:val="26"/>
                <w:lang w:val="vi-VN"/>
              </w:rPr>
            </w:pPr>
            <w:r w:rsidRPr="00B76869">
              <w:rPr>
                <w:rFonts w:ascii="Times New Roman" w:eastAsia="Times New Roman" w:hAnsi="Times New Roman" w:cs="Times New Roman"/>
                <w:color w:val="FF0000"/>
                <w:sz w:val="26"/>
                <w:szCs w:val="26"/>
                <w:lang w:val="vi-VN"/>
              </w:rPr>
              <w:t>Có đặc tính, thông số kỹ thuật của hàng hóa, tiêu chuẩn sản xuất, không phù hợp, hoặc không đáp ứng yêu cầu của HSMT. Không có tài liệu chứng minh</w:t>
            </w:r>
          </w:p>
        </w:tc>
      </w:tr>
      <w:tr w:rsidR="00591655" w:rsidRPr="00591655" w14:paraId="45497838" w14:textId="77777777" w:rsidTr="00E2393D">
        <w:trPr>
          <w:trHeight w:val="20"/>
        </w:trPr>
        <w:tc>
          <w:tcPr>
            <w:tcW w:w="761" w:type="dxa"/>
            <w:shd w:val="clear" w:color="auto" w:fill="auto"/>
            <w:vAlign w:val="center"/>
            <w:hideMark/>
          </w:tcPr>
          <w:p w14:paraId="7799E24F"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B</w:t>
            </w:r>
          </w:p>
        </w:tc>
        <w:tc>
          <w:tcPr>
            <w:tcW w:w="8590" w:type="dxa"/>
            <w:gridSpan w:val="3"/>
            <w:shd w:val="clear" w:color="auto" w:fill="auto"/>
            <w:vAlign w:val="center"/>
            <w:hideMark/>
          </w:tcPr>
          <w:p w14:paraId="658BF52C"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lang w:val="vi-VN"/>
              </w:rPr>
              <w:t>B</w:t>
            </w:r>
            <w:r w:rsidRPr="00591655">
              <w:rPr>
                <w:rFonts w:ascii="Times New Roman" w:eastAsia="Times New Roman" w:hAnsi="Times New Roman" w:cs="Times New Roman"/>
                <w:b/>
                <w:bCs/>
                <w:color w:val="FF0000"/>
                <w:sz w:val="26"/>
                <w:szCs w:val="26"/>
              </w:rPr>
              <w:t>ảo hành</w:t>
            </w:r>
          </w:p>
        </w:tc>
      </w:tr>
      <w:tr w:rsidR="00591655" w:rsidRPr="00591655" w14:paraId="6DDB079B" w14:textId="77777777" w:rsidTr="00E2393D">
        <w:trPr>
          <w:trHeight w:val="20"/>
        </w:trPr>
        <w:tc>
          <w:tcPr>
            <w:tcW w:w="761" w:type="dxa"/>
            <w:shd w:val="clear" w:color="auto" w:fill="auto"/>
            <w:vAlign w:val="center"/>
            <w:hideMark/>
          </w:tcPr>
          <w:p w14:paraId="2E95D104"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1</w:t>
            </w:r>
          </w:p>
        </w:tc>
        <w:tc>
          <w:tcPr>
            <w:tcW w:w="2211" w:type="dxa"/>
            <w:shd w:val="clear" w:color="auto" w:fill="auto"/>
            <w:vAlign w:val="center"/>
            <w:hideMark/>
          </w:tcPr>
          <w:p w14:paraId="448043AB"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rPr>
              <w:t xml:space="preserve">Thời hạn </w:t>
            </w:r>
            <w:r w:rsidRPr="00591655">
              <w:rPr>
                <w:rFonts w:ascii="Times New Roman" w:eastAsia="Times New Roman" w:hAnsi="Times New Roman" w:cs="Times New Roman"/>
                <w:color w:val="FF0000"/>
                <w:sz w:val="26"/>
                <w:szCs w:val="26"/>
                <w:lang w:val="vi-VN"/>
              </w:rPr>
              <w:t>Bảo hành</w:t>
            </w:r>
          </w:p>
        </w:tc>
        <w:tc>
          <w:tcPr>
            <w:tcW w:w="3827" w:type="dxa"/>
            <w:shd w:val="clear" w:color="auto" w:fill="auto"/>
            <w:vAlign w:val="center"/>
            <w:hideMark/>
          </w:tcPr>
          <w:p w14:paraId="07B0E053"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lang w:val="vi-VN"/>
              </w:rPr>
              <w:t xml:space="preserve">Nhà thầu cam kết đáp ứng theo yêu cầu tại Mục 1 Yêu cầu về kỹ thuật, Chương V, Phần 2. </w:t>
            </w:r>
            <w:r w:rsidRPr="00591655">
              <w:rPr>
                <w:rFonts w:ascii="Times New Roman" w:eastAsia="Times New Roman" w:hAnsi="Times New Roman" w:cs="Times New Roman"/>
                <w:color w:val="FF0000"/>
                <w:sz w:val="26"/>
                <w:szCs w:val="26"/>
              </w:rPr>
              <w:t>Yêu cầu về kỹ thuật của E-HSMT</w:t>
            </w:r>
          </w:p>
        </w:tc>
        <w:tc>
          <w:tcPr>
            <w:tcW w:w="2552" w:type="dxa"/>
            <w:shd w:val="clear" w:color="auto" w:fill="auto"/>
            <w:vAlign w:val="center"/>
            <w:hideMark/>
          </w:tcPr>
          <w:p w14:paraId="279A8487"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lang w:val="vi-VN"/>
              </w:rPr>
              <w:t xml:space="preserve">Không có hoặc có nhưng không </w:t>
            </w:r>
            <w:r w:rsidRPr="00591655">
              <w:rPr>
                <w:rFonts w:ascii="Times New Roman" w:eastAsia="Times New Roman" w:hAnsi="Times New Roman" w:cs="Times New Roman"/>
                <w:color w:val="FF0000"/>
                <w:sz w:val="26"/>
                <w:szCs w:val="26"/>
              </w:rPr>
              <w:t>đầy đủ, hoặc không đáp ứng yêu cầu E-HSMT</w:t>
            </w:r>
          </w:p>
        </w:tc>
      </w:tr>
      <w:tr w:rsidR="00591655" w:rsidRPr="00E1426D" w14:paraId="0BC70507" w14:textId="77777777" w:rsidTr="00E2393D">
        <w:trPr>
          <w:trHeight w:val="20"/>
        </w:trPr>
        <w:tc>
          <w:tcPr>
            <w:tcW w:w="761" w:type="dxa"/>
            <w:shd w:val="clear" w:color="auto" w:fill="auto"/>
            <w:vAlign w:val="center"/>
          </w:tcPr>
          <w:p w14:paraId="06BFB9FA"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2</w:t>
            </w:r>
          </w:p>
        </w:tc>
        <w:tc>
          <w:tcPr>
            <w:tcW w:w="2211" w:type="dxa"/>
            <w:shd w:val="clear" w:color="auto" w:fill="auto"/>
            <w:vAlign w:val="center"/>
          </w:tcPr>
          <w:p w14:paraId="044E5842"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 xml:space="preserve">Quy trình về việc bảo hành </w:t>
            </w:r>
          </w:p>
        </w:tc>
        <w:tc>
          <w:tcPr>
            <w:tcW w:w="3827" w:type="dxa"/>
            <w:shd w:val="clear" w:color="auto" w:fill="auto"/>
            <w:vAlign w:val="center"/>
          </w:tcPr>
          <w:p w14:paraId="4C9C8470"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Nhà thầu đưa ra quy trình đầy đủ về việc bảo hành.</w:t>
            </w:r>
          </w:p>
        </w:tc>
        <w:tc>
          <w:tcPr>
            <w:tcW w:w="2552" w:type="dxa"/>
            <w:shd w:val="clear" w:color="auto" w:fill="auto"/>
            <w:vAlign w:val="center"/>
          </w:tcPr>
          <w:p w14:paraId="2B9199D3"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E1426D" w14:paraId="270C723A" w14:textId="77777777" w:rsidTr="00E2393D">
        <w:trPr>
          <w:trHeight w:val="20"/>
        </w:trPr>
        <w:tc>
          <w:tcPr>
            <w:tcW w:w="761" w:type="dxa"/>
            <w:shd w:val="clear" w:color="auto" w:fill="auto"/>
            <w:vAlign w:val="center"/>
          </w:tcPr>
          <w:p w14:paraId="6D189B0F"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3</w:t>
            </w:r>
          </w:p>
        </w:tc>
        <w:tc>
          <w:tcPr>
            <w:tcW w:w="2211" w:type="dxa"/>
            <w:shd w:val="clear" w:color="auto" w:fill="auto"/>
            <w:vAlign w:val="center"/>
          </w:tcPr>
          <w:p w14:paraId="64016D28"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Chế độ bảo hành</w:t>
            </w:r>
          </w:p>
        </w:tc>
        <w:tc>
          <w:tcPr>
            <w:tcW w:w="3827" w:type="dxa"/>
            <w:shd w:val="clear" w:color="auto" w:fill="auto"/>
            <w:vAlign w:val="center"/>
          </w:tcPr>
          <w:p w14:paraId="25C58827"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Nhà thầu có cam kết đổi trả ngay các sản phẩm có bao bì bị cũ, thủng, chữ in không rõ ràng, sản phẩm quan sát bằng cảm quan không đảm bảo vệ sinh, hạn sử dụng sản phẩm còn dưới 2/3 thời hạn sử dụng tối thiểu theo tiêu chuẩn của nhà sản suất.</w:t>
            </w:r>
          </w:p>
        </w:tc>
        <w:tc>
          <w:tcPr>
            <w:tcW w:w="2552" w:type="dxa"/>
            <w:shd w:val="clear" w:color="auto" w:fill="auto"/>
            <w:vAlign w:val="center"/>
          </w:tcPr>
          <w:p w14:paraId="2604F3DF"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7B692182" w14:textId="77777777" w:rsidTr="00E2393D">
        <w:trPr>
          <w:trHeight w:val="20"/>
        </w:trPr>
        <w:tc>
          <w:tcPr>
            <w:tcW w:w="761" w:type="dxa"/>
            <w:shd w:val="clear" w:color="auto" w:fill="auto"/>
            <w:vAlign w:val="center"/>
            <w:hideMark/>
          </w:tcPr>
          <w:p w14:paraId="2386E819"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C</w:t>
            </w:r>
          </w:p>
        </w:tc>
        <w:tc>
          <w:tcPr>
            <w:tcW w:w="8590" w:type="dxa"/>
            <w:gridSpan w:val="3"/>
            <w:shd w:val="clear" w:color="auto" w:fill="auto"/>
            <w:vAlign w:val="center"/>
            <w:hideMark/>
          </w:tcPr>
          <w:p w14:paraId="0982D66F"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b/>
                <w:bCs/>
                <w:color w:val="FF0000"/>
                <w:sz w:val="26"/>
                <w:szCs w:val="26"/>
              </w:rPr>
              <w:t>Thời gian thực hiện hợp đồng và tiến độ cung cấp hàng hóa</w:t>
            </w:r>
          </w:p>
        </w:tc>
      </w:tr>
      <w:tr w:rsidR="00591655" w:rsidRPr="00591655" w14:paraId="0EE9F9E0" w14:textId="77777777" w:rsidTr="00E2393D">
        <w:trPr>
          <w:trHeight w:val="20"/>
        </w:trPr>
        <w:tc>
          <w:tcPr>
            <w:tcW w:w="761" w:type="dxa"/>
            <w:shd w:val="clear" w:color="auto" w:fill="auto"/>
            <w:vAlign w:val="center"/>
            <w:hideMark/>
          </w:tcPr>
          <w:p w14:paraId="0B37797B"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1</w:t>
            </w:r>
          </w:p>
        </w:tc>
        <w:tc>
          <w:tcPr>
            <w:tcW w:w="2211" w:type="dxa"/>
            <w:shd w:val="clear" w:color="auto" w:fill="auto"/>
            <w:vAlign w:val="center"/>
            <w:hideMark/>
          </w:tcPr>
          <w:p w14:paraId="6A3C23E5"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Thời gian giao hàng</w:t>
            </w:r>
          </w:p>
        </w:tc>
        <w:tc>
          <w:tcPr>
            <w:tcW w:w="3827" w:type="dxa"/>
            <w:shd w:val="clear" w:color="auto" w:fill="auto"/>
            <w:vAlign w:val="center"/>
            <w:hideMark/>
          </w:tcPr>
          <w:p w14:paraId="2039FB95" w14:textId="16EF9A31"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 xml:space="preserve">Có cam kết thời gian giao hàng hàng ngày từ </w:t>
            </w:r>
            <w:r w:rsidR="00B76869">
              <w:rPr>
                <w:rFonts w:ascii="Times New Roman" w:eastAsia="Times New Roman" w:hAnsi="Times New Roman" w:cs="Times New Roman"/>
                <w:color w:val="FF0000"/>
                <w:sz w:val="26"/>
                <w:szCs w:val="26"/>
              </w:rPr>
              <w:t>5</w:t>
            </w:r>
            <w:r w:rsidRPr="00591655">
              <w:rPr>
                <w:rFonts w:ascii="Times New Roman" w:eastAsia="Times New Roman" w:hAnsi="Times New Roman" w:cs="Times New Roman"/>
                <w:color w:val="FF0000"/>
                <w:sz w:val="26"/>
                <w:szCs w:val="26"/>
              </w:rPr>
              <w:t>h00-</w:t>
            </w:r>
            <w:r w:rsidR="00B76869">
              <w:rPr>
                <w:rFonts w:ascii="Times New Roman" w:eastAsia="Times New Roman" w:hAnsi="Times New Roman" w:cs="Times New Roman"/>
                <w:color w:val="FF0000"/>
                <w:sz w:val="26"/>
                <w:szCs w:val="26"/>
              </w:rPr>
              <w:t>5</w:t>
            </w:r>
            <w:r w:rsidRPr="00591655">
              <w:rPr>
                <w:rFonts w:ascii="Times New Roman" w:eastAsia="Times New Roman" w:hAnsi="Times New Roman" w:cs="Times New Roman"/>
                <w:color w:val="FF0000"/>
                <w:sz w:val="26"/>
                <w:szCs w:val="26"/>
              </w:rPr>
              <w:t>h30’ hàng ngày; thời gian giao hàng trong trường hợp đột xuất là không quá 01 giờ kể từ khi nhận được thông báo đặt hàng của Chủ đầu tư. Hàng hóa không đảm bảo chất lượng đổi trả trong thời gian 01 giờ kể từ khi chủ đầu tư yêu cầu</w:t>
            </w:r>
          </w:p>
        </w:tc>
        <w:tc>
          <w:tcPr>
            <w:tcW w:w="2552" w:type="dxa"/>
            <w:shd w:val="clear" w:color="auto" w:fill="auto"/>
            <w:vAlign w:val="center"/>
            <w:hideMark/>
          </w:tcPr>
          <w:p w14:paraId="6B75527A"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lang w:val="vi-VN"/>
              </w:rPr>
              <w:t xml:space="preserve">Không có hoặc có nhưng không </w:t>
            </w:r>
            <w:r w:rsidRPr="00591655">
              <w:rPr>
                <w:rFonts w:ascii="Times New Roman" w:eastAsia="Times New Roman" w:hAnsi="Times New Roman" w:cs="Times New Roman"/>
                <w:color w:val="FF0000"/>
                <w:sz w:val="26"/>
                <w:szCs w:val="26"/>
              </w:rPr>
              <w:t>đầy đủ, hoặc không đáp ứng yêu cầu E-HSMT</w:t>
            </w:r>
          </w:p>
        </w:tc>
      </w:tr>
      <w:tr w:rsidR="00591655" w:rsidRPr="00E1426D" w14:paraId="30933594" w14:textId="77777777" w:rsidTr="00E2393D">
        <w:trPr>
          <w:trHeight w:val="20"/>
        </w:trPr>
        <w:tc>
          <w:tcPr>
            <w:tcW w:w="761" w:type="dxa"/>
            <w:shd w:val="clear" w:color="auto" w:fill="auto"/>
            <w:vAlign w:val="center"/>
            <w:hideMark/>
          </w:tcPr>
          <w:p w14:paraId="4123BB0D"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2</w:t>
            </w:r>
          </w:p>
        </w:tc>
        <w:tc>
          <w:tcPr>
            <w:tcW w:w="2211" w:type="dxa"/>
            <w:shd w:val="clear" w:color="auto" w:fill="auto"/>
            <w:vAlign w:val="center"/>
            <w:hideMark/>
          </w:tcPr>
          <w:p w14:paraId="12CBAFCD"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rPr>
              <w:t>Tiến độ cung cấp hàng hóa</w:t>
            </w:r>
          </w:p>
        </w:tc>
        <w:tc>
          <w:tcPr>
            <w:tcW w:w="3827" w:type="dxa"/>
            <w:shd w:val="clear" w:color="auto" w:fill="auto"/>
            <w:vAlign w:val="center"/>
            <w:hideMark/>
          </w:tcPr>
          <w:p w14:paraId="2B24094A" w14:textId="77777777" w:rsidR="00591655" w:rsidRPr="00591655" w:rsidRDefault="00591655" w:rsidP="00591655">
            <w:pPr>
              <w:spacing w:after="0" w:line="240" w:lineRule="auto"/>
              <w:jc w:val="both"/>
              <w:rPr>
                <w:rFonts w:ascii="Times New Roman" w:eastAsia="Times New Roman" w:hAnsi="Times New Roman" w:cs="Times New Roman"/>
                <w:color w:val="FF0000"/>
                <w:spacing w:val="-4"/>
                <w:sz w:val="26"/>
                <w:szCs w:val="26"/>
                <w:lang w:val="vi-VN"/>
              </w:rPr>
            </w:pPr>
            <w:r w:rsidRPr="00591655">
              <w:rPr>
                <w:rFonts w:ascii="Times New Roman" w:eastAsia="Times New Roman" w:hAnsi="Times New Roman" w:cs="Times New Roman"/>
                <w:color w:val="FF0000"/>
                <w:spacing w:val="-4"/>
                <w:sz w:val="26"/>
                <w:szCs w:val="26"/>
                <w:lang w:val="vi-VN"/>
              </w:rPr>
              <w:t xml:space="preserve">Có bảng tiến độ cung cấp hàng hóa hợp lý, khả thi, phù hợp với giải pháp kỹ thuật, tổ chức cung cấp của nhà thầu. Có thuyết minh cụ thể tiến độ các công việc thực hiện. Có biện </w:t>
            </w:r>
            <w:r w:rsidRPr="00591655">
              <w:rPr>
                <w:rFonts w:ascii="Times New Roman" w:eastAsia="Times New Roman" w:hAnsi="Times New Roman" w:cs="Times New Roman"/>
                <w:color w:val="FF0000"/>
                <w:spacing w:val="-4"/>
                <w:sz w:val="26"/>
                <w:szCs w:val="26"/>
                <w:lang w:val="vi-VN"/>
              </w:rPr>
              <w:lastRenderedPageBreak/>
              <w:t>pháp đảm bảo thực hiện tiến độ theo đúng yêu cầu cung cấp hàng hóa của Chủ đầu tư hợp lý và khả thi</w:t>
            </w:r>
          </w:p>
        </w:tc>
        <w:tc>
          <w:tcPr>
            <w:tcW w:w="2552" w:type="dxa"/>
            <w:shd w:val="clear" w:color="auto" w:fill="auto"/>
            <w:vAlign w:val="center"/>
            <w:hideMark/>
          </w:tcPr>
          <w:p w14:paraId="2085301B"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lastRenderedPageBreak/>
              <w:t>Không có hoặc có nhưng không đầy đủ, hoặc không đáp ứng yêu cầu E-HSMT</w:t>
            </w:r>
          </w:p>
        </w:tc>
      </w:tr>
      <w:tr w:rsidR="00591655" w:rsidRPr="00591655" w14:paraId="4033810F" w14:textId="77777777" w:rsidTr="00E2393D">
        <w:trPr>
          <w:trHeight w:val="20"/>
        </w:trPr>
        <w:tc>
          <w:tcPr>
            <w:tcW w:w="761" w:type="dxa"/>
            <w:shd w:val="clear" w:color="auto" w:fill="auto"/>
            <w:vAlign w:val="center"/>
            <w:hideMark/>
          </w:tcPr>
          <w:p w14:paraId="1A7B4A55"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D</w:t>
            </w:r>
          </w:p>
        </w:tc>
        <w:tc>
          <w:tcPr>
            <w:tcW w:w="8590" w:type="dxa"/>
            <w:gridSpan w:val="3"/>
            <w:shd w:val="clear" w:color="auto" w:fill="auto"/>
            <w:vAlign w:val="center"/>
            <w:hideMark/>
          </w:tcPr>
          <w:p w14:paraId="06DF5102"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b/>
                <w:bCs/>
                <w:color w:val="FF0000"/>
                <w:sz w:val="26"/>
                <w:szCs w:val="26"/>
              </w:rPr>
              <w:t>Giải pháp kỹ thuật, biện pháp tổ chức cung cấp hàng hóa</w:t>
            </w:r>
          </w:p>
        </w:tc>
      </w:tr>
      <w:tr w:rsidR="00591655" w:rsidRPr="00E1426D" w14:paraId="705D8059" w14:textId="77777777" w:rsidTr="00E2393D">
        <w:trPr>
          <w:trHeight w:val="20"/>
        </w:trPr>
        <w:tc>
          <w:tcPr>
            <w:tcW w:w="761" w:type="dxa"/>
            <w:shd w:val="clear" w:color="auto" w:fill="auto"/>
            <w:vAlign w:val="center"/>
            <w:hideMark/>
          </w:tcPr>
          <w:p w14:paraId="12EAF34B"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1</w:t>
            </w:r>
          </w:p>
        </w:tc>
        <w:tc>
          <w:tcPr>
            <w:tcW w:w="2211" w:type="dxa"/>
            <w:shd w:val="clear" w:color="auto" w:fill="auto"/>
            <w:vAlign w:val="center"/>
            <w:hideMark/>
          </w:tcPr>
          <w:p w14:paraId="5A844BBA"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Tính hợp lý và hiệu quả kinh tế của các giải pháp kỹ thuật, biện pháp tổ chức cung cấp hàng hóa.</w:t>
            </w:r>
          </w:p>
        </w:tc>
        <w:tc>
          <w:tcPr>
            <w:tcW w:w="3827" w:type="dxa"/>
            <w:shd w:val="clear" w:color="auto" w:fill="auto"/>
            <w:vAlign w:val="center"/>
          </w:tcPr>
          <w:p w14:paraId="205A035A" w14:textId="77777777" w:rsidR="00591655" w:rsidRPr="00591655" w:rsidRDefault="00591655" w:rsidP="00591655">
            <w:pPr>
              <w:tabs>
                <w:tab w:val="left" w:pos="4680"/>
                <w:tab w:val="left" w:pos="5310"/>
                <w:tab w:val="left" w:pos="8100"/>
                <w:tab w:val="left" w:pos="10620"/>
              </w:tabs>
              <w:spacing w:after="0" w:line="240" w:lineRule="auto"/>
              <w:ind w:left="-45"/>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Có các giải pháp kỹ thuật, biện pháp tổ chức cung cấp hàng hóa đối với từng mặt hàng bao gồm các giai đoạn: chuẩn bị hàng hóa, vận chuyển, giao nhận hợp lý, phù hợp với hiện trạng và yêu cầu về kỹ thuật của E-HSMT.</w:t>
            </w:r>
          </w:p>
        </w:tc>
        <w:tc>
          <w:tcPr>
            <w:tcW w:w="2552" w:type="dxa"/>
            <w:shd w:val="clear" w:color="auto" w:fill="auto"/>
            <w:vAlign w:val="center"/>
          </w:tcPr>
          <w:p w14:paraId="383F52F0" w14:textId="77777777" w:rsidR="00591655" w:rsidRPr="00591655" w:rsidRDefault="00591655" w:rsidP="00591655">
            <w:pPr>
              <w:tabs>
                <w:tab w:val="left" w:pos="4680"/>
                <w:tab w:val="left" w:pos="5310"/>
                <w:tab w:val="left" w:pos="8100"/>
                <w:tab w:val="left" w:pos="10620"/>
              </w:tabs>
              <w:spacing w:after="0" w:line="240" w:lineRule="auto"/>
              <w:ind w:left="-45"/>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2DC9F24B" w14:textId="77777777" w:rsidTr="00E2393D">
        <w:trPr>
          <w:trHeight w:val="20"/>
        </w:trPr>
        <w:tc>
          <w:tcPr>
            <w:tcW w:w="761" w:type="dxa"/>
            <w:shd w:val="clear" w:color="auto" w:fill="auto"/>
            <w:vAlign w:val="center"/>
          </w:tcPr>
          <w:p w14:paraId="4E11DB41" w14:textId="77777777" w:rsidR="00591655" w:rsidRPr="00591655" w:rsidRDefault="00591655" w:rsidP="00591655">
            <w:pPr>
              <w:spacing w:after="0" w:line="240" w:lineRule="auto"/>
              <w:jc w:val="center"/>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bCs/>
                <w:color w:val="FF0000"/>
                <w:sz w:val="26"/>
                <w:szCs w:val="26"/>
              </w:rPr>
              <w:t>E</w:t>
            </w:r>
          </w:p>
        </w:tc>
        <w:tc>
          <w:tcPr>
            <w:tcW w:w="8590" w:type="dxa"/>
            <w:gridSpan w:val="3"/>
            <w:shd w:val="clear" w:color="auto" w:fill="auto"/>
            <w:vAlign w:val="center"/>
          </w:tcPr>
          <w:p w14:paraId="1E152F72"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b/>
                <w:bCs/>
                <w:color w:val="FF0000"/>
                <w:sz w:val="26"/>
                <w:szCs w:val="26"/>
              </w:rPr>
              <w:t>Biện pháp bảo đảm chất lượng</w:t>
            </w:r>
          </w:p>
        </w:tc>
      </w:tr>
      <w:tr w:rsidR="00591655" w:rsidRPr="00E1426D" w14:paraId="67201C1B" w14:textId="77777777" w:rsidTr="00E2393D">
        <w:trPr>
          <w:trHeight w:val="20"/>
        </w:trPr>
        <w:tc>
          <w:tcPr>
            <w:tcW w:w="761" w:type="dxa"/>
            <w:shd w:val="clear" w:color="auto" w:fill="auto"/>
            <w:vAlign w:val="center"/>
          </w:tcPr>
          <w:p w14:paraId="376104D5"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1</w:t>
            </w:r>
          </w:p>
        </w:tc>
        <w:tc>
          <w:tcPr>
            <w:tcW w:w="2211" w:type="dxa"/>
            <w:shd w:val="clear" w:color="auto" w:fill="auto"/>
            <w:vAlign w:val="center"/>
          </w:tcPr>
          <w:p w14:paraId="20033433"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lang w:val="vi-VN"/>
              </w:rPr>
            </w:pPr>
            <w:r w:rsidRPr="00591655">
              <w:rPr>
                <w:rFonts w:ascii="Times New Roman" w:eastAsia="Times New Roman" w:hAnsi="Times New Roman" w:cs="Times New Roman"/>
                <w:color w:val="FF0000"/>
                <w:sz w:val="26"/>
                <w:szCs w:val="26"/>
              </w:rPr>
              <w:t>Biện pháp bảo đảm an toàn vệ sinh thực phẩm.</w:t>
            </w:r>
          </w:p>
        </w:tc>
        <w:tc>
          <w:tcPr>
            <w:tcW w:w="3827" w:type="dxa"/>
            <w:shd w:val="clear" w:color="auto" w:fill="auto"/>
          </w:tcPr>
          <w:p w14:paraId="35F653AE" w14:textId="77777777" w:rsidR="00591655" w:rsidRPr="00591655" w:rsidRDefault="00591655" w:rsidP="00591655">
            <w:pPr>
              <w:spacing w:after="0" w:line="240" w:lineRule="auto"/>
              <w:jc w:val="both"/>
              <w:rPr>
                <w:rFonts w:ascii="Times New Roman" w:eastAsia="Times New Roman" w:hAnsi="Times New Roman" w:cs="Times New Roman"/>
                <w:color w:val="FF0000"/>
                <w:spacing w:val="-6"/>
                <w:sz w:val="26"/>
                <w:szCs w:val="26"/>
                <w:lang w:val="vi-VN"/>
              </w:rPr>
            </w:pPr>
            <w:r w:rsidRPr="00591655">
              <w:rPr>
                <w:rFonts w:ascii="Times New Roman" w:eastAsia="Times New Roman" w:hAnsi="Times New Roman" w:cs="Times New Roman"/>
                <w:color w:val="FF0000"/>
                <w:spacing w:val="-6"/>
                <w:sz w:val="26"/>
                <w:szCs w:val="26"/>
                <w:lang w:val="vi-VN"/>
              </w:rPr>
              <w:t>Có giải pháp, biện pháp để đảm bảo vệ sinh an toàn thực phẩm trong quá trình cung cấp phù hợp với quy định của pháp luật và phương án xử lý nếu xảy ra sự cố vệ sinh an toàn thực phẩm khi thực hiện gói thầu. Có cam kết khắc phục hậu quả nếu nguyên nhân sự cố do lỗi của nhà thầu.</w:t>
            </w:r>
          </w:p>
        </w:tc>
        <w:tc>
          <w:tcPr>
            <w:tcW w:w="2552" w:type="dxa"/>
            <w:shd w:val="clear" w:color="auto" w:fill="auto"/>
            <w:vAlign w:val="center"/>
          </w:tcPr>
          <w:p w14:paraId="45F51B2B"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E1426D" w14:paraId="1480DC31" w14:textId="77777777" w:rsidTr="00E2393D">
        <w:trPr>
          <w:trHeight w:val="20"/>
        </w:trPr>
        <w:tc>
          <w:tcPr>
            <w:tcW w:w="761" w:type="dxa"/>
            <w:shd w:val="clear" w:color="auto" w:fill="auto"/>
            <w:vAlign w:val="center"/>
          </w:tcPr>
          <w:p w14:paraId="55E32FB1"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2</w:t>
            </w:r>
          </w:p>
        </w:tc>
        <w:tc>
          <w:tcPr>
            <w:tcW w:w="2211" w:type="dxa"/>
            <w:shd w:val="clear" w:color="auto" w:fill="auto"/>
            <w:vAlign w:val="center"/>
          </w:tcPr>
          <w:p w14:paraId="07A98B1F"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lang w:val="vi-VN"/>
              </w:rPr>
            </w:pPr>
            <w:r w:rsidRPr="00591655">
              <w:rPr>
                <w:rFonts w:ascii="Times New Roman" w:eastAsia="Times New Roman" w:hAnsi="Times New Roman" w:cs="Times New Roman"/>
                <w:color w:val="FF0000"/>
                <w:sz w:val="26"/>
                <w:szCs w:val="26"/>
              </w:rPr>
              <w:t>Biện pháp kiểm tra, bàn giao, nghiệm thu</w:t>
            </w:r>
          </w:p>
        </w:tc>
        <w:tc>
          <w:tcPr>
            <w:tcW w:w="3827" w:type="dxa"/>
            <w:shd w:val="clear" w:color="auto" w:fill="auto"/>
          </w:tcPr>
          <w:p w14:paraId="0E4AD45E"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Có đầy đủ biện pháp kiểm tra số lượng, chất lượng hàng hóa; phương án triển khai bàn giao và nghiệm thu hàng hóa phù hợp với tính chất của gói thầu.</w:t>
            </w:r>
          </w:p>
        </w:tc>
        <w:tc>
          <w:tcPr>
            <w:tcW w:w="2552" w:type="dxa"/>
            <w:shd w:val="clear" w:color="auto" w:fill="auto"/>
            <w:vAlign w:val="center"/>
          </w:tcPr>
          <w:p w14:paraId="67C1E526"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1065CD60" w14:textId="77777777" w:rsidTr="00E2393D">
        <w:trPr>
          <w:trHeight w:val="20"/>
        </w:trPr>
        <w:tc>
          <w:tcPr>
            <w:tcW w:w="761" w:type="dxa"/>
            <w:shd w:val="clear" w:color="auto" w:fill="auto"/>
            <w:vAlign w:val="center"/>
          </w:tcPr>
          <w:p w14:paraId="2E8C012B"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3</w:t>
            </w:r>
          </w:p>
        </w:tc>
        <w:tc>
          <w:tcPr>
            <w:tcW w:w="2211" w:type="dxa"/>
            <w:shd w:val="clear" w:color="auto" w:fill="auto"/>
            <w:vAlign w:val="center"/>
          </w:tcPr>
          <w:p w14:paraId="4C159F65"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Năng lực nhân sự, phương tiện/thiết bị thực hiện gói thầu</w:t>
            </w:r>
          </w:p>
        </w:tc>
        <w:tc>
          <w:tcPr>
            <w:tcW w:w="3827" w:type="dxa"/>
            <w:shd w:val="clear" w:color="auto" w:fill="auto"/>
          </w:tcPr>
          <w:p w14:paraId="7490B82F"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Nhà thầu cam kết huy động nhân sự có đủ năng lực và phương tiện/thiết bị phù hợp để thực hiện gói thầu.</w:t>
            </w:r>
          </w:p>
        </w:tc>
        <w:tc>
          <w:tcPr>
            <w:tcW w:w="2552" w:type="dxa"/>
            <w:shd w:val="clear" w:color="auto" w:fill="auto"/>
            <w:vAlign w:val="center"/>
          </w:tcPr>
          <w:p w14:paraId="6EF6E2C0"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5012B91B" w14:textId="77777777" w:rsidTr="00E2393D">
        <w:trPr>
          <w:trHeight w:val="20"/>
        </w:trPr>
        <w:tc>
          <w:tcPr>
            <w:tcW w:w="761" w:type="dxa"/>
            <w:shd w:val="clear" w:color="auto" w:fill="auto"/>
            <w:vAlign w:val="center"/>
          </w:tcPr>
          <w:p w14:paraId="2C848576"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4</w:t>
            </w:r>
          </w:p>
        </w:tc>
        <w:tc>
          <w:tcPr>
            <w:tcW w:w="2211" w:type="dxa"/>
            <w:shd w:val="clear" w:color="auto" w:fill="auto"/>
            <w:vAlign w:val="center"/>
          </w:tcPr>
          <w:p w14:paraId="7300D26F"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Hệ thống nhà kho lưu trữ, bảo quản và sơ chế thực phẩm</w:t>
            </w:r>
          </w:p>
        </w:tc>
        <w:tc>
          <w:tcPr>
            <w:tcW w:w="3827" w:type="dxa"/>
            <w:shd w:val="clear" w:color="auto" w:fill="auto"/>
          </w:tcPr>
          <w:p w14:paraId="0195F2F9" w14:textId="77777777" w:rsidR="00591655" w:rsidRPr="00591655" w:rsidRDefault="00591655" w:rsidP="00591655">
            <w:pPr>
              <w:spacing w:after="0" w:line="240" w:lineRule="auto"/>
              <w:jc w:val="both"/>
              <w:rPr>
                <w:rFonts w:ascii="Times New Roman" w:eastAsia="Times New Roman" w:hAnsi="Times New Roman" w:cs="Times New Roman"/>
                <w:color w:val="FF0000"/>
                <w:spacing w:val="-4"/>
                <w:sz w:val="26"/>
                <w:szCs w:val="26"/>
              </w:rPr>
            </w:pPr>
            <w:r w:rsidRPr="00591655">
              <w:rPr>
                <w:rFonts w:ascii="Times New Roman" w:eastAsia="Times New Roman" w:hAnsi="Times New Roman" w:cs="Times New Roman"/>
                <w:color w:val="FF0000"/>
                <w:spacing w:val="-4"/>
                <w:sz w:val="26"/>
                <w:szCs w:val="26"/>
              </w:rPr>
              <w:t>Nhà thầu có bố trí hệ thống nhà kho lưu trữ, bảo quản và sơ chế thực phẩm; Có cam kết hệ thống nhà kho lưu trữ, bảo quản thực phẩm đảm bảo về an toàn vệ sinh thực phẩm theo các quy định hiện hành.</w:t>
            </w:r>
          </w:p>
          <w:p w14:paraId="7096FDAA" w14:textId="00FB05F9" w:rsidR="00591655" w:rsidRPr="00591655" w:rsidRDefault="00591655" w:rsidP="00591655">
            <w:pPr>
              <w:spacing w:after="0" w:line="240" w:lineRule="auto"/>
              <w:jc w:val="both"/>
              <w:rPr>
                <w:rFonts w:ascii="Times New Roman" w:eastAsia="Times New Roman" w:hAnsi="Times New Roman" w:cs="Times New Roman"/>
                <w:color w:val="FF0000"/>
                <w:spacing w:val="-4"/>
                <w:sz w:val="26"/>
                <w:szCs w:val="26"/>
              </w:rPr>
            </w:pPr>
            <w:r w:rsidRPr="00591655">
              <w:rPr>
                <w:rFonts w:ascii="Times New Roman" w:eastAsia="Times New Roman" w:hAnsi="Times New Roman" w:cs="Times New Roman"/>
                <w:color w:val="FF0000"/>
                <w:spacing w:val="-4"/>
                <w:sz w:val="26"/>
                <w:szCs w:val="26"/>
              </w:rPr>
              <w:t>Nguồn nước sử dụng tại nhà kho phải đạt tiêu chuẩn theo quy định hiện hành đối với nước dùng trong sơ chế thực phẩm.</w:t>
            </w:r>
          </w:p>
        </w:tc>
        <w:tc>
          <w:tcPr>
            <w:tcW w:w="2552" w:type="dxa"/>
            <w:shd w:val="clear" w:color="auto" w:fill="auto"/>
            <w:vAlign w:val="center"/>
          </w:tcPr>
          <w:p w14:paraId="6B8E6056"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25554ABD" w14:textId="77777777" w:rsidTr="00E2393D">
        <w:trPr>
          <w:trHeight w:val="20"/>
        </w:trPr>
        <w:tc>
          <w:tcPr>
            <w:tcW w:w="761" w:type="dxa"/>
            <w:shd w:val="clear" w:color="auto" w:fill="auto"/>
            <w:vAlign w:val="center"/>
          </w:tcPr>
          <w:p w14:paraId="79541001"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b/>
                <w:bCs/>
                <w:color w:val="FF0000"/>
                <w:sz w:val="26"/>
                <w:szCs w:val="26"/>
              </w:rPr>
              <w:t>F</w:t>
            </w:r>
          </w:p>
        </w:tc>
        <w:tc>
          <w:tcPr>
            <w:tcW w:w="8590" w:type="dxa"/>
            <w:gridSpan w:val="3"/>
            <w:shd w:val="clear" w:color="auto" w:fill="auto"/>
            <w:vAlign w:val="center"/>
          </w:tcPr>
          <w:p w14:paraId="28F6F658" w14:textId="77777777" w:rsidR="00591655" w:rsidRPr="00591655" w:rsidRDefault="00591655" w:rsidP="00591655">
            <w:pPr>
              <w:spacing w:after="0" w:line="240" w:lineRule="auto"/>
              <w:jc w:val="both"/>
              <w:rPr>
                <w:rFonts w:ascii="Times New Roman Bold" w:eastAsia="Times New Roman" w:hAnsi="Times New Roman Bold" w:cs="Times New Roman"/>
                <w:color w:val="FF0000"/>
                <w:spacing w:val="-4"/>
                <w:sz w:val="26"/>
                <w:szCs w:val="26"/>
                <w:lang w:val="vi-VN"/>
              </w:rPr>
            </w:pPr>
            <w:r w:rsidRPr="00591655">
              <w:rPr>
                <w:rFonts w:ascii="Times New Roman Bold" w:eastAsia="Times New Roman" w:hAnsi="Times New Roman Bold" w:cs="Times New Roman"/>
                <w:b/>
                <w:color w:val="FF0000"/>
                <w:spacing w:val="-4"/>
                <w:sz w:val="26"/>
                <w:szCs w:val="26"/>
              </w:rPr>
              <w:t xml:space="preserve">Năng lực các đơn vị cung ứng, sơ chế lương thực, thực phẩm </w:t>
            </w:r>
          </w:p>
        </w:tc>
      </w:tr>
      <w:tr w:rsidR="00591655" w:rsidRPr="00591655" w14:paraId="2D78044B" w14:textId="77777777" w:rsidTr="00E2393D">
        <w:trPr>
          <w:trHeight w:val="20"/>
        </w:trPr>
        <w:tc>
          <w:tcPr>
            <w:tcW w:w="761" w:type="dxa"/>
            <w:shd w:val="clear" w:color="auto" w:fill="auto"/>
            <w:vAlign w:val="center"/>
          </w:tcPr>
          <w:p w14:paraId="5420F40C"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1</w:t>
            </w:r>
          </w:p>
        </w:tc>
        <w:tc>
          <w:tcPr>
            <w:tcW w:w="2211" w:type="dxa"/>
            <w:shd w:val="clear" w:color="auto" w:fill="auto"/>
            <w:vAlign w:val="center"/>
          </w:tcPr>
          <w:p w14:paraId="0F3F63D4"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color w:val="FF0000"/>
                <w:sz w:val="26"/>
                <w:szCs w:val="26"/>
              </w:rPr>
              <w:t>Năng lực phân phối hàng hóa của đơn vị cung cấp thực phẩm tươi sống có nguồn gốc từ động vật: Thịt gia súc, gia cầm,...</w:t>
            </w:r>
          </w:p>
        </w:tc>
        <w:tc>
          <w:tcPr>
            <w:tcW w:w="3827" w:type="dxa"/>
            <w:shd w:val="clear" w:color="auto" w:fill="auto"/>
          </w:tcPr>
          <w:p w14:paraId="0DE56BF9" w14:textId="77777777" w:rsidR="00591655" w:rsidRPr="00591655" w:rsidRDefault="00591655" w:rsidP="00591655">
            <w:pPr>
              <w:spacing w:after="0" w:line="240" w:lineRule="auto"/>
              <w:jc w:val="both"/>
              <w:rPr>
                <w:rFonts w:ascii="Times New Roman" w:eastAsia="Times New Roman" w:hAnsi="Times New Roman" w:cs="Times New Roman"/>
                <w:color w:val="FF0000"/>
                <w:spacing w:val="-2"/>
                <w:sz w:val="26"/>
                <w:szCs w:val="26"/>
              </w:rPr>
            </w:pPr>
            <w:r w:rsidRPr="00591655">
              <w:rPr>
                <w:rFonts w:ascii="Times New Roman" w:eastAsia="Times New Roman" w:hAnsi="Times New Roman" w:cs="Times New Roman"/>
                <w:color w:val="FF0000"/>
                <w:spacing w:val="-2"/>
                <w:sz w:val="26"/>
                <w:szCs w:val="26"/>
              </w:rPr>
              <w:t>- Nhà thầu cung cấp hợp đồng nguyên tắc với đơn vị cung cấp thực phẩm, kèm theo tài liệu chứng minh đơn vị cung cấp đủ điều kiện hoạt động theo quy định của pháp luật như: Cơ sở đạt tiêu chuẩn VietGAP/GlobalGAP.</w:t>
            </w:r>
          </w:p>
          <w:p w14:paraId="356BEC86"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Hoặc Có giấy chứng nhận HACCP/TCVN 5603 cho lĩnh vực sản xuất/chế biến/sơ chế thị gia súc, gia cầm hoặc tương đương.</w:t>
            </w:r>
          </w:p>
          <w:p w14:paraId="085DABF2"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lastRenderedPageBreak/>
              <w:t>Hoặc Có giấy chứng minh nguồn gốc sản phẩm động vật xuất phát từ cơ sở giết mổ và cơ sở khác kèm Giấy chứng nhận cơ sở đủ điều kiện an toàn thực phẩm: Giết mổ, sơ chế, bảo quản cho gia súc, gia cầm.</w:t>
            </w:r>
          </w:p>
          <w:p w14:paraId="0C9A1F89" w14:textId="77777777" w:rsidR="00591655" w:rsidRPr="00E1426D" w:rsidRDefault="00591655" w:rsidP="00591655">
            <w:pPr>
              <w:spacing w:after="0" w:line="240" w:lineRule="auto"/>
              <w:jc w:val="both"/>
              <w:rPr>
                <w:rFonts w:ascii="Times New Roman" w:eastAsia="Times New Roman" w:hAnsi="Times New Roman" w:cs="Times New Roman"/>
                <w:color w:val="FF0000"/>
                <w:sz w:val="26"/>
                <w:szCs w:val="26"/>
              </w:rPr>
            </w:pPr>
            <w:r w:rsidRPr="00E1426D">
              <w:rPr>
                <w:rFonts w:ascii="Times New Roman" w:eastAsia="Times New Roman" w:hAnsi="Times New Roman" w:cs="Times New Roman"/>
                <w:color w:val="FF0000"/>
                <w:sz w:val="26"/>
                <w:szCs w:val="26"/>
              </w:rPr>
              <w:t>Hoặc tài liệu khác tương đương.</w:t>
            </w:r>
          </w:p>
          <w:p w14:paraId="0FB87C3A" w14:textId="77777777" w:rsidR="00591655" w:rsidRPr="00591655" w:rsidRDefault="00591655" w:rsidP="00591655">
            <w:pPr>
              <w:spacing w:after="0" w:line="240" w:lineRule="auto"/>
              <w:jc w:val="both"/>
              <w:rPr>
                <w:rFonts w:ascii="Times New Roman" w:eastAsia="Times New Roman" w:hAnsi="Times New Roman" w:cs="Times New Roman"/>
                <w:color w:val="FF0000"/>
                <w:spacing w:val="-14"/>
                <w:sz w:val="26"/>
                <w:szCs w:val="26"/>
              </w:rPr>
            </w:pPr>
            <w:r w:rsidRPr="00E1426D">
              <w:rPr>
                <w:rFonts w:ascii="Times New Roman" w:eastAsia="Times New Roman" w:hAnsi="Times New Roman" w:cs="Times New Roman"/>
                <w:color w:val="FF0000"/>
                <w:sz w:val="26"/>
                <w:szCs w:val="26"/>
              </w:rPr>
              <w:t>- Nhà thầu cam kết thực phẩm tươi sống có nguồn gốc từ động vật: Thịt gia súc, gia cầm,...nhà thầu cung cấp đáp ứng các quy định kiểm dịch hiện hành</w:t>
            </w:r>
          </w:p>
        </w:tc>
        <w:tc>
          <w:tcPr>
            <w:tcW w:w="2552" w:type="dxa"/>
            <w:shd w:val="clear" w:color="auto" w:fill="auto"/>
            <w:vAlign w:val="center"/>
          </w:tcPr>
          <w:p w14:paraId="33826C0D"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lastRenderedPageBreak/>
              <w:t>Không có hoặc có nhưng không đầy đủ, hoặc không đáp ứng yêu cầu E-HSMT</w:t>
            </w:r>
          </w:p>
        </w:tc>
      </w:tr>
      <w:tr w:rsidR="00591655" w:rsidRPr="00591655" w14:paraId="3968E667" w14:textId="77777777" w:rsidTr="00E2393D">
        <w:trPr>
          <w:trHeight w:val="20"/>
        </w:trPr>
        <w:tc>
          <w:tcPr>
            <w:tcW w:w="761" w:type="dxa"/>
            <w:shd w:val="clear" w:color="auto" w:fill="auto"/>
            <w:vAlign w:val="center"/>
          </w:tcPr>
          <w:p w14:paraId="7049755A"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2</w:t>
            </w:r>
          </w:p>
        </w:tc>
        <w:tc>
          <w:tcPr>
            <w:tcW w:w="2211" w:type="dxa"/>
            <w:shd w:val="clear" w:color="auto" w:fill="auto"/>
            <w:vAlign w:val="center"/>
          </w:tcPr>
          <w:p w14:paraId="4D28022B"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Năng lực phân phối hàng hóa của đơn vị cung cấp thực phẩm tươi sống có nguồn gốc từ thủy hải sản: Cá tươi,...</w:t>
            </w:r>
          </w:p>
        </w:tc>
        <w:tc>
          <w:tcPr>
            <w:tcW w:w="3827" w:type="dxa"/>
            <w:shd w:val="clear" w:color="auto" w:fill="auto"/>
          </w:tcPr>
          <w:p w14:paraId="12E80ADC" w14:textId="77777777" w:rsidR="00591655" w:rsidRPr="00591655" w:rsidRDefault="00591655" w:rsidP="00591655">
            <w:pPr>
              <w:widowControl w:val="0"/>
              <w:tabs>
                <w:tab w:val="left" w:pos="851"/>
              </w:tabs>
              <w:spacing w:before="60" w:after="8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 Nhà thầu cung cấp hợp đồng nguyên tắc với đơn vị cung cấp thực phẩm, kèm theo tài liệu chứng minh đơn vị cung cấp đủ điều kiện hoạt động theo quy định của pháp luật như: Cơ sở đạt tiêu chuẩn VietGAP/GlobalGAP.</w:t>
            </w:r>
          </w:p>
          <w:p w14:paraId="6EB21594" w14:textId="7661837E" w:rsidR="00591655" w:rsidRPr="00E1426D" w:rsidRDefault="00591655" w:rsidP="00E1426D">
            <w:pPr>
              <w:widowControl w:val="0"/>
              <w:tabs>
                <w:tab w:val="left" w:pos="851"/>
              </w:tabs>
              <w:spacing w:before="60" w:after="80" w:line="240" w:lineRule="auto"/>
              <w:jc w:val="both"/>
              <w:rPr>
                <w:rFonts w:ascii="Times New Roman" w:eastAsia="Times New Roman" w:hAnsi="Times New Roman" w:cs="Times New Roman"/>
                <w:color w:val="FF0000"/>
                <w:sz w:val="26"/>
                <w:szCs w:val="26"/>
              </w:rPr>
            </w:pPr>
            <w:r w:rsidRPr="00591655">
              <w:rPr>
                <w:rFonts w:ascii="Times New Roman" w:eastAsia="Times New Roman" w:hAnsi="Times New Roman" w:cs="Times New Roman"/>
                <w:color w:val="FF0000"/>
                <w:sz w:val="26"/>
                <w:szCs w:val="26"/>
              </w:rPr>
              <w:t>Hoặc Có giấy chứng nhận HACCP/TCVN 5603 cho lĩnh vực sản xuất/chế biến/kinh doanh thủy hải sản hoặc tương đương.</w:t>
            </w:r>
            <w:bookmarkStart w:id="0" w:name="_GoBack"/>
            <w:bookmarkEnd w:id="0"/>
          </w:p>
        </w:tc>
        <w:tc>
          <w:tcPr>
            <w:tcW w:w="2552" w:type="dxa"/>
            <w:shd w:val="clear" w:color="auto" w:fill="auto"/>
            <w:vAlign w:val="center"/>
          </w:tcPr>
          <w:p w14:paraId="40F2B079" w14:textId="77777777" w:rsidR="00591655" w:rsidRPr="00591655" w:rsidRDefault="00591655" w:rsidP="00591655">
            <w:pPr>
              <w:spacing w:after="0" w:line="240" w:lineRule="auto"/>
              <w:jc w:val="both"/>
              <w:rPr>
                <w:rFonts w:ascii="Times New Roman" w:eastAsia="Times New Roman" w:hAnsi="Times New Roman" w:cs="Times New Roman"/>
                <w:color w:val="FF0000"/>
                <w:sz w:val="26"/>
                <w:szCs w:val="26"/>
                <w:lang w:val="vi-VN"/>
              </w:rPr>
            </w:pPr>
            <w:r w:rsidRPr="00591655">
              <w:rPr>
                <w:rFonts w:ascii="Times New Roman" w:eastAsia="Times New Roman" w:hAnsi="Times New Roman" w:cs="Times New Roman"/>
                <w:color w:val="FF0000"/>
                <w:sz w:val="26"/>
                <w:szCs w:val="26"/>
                <w:lang w:val="vi-VN"/>
              </w:rPr>
              <w:t>Không có hoặc có nhưng không đầy đủ, hoặc không đáp ứng yêu cầu E-HSMT</w:t>
            </w:r>
          </w:p>
        </w:tc>
      </w:tr>
      <w:tr w:rsidR="00591655" w:rsidRPr="00591655" w14:paraId="00EE2946" w14:textId="77777777" w:rsidTr="00E2393D">
        <w:trPr>
          <w:trHeight w:val="20"/>
        </w:trPr>
        <w:tc>
          <w:tcPr>
            <w:tcW w:w="9351" w:type="dxa"/>
            <w:gridSpan w:val="4"/>
            <w:shd w:val="clear" w:color="auto" w:fill="auto"/>
            <w:vAlign w:val="center"/>
          </w:tcPr>
          <w:p w14:paraId="548EAF76" w14:textId="77777777" w:rsidR="00591655" w:rsidRPr="00591655" w:rsidRDefault="00591655" w:rsidP="00591655">
            <w:pPr>
              <w:spacing w:after="0" w:line="240" w:lineRule="auto"/>
              <w:jc w:val="both"/>
              <w:rPr>
                <w:rFonts w:ascii="Times New Roman" w:eastAsia="Times New Roman" w:hAnsi="Times New Roman" w:cs="Times New Roman"/>
                <w:b/>
                <w:color w:val="FF0000"/>
                <w:sz w:val="26"/>
                <w:szCs w:val="26"/>
              </w:rPr>
            </w:pPr>
            <w:r w:rsidRPr="00591655">
              <w:rPr>
                <w:rFonts w:ascii="Times New Roman" w:eastAsia="Times New Roman" w:hAnsi="Times New Roman" w:cs="Times New Roman"/>
                <w:b/>
                <w:color w:val="FF0000"/>
                <w:sz w:val="26"/>
                <w:szCs w:val="26"/>
              </w:rPr>
              <w:t>F. Uy tín của nhà thầu</w:t>
            </w:r>
          </w:p>
        </w:tc>
      </w:tr>
      <w:tr w:rsidR="00591655" w:rsidRPr="00BC251D" w14:paraId="58E797E6" w14:textId="77777777" w:rsidTr="00E2393D">
        <w:trPr>
          <w:trHeight w:val="20"/>
        </w:trPr>
        <w:tc>
          <w:tcPr>
            <w:tcW w:w="761" w:type="dxa"/>
            <w:shd w:val="clear" w:color="auto" w:fill="auto"/>
            <w:vAlign w:val="center"/>
          </w:tcPr>
          <w:p w14:paraId="4BB20904" w14:textId="77777777" w:rsidR="00591655" w:rsidRPr="00591655" w:rsidRDefault="00591655" w:rsidP="00591655">
            <w:pPr>
              <w:spacing w:after="0" w:line="240" w:lineRule="auto"/>
              <w:jc w:val="center"/>
              <w:rPr>
                <w:rFonts w:ascii="Times New Roman" w:eastAsia="Times New Roman" w:hAnsi="Times New Roman" w:cs="Times New Roman"/>
                <w:color w:val="FF0000"/>
                <w:sz w:val="26"/>
                <w:szCs w:val="26"/>
              </w:rPr>
            </w:pPr>
          </w:p>
        </w:tc>
        <w:tc>
          <w:tcPr>
            <w:tcW w:w="2211" w:type="dxa"/>
            <w:shd w:val="clear" w:color="auto" w:fill="auto"/>
            <w:vAlign w:val="center"/>
          </w:tcPr>
          <w:p w14:paraId="0810CD34" w14:textId="601E09AD" w:rsidR="00591655" w:rsidRPr="00B76869" w:rsidRDefault="00B76869" w:rsidP="00591655">
            <w:pPr>
              <w:spacing w:after="0" w:line="240" w:lineRule="auto"/>
              <w:jc w:val="both"/>
              <w:rPr>
                <w:rFonts w:ascii="Times New Roman" w:eastAsia="Times New Roman" w:hAnsi="Times New Roman" w:cs="Times New Roman"/>
                <w:color w:val="FF0000"/>
                <w:spacing w:val="-8"/>
                <w:sz w:val="26"/>
                <w:szCs w:val="26"/>
              </w:rPr>
            </w:pPr>
            <w:r w:rsidRPr="00B76869">
              <w:rPr>
                <w:rFonts w:ascii="Times New Roman" w:eastAsia="Times New Roman" w:hAnsi="Times New Roman" w:cs="Times New Roman"/>
                <w:color w:val="FF0000"/>
                <w:spacing w:val="-8"/>
                <w:sz w:val="26"/>
                <w:szCs w:val="26"/>
              </w:rPr>
              <w:t>Uy tín của nhà thầu theo quy định tại Điều 19 và Điều 20 của Nghị định số 214/2025/NĐ-CP trong vòng 3 năm (2023, 2024, 2025) trở lại đây</w:t>
            </w:r>
          </w:p>
        </w:tc>
        <w:tc>
          <w:tcPr>
            <w:tcW w:w="3827" w:type="dxa"/>
            <w:shd w:val="clear" w:color="auto" w:fill="auto"/>
          </w:tcPr>
          <w:p w14:paraId="2A6ED278" w14:textId="4782D30D" w:rsidR="00591655" w:rsidRPr="00B76869" w:rsidRDefault="00B76869" w:rsidP="00591655">
            <w:pPr>
              <w:spacing w:after="0" w:line="240" w:lineRule="auto"/>
              <w:jc w:val="both"/>
              <w:rPr>
                <w:rFonts w:ascii="Times New Roman" w:eastAsia="Times New Roman" w:hAnsi="Times New Roman" w:cs="Times New Roman"/>
                <w:color w:val="FF0000"/>
                <w:spacing w:val="-8"/>
                <w:sz w:val="26"/>
                <w:szCs w:val="26"/>
              </w:rPr>
            </w:pPr>
            <w:r w:rsidRPr="00B76869">
              <w:rPr>
                <w:rFonts w:ascii="Times New Roman" w:eastAsia="Times New Roman" w:hAnsi="Times New Roman" w:cs="Times New Roman"/>
                <w:color w:val="FF0000"/>
                <w:spacing w:val="-8"/>
                <w:sz w:val="26"/>
                <w:szCs w:val="26"/>
              </w:rPr>
              <w:t>Nhà thầu không có tên trong danh sách nhà thầu vi phạm đấu thầu và không có các hành vi vi phạm trong quá trình tham dự thầu quy định tại khoản 1 Điều 20 của Nghị định 214/NĐ-CP.</w:t>
            </w:r>
          </w:p>
        </w:tc>
        <w:tc>
          <w:tcPr>
            <w:tcW w:w="2552" w:type="dxa"/>
            <w:shd w:val="clear" w:color="auto" w:fill="auto"/>
            <w:vAlign w:val="center"/>
          </w:tcPr>
          <w:p w14:paraId="788D1EE8" w14:textId="6FE1BCBF" w:rsidR="00591655" w:rsidRPr="00B76869" w:rsidRDefault="00B76869" w:rsidP="00591655">
            <w:pPr>
              <w:spacing w:after="0" w:line="240" w:lineRule="auto"/>
              <w:jc w:val="both"/>
              <w:rPr>
                <w:rFonts w:ascii="Times New Roman" w:eastAsia="Times New Roman" w:hAnsi="Times New Roman" w:cs="Times New Roman"/>
                <w:color w:val="FF0000"/>
                <w:spacing w:val="-8"/>
                <w:sz w:val="26"/>
                <w:szCs w:val="26"/>
              </w:rPr>
            </w:pPr>
            <w:r w:rsidRPr="00B76869">
              <w:rPr>
                <w:rFonts w:ascii="Times New Roman" w:eastAsia="Times New Roman" w:hAnsi="Times New Roman" w:cs="Times New Roman"/>
                <w:color w:val="FF0000"/>
                <w:spacing w:val="-8"/>
                <w:sz w:val="26"/>
                <w:szCs w:val="26"/>
              </w:rPr>
              <w:t>Không đáp ứng các yêu cầu trên</w:t>
            </w:r>
          </w:p>
        </w:tc>
      </w:tr>
      <w:tr w:rsidR="00591655" w:rsidRPr="00591655" w14:paraId="300A0EB3" w14:textId="77777777" w:rsidTr="00E2393D">
        <w:trPr>
          <w:trHeight w:val="20"/>
        </w:trPr>
        <w:tc>
          <w:tcPr>
            <w:tcW w:w="2972" w:type="dxa"/>
            <w:gridSpan w:val="2"/>
            <w:shd w:val="clear" w:color="auto" w:fill="auto"/>
            <w:vAlign w:val="center"/>
          </w:tcPr>
          <w:p w14:paraId="47BB48DE"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color w:val="FF0000"/>
                <w:sz w:val="26"/>
                <w:szCs w:val="26"/>
              </w:rPr>
              <w:t>Kết luận</w:t>
            </w:r>
          </w:p>
        </w:tc>
        <w:tc>
          <w:tcPr>
            <w:tcW w:w="3827" w:type="dxa"/>
            <w:shd w:val="clear" w:color="auto" w:fill="auto"/>
            <w:vAlign w:val="center"/>
          </w:tcPr>
          <w:p w14:paraId="76E73F37" w14:textId="77777777" w:rsidR="00591655" w:rsidRPr="00591655" w:rsidRDefault="00591655" w:rsidP="00591655">
            <w:pPr>
              <w:spacing w:after="0" w:line="240" w:lineRule="auto"/>
              <w:jc w:val="both"/>
              <w:rPr>
                <w:rFonts w:ascii="Times New Roman Bold" w:eastAsia="Times New Roman" w:hAnsi="Times New Roman Bold" w:cs="Times New Roman"/>
                <w:b/>
                <w:color w:val="FF0000"/>
                <w:spacing w:val="-14"/>
                <w:sz w:val="26"/>
                <w:szCs w:val="26"/>
              </w:rPr>
            </w:pPr>
            <w:r w:rsidRPr="00591655">
              <w:rPr>
                <w:rFonts w:ascii="Times New Roman Bold" w:eastAsia="Times New Roman" w:hAnsi="Times New Roman Bold" w:cs="Times New Roman"/>
                <w:b/>
                <w:color w:val="FF0000"/>
                <w:spacing w:val="-14"/>
                <w:sz w:val="26"/>
                <w:szCs w:val="26"/>
              </w:rPr>
              <w:t>Đạt tất cả các yêu cầu nêu trên</w:t>
            </w:r>
          </w:p>
        </w:tc>
        <w:tc>
          <w:tcPr>
            <w:tcW w:w="2552" w:type="dxa"/>
            <w:shd w:val="clear" w:color="auto" w:fill="auto"/>
            <w:vAlign w:val="center"/>
          </w:tcPr>
          <w:p w14:paraId="207127A1" w14:textId="77777777" w:rsidR="00591655" w:rsidRPr="00591655" w:rsidRDefault="00591655" w:rsidP="00591655">
            <w:pPr>
              <w:spacing w:after="0" w:line="240" w:lineRule="auto"/>
              <w:jc w:val="both"/>
              <w:rPr>
                <w:rFonts w:ascii="Times New Roman" w:eastAsia="Times New Roman" w:hAnsi="Times New Roman" w:cs="Times New Roman"/>
                <w:b/>
                <w:bCs/>
                <w:color w:val="FF0000"/>
                <w:sz w:val="26"/>
                <w:szCs w:val="26"/>
              </w:rPr>
            </w:pPr>
            <w:r w:rsidRPr="00591655">
              <w:rPr>
                <w:rFonts w:ascii="Times New Roman" w:eastAsia="Times New Roman" w:hAnsi="Times New Roman" w:cs="Times New Roman"/>
                <w:b/>
                <w:color w:val="FF0000"/>
                <w:sz w:val="26"/>
                <w:szCs w:val="26"/>
              </w:rPr>
              <w:t>Có một nội dung không đạt</w:t>
            </w:r>
          </w:p>
        </w:tc>
      </w:tr>
    </w:tbl>
    <w:p w14:paraId="0CE2C03F" w14:textId="77777777" w:rsidR="00591655" w:rsidRPr="00591655" w:rsidRDefault="00591655" w:rsidP="00591655">
      <w:pPr>
        <w:spacing w:after="0" w:line="240" w:lineRule="auto"/>
        <w:jc w:val="both"/>
        <w:rPr>
          <w:rFonts w:ascii="Times New Roman" w:eastAsia="Times New Roman" w:hAnsi="Times New Roman" w:cs="Times New Roman"/>
          <w:sz w:val="26"/>
          <w:szCs w:val="26"/>
          <w:lang w:val="vi"/>
        </w:rPr>
      </w:pPr>
    </w:p>
    <w:p w14:paraId="71F5F4D8" w14:textId="77777777" w:rsidR="009F140F" w:rsidRPr="00591655" w:rsidRDefault="009F140F">
      <w:pPr>
        <w:rPr>
          <w:lang w:val="vi"/>
        </w:rPr>
      </w:pPr>
    </w:p>
    <w:sectPr w:rsidR="009F140F" w:rsidRPr="00591655" w:rsidSect="008C58C2">
      <w:pgSz w:w="11909" w:h="16834" w:code="9"/>
      <w:pgMar w:top="850" w:right="1440" w:bottom="56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55"/>
    <w:rsid w:val="00591655"/>
    <w:rsid w:val="006C1DD7"/>
    <w:rsid w:val="008C58C2"/>
    <w:rsid w:val="009F140F"/>
    <w:rsid w:val="00B76869"/>
    <w:rsid w:val="00BC251D"/>
    <w:rsid w:val="00E1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9E33"/>
  <w15:chartTrackingRefBased/>
  <w15:docId w15:val="{76866F45-D1DE-4598-8AC3-AC8F58E9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fx15</dc:creator>
  <cp:keywords/>
  <dc:description/>
  <cp:lastModifiedBy>Hai Nguyen</cp:lastModifiedBy>
  <cp:revision>4</cp:revision>
  <dcterms:created xsi:type="dcterms:W3CDTF">2026-04-15T02:27:00Z</dcterms:created>
  <dcterms:modified xsi:type="dcterms:W3CDTF">2026-04-19T13:47:00Z</dcterms:modified>
</cp:coreProperties>
</file>