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D421" w14:textId="77777777" w:rsidR="00D3114F" w:rsidRPr="00146E58" w:rsidRDefault="00D3114F" w:rsidP="00D3114F">
      <w:pPr>
        <w:tabs>
          <w:tab w:val="left" w:pos="1418"/>
        </w:tabs>
        <w:spacing w:before="120" w:after="120" w:line="264" w:lineRule="auto"/>
        <w:ind w:firstLine="709"/>
        <w:jc w:val="both"/>
        <w:rPr>
          <w:sz w:val="26"/>
          <w:szCs w:val="26"/>
          <w:lang w:val="nl-NL"/>
        </w:rPr>
      </w:pPr>
      <w:r w:rsidRPr="00146E58">
        <w:rPr>
          <w:sz w:val="26"/>
          <w:szCs w:val="26"/>
          <w:lang w:val="nl-NL"/>
        </w:rPr>
        <w:t xml:space="preserve">E-HSDT được đánh giá là đáp ứng yêu cầu về kỹ thuật khi có tất cả các tiêu chí tổng quát đều được đánh giá là đạt.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423"/>
        <w:gridCol w:w="993"/>
      </w:tblGrid>
      <w:tr w:rsidR="00D3114F" w:rsidRPr="00146E58" w14:paraId="3F100FA0" w14:textId="77777777" w:rsidTr="007B106E">
        <w:trPr>
          <w:tblHeader/>
        </w:trPr>
        <w:tc>
          <w:tcPr>
            <w:tcW w:w="4077" w:type="dxa"/>
          </w:tcPr>
          <w:p w14:paraId="33EBAD5D" w14:textId="77777777" w:rsidR="00D3114F" w:rsidRPr="00146E58" w:rsidRDefault="00D3114F" w:rsidP="007B106E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Nội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dung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cầu</w:t>
            </w:r>
            <w:proofErr w:type="spellEnd"/>
          </w:p>
        </w:tc>
        <w:tc>
          <w:tcPr>
            <w:tcW w:w="5416" w:type="dxa"/>
            <w:gridSpan w:val="2"/>
          </w:tcPr>
          <w:p w14:paraId="7366852D" w14:textId="77777777" w:rsidR="00D3114F" w:rsidRPr="00146E58" w:rsidRDefault="00D3114F" w:rsidP="007B106E">
            <w:pPr>
              <w:spacing w:before="80" w:after="80"/>
              <w:jc w:val="center"/>
              <w:rPr>
                <w:b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Mức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độ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ứng</w:t>
            </w:r>
            <w:proofErr w:type="spellEnd"/>
          </w:p>
        </w:tc>
      </w:tr>
      <w:tr w:rsidR="00D3114F" w:rsidRPr="00146E58" w14:paraId="7E654578" w14:textId="77777777" w:rsidTr="007B106E">
        <w:tc>
          <w:tcPr>
            <w:tcW w:w="9493" w:type="dxa"/>
            <w:gridSpan w:val="3"/>
          </w:tcPr>
          <w:p w14:paraId="663445C3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sz w:val="26"/>
                <w:szCs w:val="26"/>
                <w:lang w:val="es-ES"/>
              </w:rPr>
            </w:pPr>
            <w:r w:rsidRPr="00146E58">
              <w:rPr>
                <w:b/>
                <w:sz w:val="26"/>
                <w:szCs w:val="26"/>
                <w:lang w:val="es-ES"/>
              </w:rPr>
              <w:t xml:space="preserve">1.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Mức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độ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xây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dựng</w:t>
            </w:r>
            <w:proofErr w:type="spellEnd"/>
          </w:p>
        </w:tc>
      </w:tr>
      <w:tr w:rsidR="00D3114F" w:rsidRPr="00146E58" w14:paraId="2842B3E8" w14:textId="77777777" w:rsidTr="007B106E">
        <w:tc>
          <w:tcPr>
            <w:tcW w:w="4077" w:type="dxa"/>
            <w:vMerge w:val="restart"/>
          </w:tcPr>
          <w:p w14:paraId="0E27018F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1.1.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Đối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chính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r w:rsidRPr="00E34A9A">
              <w:rPr>
                <w:sz w:val="26"/>
                <w:szCs w:val="26"/>
                <w:lang w:val="es-ES"/>
              </w:rPr>
              <w:t>(</w:t>
            </w:r>
            <w:r w:rsidRPr="007F0141">
              <w:rPr>
                <w:sz w:val="26"/>
                <w:szCs w:val="26"/>
                <w:lang w:val="es-ES"/>
              </w:rPr>
              <w:t xml:space="preserve">xi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măng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cát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đa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́;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gạch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xây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thép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xây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dựng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loại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sơn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ngoài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sơn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sắt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thép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bột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bả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trần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vách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thạch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cao; </w:t>
            </w:r>
            <w:proofErr w:type="spellStart"/>
            <w:r>
              <w:rPr>
                <w:sz w:val="26"/>
                <w:szCs w:val="26"/>
                <w:lang w:val="es-ES"/>
              </w:rPr>
              <w:t>cửa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nhôm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kính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và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phụ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kiện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; </w:t>
            </w:r>
            <w:proofErr w:type="spellStart"/>
            <w:r>
              <w:rPr>
                <w:sz w:val="26"/>
                <w:szCs w:val="26"/>
                <w:lang w:val="es-ES"/>
              </w:rPr>
              <w:t>kính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cường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lực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chống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thấm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gạch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-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đa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́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ốp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lát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dây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cấp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điện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>,</w:t>
            </w:r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tủ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val="es-ES"/>
              </w:rPr>
              <w:t>điện</w:t>
            </w:r>
            <w:proofErr w:type="spellEnd"/>
            <w:r>
              <w:rPr>
                <w:sz w:val="26"/>
                <w:szCs w:val="26"/>
                <w:lang w:val="es-ES"/>
              </w:rPr>
              <w:t>,</w:t>
            </w:r>
            <w:r w:rsidRPr="007F0141">
              <w:rPr>
                <w:sz w:val="26"/>
                <w:szCs w:val="26"/>
                <w:lang w:val="es-ES"/>
              </w:rPr>
              <w:t xml:space="preserve"> 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thiết</w:t>
            </w:r>
            <w:proofErr w:type="spellEnd"/>
            <w:proofErr w:type="gram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phụ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kiện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điện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>;</w:t>
            </w:r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điều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hòa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khí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;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vệ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7F0141">
              <w:rPr>
                <w:sz w:val="26"/>
                <w:szCs w:val="26"/>
                <w:lang w:val="es-ES"/>
              </w:rPr>
              <w:t>sinh</w:t>
            </w:r>
            <w:proofErr w:type="spellEnd"/>
            <w:r w:rsidRPr="007F0141">
              <w:rPr>
                <w:sz w:val="26"/>
                <w:szCs w:val="26"/>
                <w:lang w:val="es-ES"/>
              </w:rPr>
              <w:t>; …).</w:t>
            </w:r>
          </w:p>
        </w:tc>
        <w:tc>
          <w:tcPr>
            <w:tcW w:w="4423" w:type="dxa"/>
          </w:tcPr>
          <w:p w14:paraId="09739342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scan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màu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từ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gốc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thực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):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nguyên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tắc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đơn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việc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loại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chính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cho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theo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đúng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chuẩn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gói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. Trường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thì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từng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đại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diện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nguyên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tắc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đơn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đến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vật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chính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của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phần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việc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đảm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nhận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31E5095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scan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màu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từ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gốc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thực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):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Giấy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chứng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nhận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đăng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doanh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đơn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ngành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nghề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doanh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3AA34710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chính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theo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đúng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chuẩn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gói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  <w:p w14:paraId="24E9F41A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Trường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thì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từng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3E464144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54B2D423" w14:textId="77777777" w:rsidTr="007B106E">
        <w:tc>
          <w:tcPr>
            <w:tcW w:w="4077" w:type="dxa"/>
            <w:vMerge/>
          </w:tcPr>
          <w:p w14:paraId="21FC9BD5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72F2F7F8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nội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theo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6E1FCAC5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4F73AF0E" w14:textId="77777777" w:rsidTr="007B106E">
        <w:tc>
          <w:tcPr>
            <w:tcW w:w="4077" w:type="dxa"/>
            <w:vMerge w:val="restart"/>
          </w:tcPr>
          <w:p w14:paraId="6B812432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1.2.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Đối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loại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đưa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Mục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III,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).</w:t>
            </w:r>
          </w:p>
        </w:tc>
        <w:tc>
          <w:tcPr>
            <w:tcW w:w="4423" w:type="dxa"/>
          </w:tcPr>
          <w:p w14:paraId="5456781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chào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xứ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Mục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III,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).</w:t>
            </w:r>
          </w:p>
        </w:tc>
        <w:tc>
          <w:tcPr>
            <w:tcW w:w="993" w:type="dxa"/>
          </w:tcPr>
          <w:p w14:paraId="1448FF37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70963D35" w14:textId="77777777" w:rsidTr="007B106E">
        <w:tc>
          <w:tcPr>
            <w:tcW w:w="4077" w:type="dxa"/>
            <w:vMerge/>
          </w:tcPr>
          <w:p w14:paraId="240F9044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041E54ED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xứ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Mục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III,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).</w:t>
            </w:r>
          </w:p>
        </w:tc>
        <w:tc>
          <w:tcPr>
            <w:tcW w:w="993" w:type="dxa"/>
          </w:tcPr>
          <w:p w14:paraId="1AACC1DF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614B0E94" w14:textId="77777777" w:rsidTr="007B106E">
        <w:tc>
          <w:tcPr>
            <w:tcW w:w="9493" w:type="dxa"/>
            <w:gridSpan w:val="3"/>
          </w:tcPr>
          <w:p w14:paraId="4EB7191B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sz w:val="26"/>
                <w:szCs w:val="26"/>
                <w:lang w:val="es-ES"/>
              </w:rPr>
              <w:lastRenderedPageBreak/>
              <w:t xml:space="preserve">2.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thuật</w:t>
            </w:r>
            <w:proofErr w:type="spellEnd"/>
          </w:p>
        </w:tc>
      </w:tr>
      <w:tr w:rsidR="00D3114F" w:rsidRPr="00146E58" w14:paraId="5FB9A491" w14:textId="77777777" w:rsidTr="007B106E">
        <w:trPr>
          <w:trHeight w:val="2649"/>
        </w:trPr>
        <w:tc>
          <w:tcPr>
            <w:tcW w:w="4077" w:type="dxa"/>
            <w:vMerge w:val="restart"/>
          </w:tcPr>
          <w:p w14:paraId="177B2194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2.1.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mặt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bằng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gồm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nội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: </w:t>
            </w:r>
          </w:p>
          <w:p w14:paraId="69C3EE20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(1)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Mặt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bằng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bố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trí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tập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1C9326C8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(2)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Bố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trí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rào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chắn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biển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báo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54438260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(3)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nước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thoát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nước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giao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4423" w:type="dxa"/>
          </w:tcPr>
          <w:p w14:paraId="3CED6DCC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gồm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thuyết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mặt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bằng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)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theo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. Do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đưa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7B9A0B8A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60845DE2" w14:textId="77777777" w:rsidTr="007B106E">
        <w:tc>
          <w:tcPr>
            <w:tcW w:w="4077" w:type="dxa"/>
            <w:vMerge/>
          </w:tcPr>
          <w:p w14:paraId="6FEB3D3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2E977DEF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04C6FA7E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0CCC37B5" w14:textId="77777777" w:rsidTr="007B106E">
        <w:tc>
          <w:tcPr>
            <w:tcW w:w="4077" w:type="dxa"/>
            <w:vMerge w:val="restart"/>
          </w:tcPr>
          <w:p w14:paraId="51128416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2.2.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:</w:t>
            </w:r>
          </w:p>
          <w:p w14:paraId="4E6229CA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(1) Công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chuẩn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khởi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26EA1682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(2) Công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định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7D6E30D2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(3) Công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:</w:t>
            </w:r>
          </w:p>
          <w:p w14:paraId="0753DFF4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phần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tháo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37C34A44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mục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hoàn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4423" w:type="dxa"/>
          </w:tcPr>
          <w:p w14:paraId="5A04D623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(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gồm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thuyết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)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theo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0697E8D7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5D79A3A3" w14:textId="77777777" w:rsidTr="007B106E">
        <w:tc>
          <w:tcPr>
            <w:tcW w:w="4077" w:type="dxa"/>
            <w:vMerge/>
          </w:tcPr>
          <w:p w14:paraId="1181C5B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3A89CDD9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53AAE0A9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7BBF4C02" w14:textId="77777777" w:rsidTr="007B106E">
        <w:tc>
          <w:tcPr>
            <w:tcW w:w="4077" w:type="dxa"/>
            <w:vMerge w:val="restart"/>
          </w:tcPr>
          <w:p w14:paraId="1E8781CD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2.3.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nhân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sự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thuyết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4423" w:type="dxa"/>
          </w:tcPr>
          <w:p w14:paraId="4F8B6A4A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nhân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sự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thuyết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khả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32798A66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074CE67A" w14:textId="77777777" w:rsidTr="007B106E">
        <w:tc>
          <w:tcPr>
            <w:tcW w:w="4077" w:type="dxa"/>
            <w:vMerge/>
          </w:tcPr>
          <w:p w14:paraId="74D3EA93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00DB015E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nhân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sự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thuyết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khả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6CD01F47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28CEF4F1" w14:textId="77777777" w:rsidTr="007B106E">
        <w:tc>
          <w:tcPr>
            <w:tcW w:w="9493" w:type="dxa"/>
            <w:gridSpan w:val="3"/>
          </w:tcPr>
          <w:p w14:paraId="2C3282C1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sz w:val="26"/>
                <w:szCs w:val="26"/>
                <w:lang w:val="es-ES"/>
              </w:rPr>
              <w:t xml:space="preserve">3.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đảm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chất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lượng</w:t>
            </w:r>
            <w:proofErr w:type="spellEnd"/>
          </w:p>
        </w:tc>
      </w:tr>
      <w:tr w:rsidR="00D3114F" w:rsidRPr="00146E58" w14:paraId="4472C5A9" w14:textId="77777777" w:rsidTr="007B106E">
        <w:tc>
          <w:tcPr>
            <w:tcW w:w="4077" w:type="dxa"/>
            <w:vMerge w:val="restart"/>
          </w:tcPr>
          <w:p w14:paraId="26977853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3.1.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lượng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phận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lượng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4423" w:type="dxa"/>
          </w:tcPr>
          <w:p w14:paraId="1BEFD987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lượng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phận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lượng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rõ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ràng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5B78CD8F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4AABBF99" w14:textId="77777777" w:rsidTr="007B106E">
        <w:tc>
          <w:tcPr>
            <w:tcW w:w="4077" w:type="dxa"/>
            <w:vMerge/>
          </w:tcPr>
          <w:p w14:paraId="0215AEA7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14D9F05F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lượng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phận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lượng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sài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07E72CBB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5CDB134D" w14:textId="77777777" w:rsidTr="007B106E">
        <w:tc>
          <w:tcPr>
            <w:tcW w:w="4077" w:type="dxa"/>
            <w:vMerge w:val="restart"/>
          </w:tcPr>
          <w:p w14:paraId="39E23D3B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3.2.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đảm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lượng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nguyên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để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phục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vụ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gồm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nội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sau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:</w:t>
            </w:r>
          </w:p>
          <w:p w14:paraId="3753C272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a.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Lập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mục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theo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E-HSMT.</w:t>
            </w:r>
          </w:p>
          <w:p w14:paraId="23576A3B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b. Quy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lượng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móc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6B93129A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c.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xử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gói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4423" w:type="dxa"/>
          </w:tcPr>
          <w:p w14:paraId="043D8E7E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khả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489024A8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2CEFFF7D" w14:textId="77777777" w:rsidTr="007B106E">
        <w:tc>
          <w:tcPr>
            <w:tcW w:w="4077" w:type="dxa"/>
            <w:vMerge/>
          </w:tcPr>
          <w:p w14:paraId="5B805BBE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664C820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2024557A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6E632916" w14:textId="77777777" w:rsidTr="007B106E">
        <w:tc>
          <w:tcPr>
            <w:tcW w:w="4077" w:type="dxa"/>
            <w:vMerge w:val="restart"/>
          </w:tcPr>
          <w:p w14:paraId="0E2933E8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3.3.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mưa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4423" w:type="dxa"/>
          </w:tcPr>
          <w:p w14:paraId="5DB9086C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mưa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khả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1E84F978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0869A6E2" w14:textId="77777777" w:rsidTr="007B106E">
        <w:tc>
          <w:tcPr>
            <w:tcW w:w="4077" w:type="dxa"/>
            <w:vMerge/>
          </w:tcPr>
          <w:p w14:paraId="6D2C2F8B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5328DFC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liệu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mưa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khả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621CDD7B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5CE0CB42" w14:textId="77777777" w:rsidTr="007B106E">
        <w:tc>
          <w:tcPr>
            <w:tcW w:w="4077" w:type="dxa"/>
            <w:vMerge w:val="restart"/>
          </w:tcPr>
          <w:p w14:paraId="5833CE7E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3.4.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Sửa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chữa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hỏng</w:t>
            </w:r>
            <w:proofErr w:type="spellEnd"/>
          </w:p>
        </w:tc>
        <w:tc>
          <w:tcPr>
            <w:tcW w:w="4423" w:type="dxa"/>
          </w:tcPr>
          <w:p w14:paraId="56859FEC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rõ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ràng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,</w:t>
            </w:r>
            <w:r w:rsidRPr="00146E58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5F550D01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3C3A2E14" w14:textId="77777777" w:rsidTr="007B106E">
        <w:tc>
          <w:tcPr>
            <w:tcW w:w="4077" w:type="dxa"/>
            <w:vMerge/>
          </w:tcPr>
          <w:p w14:paraId="36E29265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2D170A5A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sài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67F4FA7B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5ACC438C" w14:textId="77777777" w:rsidTr="007B106E">
        <w:tc>
          <w:tcPr>
            <w:tcW w:w="9493" w:type="dxa"/>
            <w:gridSpan w:val="3"/>
          </w:tcPr>
          <w:p w14:paraId="1F06969A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sz w:val="26"/>
                <w:szCs w:val="26"/>
                <w:lang w:val="es-ES"/>
              </w:rPr>
              <w:t xml:space="preserve">4. Tiến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độ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công</w:t>
            </w:r>
            <w:proofErr w:type="spellEnd"/>
          </w:p>
        </w:tc>
      </w:tr>
      <w:tr w:rsidR="00D3114F" w:rsidRPr="00146E58" w14:paraId="4ED267A5" w14:textId="77777777" w:rsidTr="007B106E">
        <w:tc>
          <w:tcPr>
            <w:tcW w:w="4077" w:type="dxa"/>
            <w:vMerge w:val="restart"/>
          </w:tcPr>
          <w:p w14:paraId="69483523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4.1.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Thời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: </w:t>
            </w:r>
            <w:proofErr w:type="spellStart"/>
            <w:r w:rsidRPr="00501580">
              <w:rPr>
                <w:color w:val="FF0000"/>
                <w:sz w:val="26"/>
                <w:szCs w:val="26"/>
                <w:lang w:val="es-ES"/>
              </w:rPr>
              <w:t>tối</w:t>
            </w:r>
            <w:proofErr w:type="spellEnd"/>
            <w:r w:rsidRPr="00501580">
              <w:rPr>
                <w:color w:val="FF0000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501580">
              <w:rPr>
                <w:color w:val="FF0000"/>
                <w:sz w:val="26"/>
                <w:szCs w:val="26"/>
                <w:lang w:val="es-ES"/>
              </w:rPr>
              <w:t>đa</w:t>
            </w:r>
            <w:proofErr w:type="spellEnd"/>
            <w:r w:rsidRPr="00501580">
              <w:rPr>
                <w:color w:val="FF0000"/>
                <w:sz w:val="26"/>
                <w:szCs w:val="26"/>
                <w:lang w:val="es-ES"/>
              </w:rPr>
              <w:t xml:space="preserve"> </w:t>
            </w:r>
            <w:r w:rsidRPr="00501580">
              <w:rPr>
                <w:color w:val="FF0000"/>
                <w:sz w:val="26"/>
                <w:szCs w:val="26"/>
                <w:lang w:val="vi-VN"/>
              </w:rPr>
              <w:t>12</w:t>
            </w:r>
            <w:r w:rsidRPr="00501580">
              <w:rPr>
                <w:color w:val="FF0000"/>
                <w:sz w:val="26"/>
                <w:szCs w:val="26"/>
                <w:lang w:val="es-ES"/>
              </w:rPr>
              <w:t xml:space="preserve">0 </w:t>
            </w:r>
            <w:proofErr w:type="spellStart"/>
            <w:r w:rsidRPr="00501580">
              <w:rPr>
                <w:color w:val="FF0000"/>
                <w:sz w:val="26"/>
                <w:szCs w:val="26"/>
                <w:lang w:val="es-ES"/>
              </w:rPr>
              <w:t>ngày</w:t>
            </w:r>
            <w:proofErr w:type="spellEnd"/>
            <w:r w:rsidRPr="00501580">
              <w:rPr>
                <w:color w:val="FF0000"/>
                <w:sz w:val="26"/>
                <w:szCs w:val="26"/>
                <w:lang w:val="es-ES"/>
              </w:rPr>
              <w:t>.</w:t>
            </w:r>
          </w:p>
        </w:tc>
        <w:tc>
          <w:tcPr>
            <w:tcW w:w="4423" w:type="dxa"/>
          </w:tcPr>
          <w:p w14:paraId="122B7368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thời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vượt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số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ngày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E-HSMT.</w:t>
            </w:r>
          </w:p>
        </w:tc>
        <w:tc>
          <w:tcPr>
            <w:tcW w:w="993" w:type="dxa"/>
          </w:tcPr>
          <w:p w14:paraId="27F721A4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388F1C67" w14:textId="77777777" w:rsidTr="007B106E">
        <w:tc>
          <w:tcPr>
            <w:tcW w:w="4077" w:type="dxa"/>
            <w:vMerge/>
          </w:tcPr>
          <w:p w14:paraId="78DF0153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1E42CBEF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thời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vượt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số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ngày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E-HSMT.</w:t>
            </w:r>
          </w:p>
        </w:tc>
        <w:tc>
          <w:tcPr>
            <w:tcW w:w="993" w:type="dxa"/>
          </w:tcPr>
          <w:p w14:paraId="03965031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0F8654F3" w14:textId="77777777" w:rsidTr="007B106E">
        <w:tc>
          <w:tcPr>
            <w:tcW w:w="4077" w:type="dxa"/>
            <w:vMerge w:val="restart"/>
          </w:tcPr>
          <w:p w14:paraId="65416286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4.2. Tính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:</w:t>
            </w:r>
          </w:p>
          <w:p w14:paraId="186D96FC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a)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Giữa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huy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vật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tiến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3F45EF07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b)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Giữa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bố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trí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nhân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lực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tiến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78EFC332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c)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Giữa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bố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trí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móc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tiến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4423" w:type="dxa"/>
          </w:tcPr>
          <w:p w14:paraId="21204555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khả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biểu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cho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cả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nội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a, b, c,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6E10A492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543B6047" w14:textId="77777777" w:rsidTr="007B106E">
        <w:tc>
          <w:tcPr>
            <w:tcW w:w="4077" w:type="dxa"/>
            <w:vMerge/>
          </w:tcPr>
          <w:p w14:paraId="2F75B4F0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51AB19AD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nội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a, b, c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biểu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2C04EE6C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64ADED8D" w14:textId="77777777" w:rsidTr="007B106E">
        <w:tc>
          <w:tcPr>
            <w:tcW w:w="4077" w:type="dxa"/>
            <w:vMerge w:val="restart"/>
          </w:tcPr>
          <w:p w14:paraId="04E962BB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4.3.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Biểu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tiến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</w:p>
        </w:tc>
        <w:tc>
          <w:tcPr>
            <w:tcW w:w="4423" w:type="dxa"/>
          </w:tcPr>
          <w:p w14:paraId="087D58BC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biểu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tiến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khả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4BC1CBA2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78298834" w14:textId="77777777" w:rsidTr="007B106E">
        <w:tc>
          <w:tcPr>
            <w:tcW w:w="4077" w:type="dxa"/>
            <w:vMerge/>
          </w:tcPr>
          <w:p w14:paraId="7F7F230B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4B70619E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biểu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tiến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khả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thuật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315DD7B8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41E2AAEA" w14:textId="77777777" w:rsidTr="007B106E">
        <w:tc>
          <w:tcPr>
            <w:tcW w:w="4077" w:type="dxa"/>
          </w:tcPr>
          <w:p w14:paraId="6C5B3557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sz w:val="26"/>
                <w:szCs w:val="26"/>
                <w:lang w:val="es-ES"/>
              </w:rPr>
            </w:pPr>
            <w:r w:rsidRPr="00146E58">
              <w:rPr>
                <w:b/>
                <w:sz w:val="26"/>
                <w:szCs w:val="26"/>
                <w:lang w:val="es-ES"/>
              </w:rPr>
              <w:t xml:space="preserve">5.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An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toàn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lao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động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phòng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cháy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chữa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cháy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vệ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sinh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môi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</w:p>
        </w:tc>
        <w:tc>
          <w:tcPr>
            <w:tcW w:w="4423" w:type="dxa"/>
          </w:tcPr>
          <w:p w14:paraId="021A2D97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993" w:type="dxa"/>
          </w:tcPr>
          <w:p w14:paraId="4153AB62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</w:p>
        </w:tc>
      </w:tr>
      <w:tr w:rsidR="00D3114F" w:rsidRPr="00146E58" w14:paraId="7207E1C1" w14:textId="77777777" w:rsidTr="007B106E">
        <w:tc>
          <w:tcPr>
            <w:tcW w:w="4077" w:type="dxa"/>
            <w:vMerge w:val="restart"/>
          </w:tcPr>
          <w:p w14:paraId="2FC3BB76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5.1.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toàn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lao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gồm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:</w:t>
            </w:r>
          </w:p>
          <w:p w14:paraId="02FB594A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đào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thực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kiểm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toàn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lao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7F9D20EE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đảm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toàn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lao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cho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từng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đoạn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4A053B6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toàn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giao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vào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45C3DED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Bảo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đảm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nhân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sự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0647C4F5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Quản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toàn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cho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điều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đang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hoạt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4423" w:type="dxa"/>
          </w:tcPr>
          <w:p w14:paraId="0A5B93FE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toàn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lao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rõ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ràng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76493875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1BAA16BB" w14:textId="77777777" w:rsidTr="007B106E">
        <w:tc>
          <w:tcPr>
            <w:tcW w:w="4077" w:type="dxa"/>
            <w:vMerge/>
          </w:tcPr>
          <w:p w14:paraId="336C8FB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66D14666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toàn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lao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/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rõ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ràng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0586B3BD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283D4957" w14:textId="77777777" w:rsidTr="007B106E">
        <w:tc>
          <w:tcPr>
            <w:tcW w:w="4077" w:type="dxa"/>
            <w:vMerge w:val="restart"/>
          </w:tcPr>
          <w:p w14:paraId="6736B8D5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5.2.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phòng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chữa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gồm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:</w:t>
            </w:r>
          </w:p>
          <w:p w14:paraId="395DA65C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Quy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định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phạm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chuẩn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58C3EF3D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lastRenderedPageBreak/>
              <w:t xml:space="preserve">- Các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trang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phòng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chống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6FBDCC80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phòng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chống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5F5B466E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đào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thực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các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biện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pháp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phòng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cháy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chữa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cháy</w:t>
            </w:r>
            <w:proofErr w:type="spellEnd"/>
          </w:p>
        </w:tc>
        <w:tc>
          <w:tcPr>
            <w:tcW w:w="4423" w:type="dxa"/>
          </w:tcPr>
          <w:p w14:paraId="4BA9D495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lastRenderedPageBreak/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phòng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chữa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rõ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ràng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4D4D442D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4626D9DD" w14:textId="77777777" w:rsidTr="007B106E">
        <w:tc>
          <w:tcPr>
            <w:tcW w:w="4077" w:type="dxa"/>
            <w:vMerge/>
          </w:tcPr>
          <w:p w14:paraId="52336406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189116B8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phòng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chữa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cháy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rõ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ràng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/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112150D6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4AD6F87E" w14:textId="77777777" w:rsidTr="007B106E">
        <w:tc>
          <w:tcPr>
            <w:tcW w:w="4077" w:type="dxa"/>
            <w:vMerge w:val="restart"/>
          </w:tcPr>
          <w:p w14:paraId="5B80CEFF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5.3.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đảm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vệ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môi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gồm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:</w:t>
            </w:r>
          </w:p>
          <w:p w14:paraId="7791F310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Tiếng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ồn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35269244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Bụi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khói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23C61272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>- Rung.</w:t>
            </w:r>
          </w:p>
          <w:p w14:paraId="00BE6DCB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Kiểm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soát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nước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2486B813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Kiểm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soát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vệ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4423" w:type="dxa"/>
          </w:tcPr>
          <w:p w14:paraId="5F5074A3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đảm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vệ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môi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rõ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ràng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</w:t>
            </w:r>
            <w:r w:rsidRPr="00146E58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993" w:type="dxa"/>
          </w:tcPr>
          <w:p w14:paraId="2C977E59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7FD9110E" w14:textId="77777777" w:rsidTr="007B106E">
        <w:tc>
          <w:tcPr>
            <w:tcW w:w="4077" w:type="dxa"/>
            <w:vMerge/>
          </w:tcPr>
          <w:p w14:paraId="3407E3A6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2DB52408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đảm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vệ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sinh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môi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rõ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ràng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/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thù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193420BF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7F341767" w14:textId="77777777" w:rsidTr="007B106E">
        <w:tc>
          <w:tcPr>
            <w:tcW w:w="9493" w:type="dxa"/>
            <w:gridSpan w:val="3"/>
          </w:tcPr>
          <w:p w14:paraId="457045D7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sz w:val="26"/>
                <w:szCs w:val="26"/>
                <w:lang w:val="es-ES"/>
              </w:rPr>
              <w:t xml:space="preserve">6. Bảo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hành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bảo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trì, uy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tín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b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sz w:val="26"/>
                <w:szCs w:val="26"/>
                <w:lang w:val="es-ES"/>
              </w:rPr>
              <w:t>thầu</w:t>
            </w:r>
            <w:proofErr w:type="spellEnd"/>
          </w:p>
        </w:tc>
      </w:tr>
      <w:tr w:rsidR="00D3114F" w:rsidRPr="00146E58" w14:paraId="7391B319" w14:textId="77777777" w:rsidTr="007B106E">
        <w:tc>
          <w:tcPr>
            <w:tcW w:w="4077" w:type="dxa"/>
            <w:vMerge w:val="restart"/>
          </w:tcPr>
          <w:p w14:paraId="0C72C38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6.1.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Thời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≥ 12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29C2F3B9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(Trong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từng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bảo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hành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bảo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hiểm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theo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V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E-HSMT.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Nếu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nào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thì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được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). </w:t>
            </w:r>
          </w:p>
        </w:tc>
        <w:tc>
          <w:tcPr>
            <w:tcW w:w="4423" w:type="dxa"/>
          </w:tcPr>
          <w:p w14:paraId="370CBB1A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thời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≥ 12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7E72A570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Có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trình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bảo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hành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trình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0F41C775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698D7A17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</w:p>
        </w:tc>
      </w:tr>
      <w:tr w:rsidR="00D3114F" w:rsidRPr="00146E58" w14:paraId="77CC5D96" w14:textId="77777777" w:rsidTr="007B106E">
        <w:tc>
          <w:tcPr>
            <w:tcW w:w="4077" w:type="dxa"/>
            <w:vMerge/>
          </w:tcPr>
          <w:p w14:paraId="3790B1C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450013B4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xuất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thời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nhỏ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hơn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12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2F00AB05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Có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trình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bảo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hành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trình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đầy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̉, chi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tiết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47ADB55C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nhưng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yêu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6E135C64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  <w:tr w:rsidR="00D3114F" w:rsidRPr="00146E58" w14:paraId="4944F4DF" w14:textId="77777777" w:rsidTr="007B106E">
        <w:tc>
          <w:tcPr>
            <w:tcW w:w="4077" w:type="dxa"/>
            <w:vMerge w:val="restart"/>
          </w:tcPr>
          <w:p w14:paraId="762F4E08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6.2. Uy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tín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qua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việc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thực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tự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trước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vòng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những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năm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2023, 2024</w:t>
            </w:r>
            <w:r>
              <w:rPr>
                <w:sz w:val="26"/>
                <w:szCs w:val="26"/>
                <w:lang w:val="vi-VN"/>
              </w:rPr>
              <w:t>,2025</w:t>
            </w:r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trở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lại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đây</w:t>
            </w:r>
            <w:proofErr w:type="spellEnd"/>
            <w:r>
              <w:rPr>
                <w:sz w:val="26"/>
                <w:szCs w:val="26"/>
                <w:lang w:val="es-ES"/>
              </w:rPr>
              <w:t>.</w:t>
            </w:r>
          </w:p>
          <w:p w14:paraId="0FD1839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(Trong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trường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từng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phải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uy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tín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.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Nếu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nào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thì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liên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lastRenderedPageBreak/>
              <w:t>danh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sẽ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được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cam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).</w:t>
            </w:r>
          </w:p>
        </w:tc>
        <w:tc>
          <w:tcPr>
            <w:tcW w:w="4423" w:type="dxa"/>
          </w:tcPr>
          <w:p w14:paraId="73B1127C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sz w:val="26"/>
                <w:szCs w:val="26"/>
                <w:lang w:val="es-ES"/>
              </w:rPr>
              <w:lastRenderedPageBreak/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cả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nội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dung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dưới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đây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thì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được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Đạt:</w:t>
            </w:r>
          </w:p>
          <w:p w14:paraId="6B1F23D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r>
              <w:rPr>
                <w:sz w:val="26"/>
                <w:szCs w:val="26"/>
                <w:lang w:val="es-ES"/>
              </w:rPr>
              <w:t xml:space="preserve">&gt; 1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hợp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đồng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chậm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tiến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độ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do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lỗi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của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24AE0409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tư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luận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thực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hiện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đầy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đủ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trách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nhiệm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hành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42DD9188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quan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nước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thẩm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quyền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luận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về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lượng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trình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đảm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bảo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.</w:t>
            </w:r>
          </w:p>
          <w:p w14:paraId="4924D417" w14:textId="77777777" w:rsidR="00D3114F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FD06AA">
              <w:rPr>
                <w:sz w:val="26"/>
                <w:szCs w:val="26"/>
                <w:lang w:val="es-ES"/>
              </w:rPr>
              <w:lastRenderedPageBreak/>
              <w:t xml:space="preserve">-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Cơ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quan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Tổ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chức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hoặc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Đơn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vị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nào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kết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luận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,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đánh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giá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có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hành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vi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FD06AA">
              <w:rPr>
                <w:sz w:val="26"/>
                <w:szCs w:val="26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trung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thực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theo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quy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định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tại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Khoản 4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Điều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16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Luật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Đấu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FD06AA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FD06AA">
              <w:rPr>
                <w:sz w:val="26"/>
                <w:szCs w:val="26"/>
                <w:lang w:val="es-ES"/>
              </w:rPr>
              <w:t>.</w:t>
            </w:r>
          </w:p>
          <w:p w14:paraId="24E94D59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>
              <w:rPr>
                <w:sz w:val="26"/>
                <w:szCs w:val="26"/>
                <w:lang w:val="es-ES"/>
              </w:rPr>
              <w:t>Nhà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thầu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có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bản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cam</w:t>
            </w:r>
            <w:proofErr w:type="spellEnd"/>
            <w:r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s-ES"/>
              </w:rPr>
              <w:t>kết</w:t>
            </w:r>
            <w:proofErr w:type="spellEnd"/>
            <w:r>
              <w:rPr>
                <w:sz w:val="26"/>
                <w:szCs w:val="26"/>
                <w:lang w:val="es-ES"/>
              </w:rPr>
              <w:t>.</w:t>
            </w:r>
          </w:p>
          <w:p w14:paraId="254924C1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Nhà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chưa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từng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bị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cấm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đấu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thầu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ở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bất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kỳ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địa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phương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nào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trên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toàn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quốc</w:t>
            </w:r>
            <w:proofErr w:type="spellEnd"/>
            <w:r>
              <w:rPr>
                <w:sz w:val="26"/>
                <w:szCs w:val="26"/>
                <w:lang w:val="es-ES"/>
              </w:rPr>
              <w:t>.</w:t>
            </w:r>
          </w:p>
        </w:tc>
        <w:tc>
          <w:tcPr>
            <w:tcW w:w="993" w:type="dxa"/>
          </w:tcPr>
          <w:p w14:paraId="0213B64A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r w:rsidRPr="00146E58">
              <w:rPr>
                <w:b/>
                <w:i/>
                <w:sz w:val="26"/>
                <w:szCs w:val="26"/>
                <w:lang w:val="es-ES"/>
              </w:rPr>
              <w:lastRenderedPageBreak/>
              <w:t>Đạt</w:t>
            </w:r>
          </w:p>
        </w:tc>
      </w:tr>
      <w:tr w:rsidR="00D3114F" w:rsidRPr="00146E58" w14:paraId="34D2DFB1" w14:textId="77777777" w:rsidTr="007B106E">
        <w:tc>
          <w:tcPr>
            <w:tcW w:w="4077" w:type="dxa"/>
            <w:vMerge/>
          </w:tcPr>
          <w:p w14:paraId="7572ED7F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</w:p>
        </w:tc>
        <w:tc>
          <w:tcPr>
            <w:tcW w:w="4423" w:type="dxa"/>
          </w:tcPr>
          <w:p w14:paraId="550E13DA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Vi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phạm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một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chí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dưới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đây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được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đánh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giá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là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đạt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>:</w:t>
            </w:r>
          </w:p>
          <w:p w14:paraId="181C6FA2" w14:textId="77777777" w:rsidR="00D3114F" w:rsidRPr="00146E58" w:rsidRDefault="00D3114F" w:rsidP="007B106E">
            <w:pPr>
              <w:spacing w:before="80" w:after="80"/>
              <w:jc w:val="both"/>
              <w:rPr>
                <w:sz w:val="26"/>
                <w:szCs w:val="26"/>
                <w:lang w:val="es-ES"/>
              </w:rPr>
            </w:pPr>
            <w:r w:rsidRPr="00146E58">
              <w:rPr>
                <w:sz w:val="26"/>
                <w:szCs w:val="26"/>
                <w:lang w:val="es-ES"/>
              </w:rPr>
              <w:t xml:space="preserve">-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đáp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ứng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một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trong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các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tiêu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chí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Đạt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nêu</w:t>
            </w:r>
            <w:proofErr w:type="spellEnd"/>
            <w:r w:rsidRPr="00146E58">
              <w:rPr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sz w:val="26"/>
                <w:szCs w:val="26"/>
                <w:lang w:val="es-ES"/>
              </w:rPr>
              <w:t>trên</w:t>
            </w:r>
            <w:proofErr w:type="spellEnd"/>
          </w:p>
        </w:tc>
        <w:tc>
          <w:tcPr>
            <w:tcW w:w="993" w:type="dxa"/>
          </w:tcPr>
          <w:p w14:paraId="15F360BD" w14:textId="77777777" w:rsidR="00D3114F" w:rsidRPr="00146E58" w:rsidRDefault="00D3114F" w:rsidP="007B106E">
            <w:pPr>
              <w:spacing w:before="80" w:after="80"/>
              <w:jc w:val="both"/>
              <w:rPr>
                <w:b/>
                <w:i/>
                <w:sz w:val="26"/>
                <w:szCs w:val="26"/>
                <w:lang w:val="es-ES"/>
              </w:rPr>
            </w:pP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Không</w:t>
            </w:r>
            <w:proofErr w:type="spellEnd"/>
            <w:r w:rsidRPr="00146E58">
              <w:rPr>
                <w:b/>
                <w:i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146E58">
              <w:rPr>
                <w:b/>
                <w:i/>
                <w:sz w:val="26"/>
                <w:szCs w:val="26"/>
                <w:lang w:val="es-ES"/>
              </w:rPr>
              <w:t>đạt</w:t>
            </w:r>
            <w:proofErr w:type="spellEnd"/>
          </w:p>
        </w:tc>
      </w:tr>
    </w:tbl>
    <w:p w14:paraId="49EDA3CA" w14:textId="77777777" w:rsidR="00F832DF" w:rsidRDefault="00F832DF"/>
    <w:sectPr w:rsidR="00F83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4F"/>
    <w:rsid w:val="00223A02"/>
    <w:rsid w:val="00606381"/>
    <w:rsid w:val="00946EBD"/>
    <w:rsid w:val="00D3114F"/>
    <w:rsid w:val="00F8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36E2"/>
  <w15:chartTrackingRefBased/>
  <w15:docId w15:val="{D2401876-B369-44C6-8B1D-574B0048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4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1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1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1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1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1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1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1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1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1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1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1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1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1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1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1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1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1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11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1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2026-04-21T13:48:00Z</dcterms:created>
  <dcterms:modified xsi:type="dcterms:W3CDTF">2026-04-21T13:48:00Z</dcterms:modified>
</cp:coreProperties>
</file>