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2"/>
        <w:gridCol w:w="6284"/>
        <w:gridCol w:w="1515"/>
      </w:tblGrid>
      <w:tr w:rsidR="003A5EE2" w:rsidRPr="00A944FD" w:rsidTr="00366783">
        <w:tc>
          <w:tcPr>
            <w:tcW w:w="8976" w:type="dxa"/>
            <w:gridSpan w:val="2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bCs/>
                <w:sz w:val="28"/>
                <w:szCs w:val="28"/>
              </w:rPr>
              <w:t>Nội dung đánh giá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3A5EE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bCs/>
                <w:sz w:val="28"/>
                <w:szCs w:val="28"/>
              </w:rPr>
              <w:t>Sử dụng tiêu chí đánh giá</w:t>
            </w:r>
          </w:p>
        </w:tc>
      </w:tr>
      <w:tr w:rsidR="003A5EE2" w:rsidRPr="00A944FD" w:rsidTr="008B225D">
        <w:trPr>
          <w:trHeight w:val="506"/>
        </w:trPr>
        <w:tc>
          <w:tcPr>
            <w:tcW w:w="10491" w:type="dxa"/>
            <w:gridSpan w:val="3"/>
            <w:vAlign w:val="center"/>
          </w:tcPr>
          <w:p w:rsidR="003A5EE2" w:rsidRPr="00A944FD" w:rsidRDefault="003A5EE2" w:rsidP="008B225D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bCs/>
                <w:sz w:val="28"/>
                <w:szCs w:val="28"/>
              </w:rPr>
              <w:t>1. Đặc tính kỹ thuật của hàng hóa</w:t>
            </w:r>
          </w:p>
        </w:tc>
      </w:tr>
      <w:tr w:rsidR="003A5EE2" w:rsidRPr="00A944FD" w:rsidTr="00EE0220">
        <w:trPr>
          <w:trHeight w:val="5588"/>
        </w:trPr>
        <w:tc>
          <w:tcPr>
            <w:tcW w:w="2692" w:type="dxa"/>
            <w:vMerge w:val="restart"/>
            <w:vAlign w:val="center"/>
          </w:tcPr>
          <w:p w:rsidR="003A5EE2" w:rsidRPr="00A944FD" w:rsidRDefault="003A5EE2" w:rsidP="00292BA4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Đặc tính, thông số kỹ</w:t>
            </w:r>
          </w:p>
          <w:p w:rsidR="003A5EE2" w:rsidRPr="00A944FD" w:rsidRDefault="003A5EE2" w:rsidP="00292BA4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thuật, chủng loại, số</w:t>
            </w:r>
          </w:p>
          <w:p w:rsidR="003A5EE2" w:rsidRPr="00A944FD" w:rsidRDefault="003A5EE2" w:rsidP="00292BA4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lượng, chất lượng của</w:t>
            </w:r>
          </w:p>
          <w:p w:rsidR="003A5EE2" w:rsidRPr="00A944FD" w:rsidRDefault="003A5EE2" w:rsidP="00292BA4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hàng hóa</w:t>
            </w:r>
          </w:p>
        </w:tc>
        <w:tc>
          <w:tcPr>
            <w:tcW w:w="6284" w:type="dxa"/>
            <w:vAlign w:val="center"/>
          </w:tcPr>
          <w:p w:rsidR="003A5EE2" w:rsidRPr="00A944FD" w:rsidRDefault="003A5EE2" w:rsidP="00ED162C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- Hàng hóa được sản xuất Có đặc tính, thông số kỹ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thuật, chủng loại, số lượng, chất lượng, tiêu chuẩn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sản xuất của hàng hóa đáp ứng yêu cầu cơ bản của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E-HSMT theo quy định tại Phần 2, Chương V. Yêu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cầu về kỹ thuật.</w:t>
            </w:r>
          </w:p>
          <w:p w:rsidR="003A5EE2" w:rsidRPr="00A944FD" w:rsidRDefault="00366783" w:rsidP="00ED162C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</w:t>
            </w:r>
            <w:r w:rsidR="003A5EE2" w:rsidRPr="00A944FD">
              <w:rPr>
                <w:sz w:val="28"/>
                <w:szCs w:val="28"/>
              </w:rPr>
              <w:t>- Nhà thầu có bản cam kết hàng hóa cung cấp mới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="00F4223B" w:rsidRPr="00A944FD">
              <w:rPr>
                <w:sz w:val="28"/>
                <w:szCs w:val="28"/>
              </w:rPr>
              <w:t>100%, chưa qua sử dụng và sản xuất từ năm 2025 trở về sau</w:t>
            </w:r>
            <w:r w:rsidR="00ED162C" w:rsidRPr="00A944FD">
              <w:rPr>
                <w:sz w:val="28"/>
                <w:szCs w:val="28"/>
              </w:rPr>
              <w:t>.</w:t>
            </w:r>
          </w:p>
          <w:p w:rsidR="0061206B" w:rsidRPr="00A944FD" w:rsidRDefault="00C71DF9" w:rsidP="00292BA4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</w:t>
            </w:r>
            <w:r w:rsidR="0061206B" w:rsidRPr="00A944FD">
              <w:rPr>
                <w:sz w:val="28"/>
                <w:szCs w:val="28"/>
              </w:rPr>
              <w:t>-</w:t>
            </w:r>
            <w:r w:rsidR="0061206B" w:rsidRPr="00A944FD">
              <w:rPr>
                <w:rFonts w:eastAsia="Calibri"/>
                <w:sz w:val="28"/>
                <w:szCs w:val="28"/>
              </w:rPr>
              <w:t xml:space="preserve"> Catalogue của thiết bị chào thầu (bản gốc /bảng sao công chứng/ đường link tham chiếu). Nếu bản gốc là ngôn ngữ khác thì phải có bản dịch bằng tiếng Việt.</w:t>
            </w:r>
          </w:p>
          <w:p w:rsidR="003A5EE2" w:rsidRPr="00A944FD" w:rsidRDefault="003A5EE2" w:rsidP="00292BA4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- Các hàng hóa c</w:t>
            </w:r>
            <w:r w:rsidR="00366783" w:rsidRPr="00A944FD">
              <w:rPr>
                <w:sz w:val="28"/>
                <w:szCs w:val="28"/>
              </w:rPr>
              <w:t xml:space="preserve">hào thầu Nhà thầu phải lập bảng </w:t>
            </w:r>
            <w:r w:rsidRPr="00A944FD">
              <w:rPr>
                <w:sz w:val="28"/>
                <w:szCs w:val="28"/>
              </w:rPr>
              <w:t xml:space="preserve">chào thể hiện đầy </w:t>
            </w:r>
            <w:r w:rsidR="00366783" w:rsidRPr="00A944FD">
              <w:rPr>
                <w:sz w:val="28"/>
                <w:szCs w:val="28"/>
              </w:rPr>
              <w:t xml:space="preserve">đủ các thông tin, thông số, đặc </w:t>
            </w:r>
            <w:r w:rsidRPr="00A944FD">
              <w:rPr>
                <w:sz w:val="28"/>
                <w:szCs w:val="28"/>
              </w:rPr>
              <w:t>tính kỹ thuật nêu tại Chương V của E-HSMT</w:t>
            </w:r>
          </w:p>
          <w:p w:rsidR="003A5EE2" w:rsidRPr="00A944FD" w:rsidRDefault="00EE0220" w:rsidP="00292BA4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</w:t>
            </w:r>
            <w:r w:rsidR="003A5EE2" w:rsidRPr="00A944FD">
              <w:rPr>
                <w:sz w:val="28"/>
                <w:szCs w:val="28"/>
              </w:rPr>
              <w:t xml:space="preserve">- Nhà thầu phải </w:t>
            </w:r>
            <w:r w:rsidR="00366783" w:rsidRPr="00A944FD">
              <w:rPr>
                <w:sz w:val="28"/>
                <w:szCs w:val="28"/>
              </w:rPr>
              <w:t xml:space="preserve">đề xuất cụ thể ký mã hiệu, nhãn </w:t>
            </w:r>
            <w:r w:rsidR="003A5EE2" w:rsidRPr="00A944FD">
              <w:rPr>
                <w:sz w:val="28"/>
                <w:szCs w:val="28"/>
              </w:rPr>
              <w:t>hiệu, năm sản xuất, xuất xứ, hãng sản</w:t>
            </w:r>
            <w:r w:rsidRPr="00A944FD">
              <w:rPr>
                <w:sz w:val="28"/>
                <w:szCs w:val="28"/>
              </w:rPr>
              <w:t xml:space="preserve"> xuất của hàng </w:t>
            </w:r>
            <w:r w:rsidR="003A5EE2" w:rsidRPr="00A944FD">
              <w:rPr>
                <w:sz w:val="28"/>
                <w:szCs w:val="28"/>
              </w:rPr>
              <w:t>hóa chào thầu.</w:t>
            </w:r>
          </w:p>
          <w:p w:rsidR="003A5EE2" w:rsidRPr="00A944FD" w:rsidRDefault="003A5EE2" w:rsidP="00292BA4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- Hàng hóa nhập</w:t>
            </w:r>
            <w:r w:rsidR="00366783" w:rsidRPr="00A944FD">
              <w:rPr>
                <w:sz w:val="28"/>
                <w:szCs w:val="28"/>
              </w:rPr>
              <w:t xml:space="preserve"> khẩu Có cam kết cung cấp chứng</w:t>
            </w:r>
            <w:r w:rsidR="00EE0220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nhận về xuất xứ hà</w:t>
            </w:r>
            <w:r w:rsidR="00366783" w:rsidRPr="00A944FD">
              <w:rPr>
                <w:sz w:val="28"/>
                <w:szCs w:val="28"/>
              </w:rPr>
              <w:t xml:space="preserve">ng hoá (CO), chứng nhận về chất </w:t>
            </w:r>
            <w:r w:rsidRPr="00A944FD">
              <w:rPr>
                <w:sz w:val="28"/>
                <w:szCs w:val="28"/>
              </w:rPr>
              <w:t>lượng hàng hoá</w:t>
            </w:r>
            <w:r w:rsidR="00366783" w:rsidRPr="00A944FD">
              <w:rPr>
                <w:sz w:val="28"/>
                <w:szCs w:val="28"/>
              </w:rPr>
              <w:t xml:space="preserve"> (CQ), giấy phép nhập khẩu (nếu </w:t>
            </w:r>
            <w:r w:rsidRPr="00A944FD">
              <w:rPr>
                <w:sz w:val="28"/>
                <w:szCs w:val="28"/>
              </w:rPr>
              <w:t>có).</w:t>
            </w:r>
          </w:p>
          <w:p w:rsidR="003A5EE2" w:rsidRPr="00A944FD" w:rsidRDefault="003A5EE2" w:rsidP="00ED162C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- Hàng hóa trong n</w:t>
            </w:r>
            <w:r w:rsidR="00EE0220" w:rsidRPr="00A944FD">
              <w:rPr>
                <w:sz w:val="28"/>
                <w:szCs w:val="28"/>
              </w:rPr>
              <w:t xml:space="preserve">ước cam kết cung cấp phiếu xuất </w:t>
            </w:r>
            <w:r w:rsidRPr="00A944FD">
              <w:rPr>
                <w:sz w:val="28"/>
                <w:szCs w:val="28"/>
              </w:rPr>
              <w:t>xưởng và chứng nhận chất lượ</w:t>
            </w:r>
            <w:r w:rsidR="00EE0220" w:rsidRPr="00A944FD">
              <w:rPr>
                <w:sz w:val="28"/>
                <w:szCs w:val="28"/>
              </w:rPr>
              <w:t xml:space="preserve">ng hàng hóa của nhà </w:t>
            </w:r>
            <w:r w:rsidRPr="00A944FD">
              <w:rPr>
                <w:sz w:val="28"/>
                <w:szCs w:val="28"/>
              </w:rPr>
              <w:t>sản xuất.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3A5EE2" w:rsidRPr="00A944FD" w:rsidTr="00EE0220">
        <w:trPr>
          <w:trHeight w:val="620"/>
        </w:trPr>
        <w:tc>
          <w:tcPr>
            <w:tcW w:w="2692" w:type="dxa"/>
            <w:vMerge/>
            <w:vAlign w:val="center"/>
          </w:tcPr>
          <w:p w:rsidR="003A5EE2" w:rsidRPr="00A944FD" w:rsidRDefault="003A5EE2" w:rsidP="008B225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366783" w:rsidP="00366783">
            <w:pPr>
              <w:ind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 - </w:t>
            </w:r>
            <w:r w:rsidR="003A5EE2" w:rsidRPr="00A944FD">
              <w:rPr>
                <w:sz w:val="28"/>
                <w:szCs w:val="28"/>
              </w:rPr>
              <w:t>Không đáp ứng yêu cầu trên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3A5EE2" w:rsidRPr="00A944FD" w:rsidTr="008B225D">
        <w:trPr>
          <w:trHeight w:val="565"/>
        </w:trPr>
        <w:tc>
          <w:tcPr>
            <w:tcW w:w="10491" w:type="dxa"/>
            <w:gridSpan w:val="3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left"/>
              <w:rPr>
                <w:b/>
                <w:sz w:val="28"/>
                <w:szCs w:val="28"/>
                <w:shd w:val="clear" w:color="auto" w:fill="FFFFFF"/>
              </w:rPr>
            </w:pPr>
            <w:r w:rsidRPr="00A944FD">
              <w:rPr>
                <w:b/>
                <w:sz w:val="28"/>
                <w:szCs w:val="28"/>
                <w:shd w:val="clear" w:color="auto" w:fill="FFFFFF"/>
              </w:rPr>
              <w:t xml:space="preserve">2. </w:t>
            </w:r>
            <w:r w:rsidRPr="00A944FD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Giải pháp kỹ thuật, biện pháp tổ chức cung cấp, lắp đặt hàng hóa</w:t>
            </w:r>
          </w:p>
        </w:tc>
      </w:tr>
      <w:tr w:rsidR="003A5EE2" w:rsidRPr="00A944FD" w:rsidTr="00EE0220">
        <w:trPr>
          <w:trHeight w:val="1394"/>
        </w:trPr>
        <w:tc>
          <w:tcPr>
            <w:tcW w:w="2692" w:type="dxa"/>
            <w:vMerge w:val="restart"/>
            <w:vAlign w:val="center"/>
          </w:tcPr>
          <w:p w:rsidR="003A5EE2" w:rsidRPr="00A944FD" w:rsidRDefault="003A5EE2" w:rsidP="008B225D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Giải pháp kỹ thuật, biện pháp tổ chức cung cấp, lắp đặt hàng hóa</w:t>
            </w:r>
          </w:p>
        </w:tc>
        <w:tc>
          <w:tcPr>
            <w:tcW w:w="6284" w:type="dxa"/>
            <w:vAlign w:val="center"/>
          </w:tcPr>
          <w:p w:rsidR="0021009D" w:rsidRPr="00A944FD" w:rsidRDefault="00366783" w:rsidP="00870AD0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rFonts w:eastAsia="Arial"/>
                <w:sz w:val="28"/>
                <w:szCs w:val="28"/>
              </w:rPr>
              <w:t xml:space="preserve">- </w:t>
            </w:r>
            <w:r w:rsidR="003A5EE2" w:rsidRPr="00A944FD">
              <w:rPr>
                <w:rFonts w:eastAsia="Arial"/>
                <w:sz w:val="28"/>
                <w:szCs w:val="28"/>
                <w:lang w:val="vi-VN"/>
              </w:rPr>
              <w:t>Nhà thầu thuyết minh chi tiết giải pháp kỹ thuậ</w:t>
            </w:r>
            <w:r w:rsidR="00EE0220" w:rsidRPr="00A944FD">
              <w:rPr>
                <w:rFonts w:eastAsia="Arial"/>
                <w:sz w:val="28"/>
                <w:szCs w:val="28"/>
                <w:lang w:val="vi-VN"/>
              </w:rPr>
              <w:t>t,</w:t>
            </w:r>
            <w:r w:rsidR="00EE0220" w:rsidRPr="00A944FD">
              <w:rPr>
                <w:rFonts w:eastAsia="Arial"/>
                <w:sz w:val="28"/>
                <w:szCs w:val="28"/>
              </w:rPr>
              <w:t xml:space="preserve"> </w:t>
            </w:r>
            <w:r w:rsidR="003A5EE2" w:rsidRPr="00A944FD">
              <w:rPr>
                <w:rFonts w:eastAsia="Arial"/>
                <w:sz w:val="28"/>
                <w:szCs w:val="28"/>
                <w:lang w:val="vi-VN"/>
              </w:rPr>
              <w:t>biện pháp tổ chức cung cấp, kiểm tra, lắp đặt, cài đặ</w:t>
            </w:r>
            <w:r w:rsidR="00EE0220" w:rsidRPr="00A944FD">
              <w:rPr>
                <w:rFonts w:eastAsia="Arial"/>
                <w:sz w:val="28"/>
                <w:szCs w:val="28"/>
                <w:lang w:val="vi-VN"/>
              </w:rPr>
              <w:t>t,</w:t>
            </w:r>
            <w:r w:rsidR="00EE0220" w:rsidRPr="00A944FD">
              <w:rPr>
                <w:rFonts w:eastAsia="Arial"/>
                <w:sz w:val="28"/>
                <w:szCs w:val="28"/>
              </w:rPr>
              <w:t xml:space="preserve"> </w:t>
            </w:r>
            <w:r w:rsidR="003A5EE2" w:rsidRPr="00A944FD">
              <w:rPr>
                <w:rFonts w:eastAsia="Arial"/>
                <w:sz w:val="28"/>
                <w:szCs w:val="28"/>
                <w:lang w:val="vi-VN"/>
              </w:rPr>
              <w:t>bàn giao hướng dẫn sử dụng, nghiệ</w:t>
            </w:r>
            <w:r w:rsidR="00EE0220" w:rsidRPr="00A944FD">
              <w:rPr>
                <w:rFonts w:eastAsia="Arial"/>
                <w:sz w:val="28"/>
                <w:szCs w:val="28"/>
                <w:lang w:val="vi-VN"/>
              </w:rPr>
              <w:t>m thu hàng hóa</w:t>
            </w:r>
            <w:r w:rsidR="00EE0220" w:rsidRPr="00A944FD">
              <w:rPr>
                <w:rFonts w:eastAsia="Arial"/>
                <w:sz w:val="28"/>
                <w:szCs w:val="28"/>
              </w:rPr>
              <w:t xml:space="preserve"> </w:t>
            </w:r>
            <w:r w:rsidR="003A5EE2" w:rsidRPr="00A944FD">
              <w:rPr>
                <w:rFonts w:eastAsia="Arial"/>
                <w:sz w:val="28"/>
                <w:szCs w:val="28"/>
                <w:lang w:val="vi-VN"/>
              </w:rPr>
              <w:t>đáp ứng yêu cầu  Chương V của EHSMT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3A5EE2" w:rsidRPr="00A944FD" w:rsidTr="00366783">
        <w:trPr>
          <w:trHeight w:val="565"/>
        </w:trPr>
        <w:tc>
          <w:tcPr>
            <w:tcW w:w="2692" w:type="dxa"/>
            <w:vMerge/>
          </w:tcPr>
          <w:p w:rsidR="003A5EE2" w:rsidRPr="00A944FD" w:rsidRDefault="003A5EE2" w:rsidP="008B225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366783" w:rsidP="008B225D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rFonts w:eastAsia="Arial"/>
                <w:sz w:val="28"/>
                <w:szCs w:val="28"/>
              </w:rPr>
              <w:t xml:space="preserve">- </w:t>
            </w:r>
            <w:r w:rsidR="003A5EE2" w:rsidRPr="00A944FD">
              <w:rPr>
                <w:rFonts w:eastAsia="Arial"/>
                <w:sz w:val="28"/>
                <w:szCs w:val="28"/>
                <w:lang w:val="vi-VN"/>
              </w:rPr>
              <w:t>Không đáp ứng yêu cầu trên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3A5EE2" w:rsidRPr="00A944FD" w:rsidTr="003A5EE2">
        <w:trPr>
          <w:trHeight w:val="647"/>
        </w:trPr>
        <w:tc>
          <w:tcPr>
            <w:tcW w:w="10491" w:type="dxa"/>
            <w:gridSpan w:val="3"/>
            <w:vAlign w:val="center"/>
          </w:tcPr>
          <w:p w:rsidR="003A5EE2" w:rsidRPr="00A944FD" w:rsidRDefault="003A5EE2" w:rsidP="008B225D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bCs/>
                <w:sz w:val="28"/>
                <w:szCs w:val="28"/>
              </w:rPr>
              <w:t>3. Tiến độ cung cấp hàng hóa</w:t>
            </w:r>
          </w:p>
        </w:tc>
      </w:tr>
      <w:tr w:rsidR="003A5EE2" w:rsidRPr="00A944FD" w:rsidTr="00EE0220">
        <w:trPr>
          <w:trHeight w:val="467"/>
        </w:trPr>
        <w:tc>
          <w:tcPr>
            <w:tcW w:w="2692" w:type="dxa"/>
            <w:vMerge w:val="restart"/>
            <w:vAlign w:val="center"/>
          </w:tcPr>
          <w:p w:rsidR="003A5EE2" w:rsidRPr="00A944FD" w:rsidRDefault="003A5EE2" w:rsidP="003A5EE2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lastRenderedPageBreak/>
              <w:t>3.1 Thời gian thực hiện gói thầu</w:t>
            </w:r>
          </w:p>
        </w:tc>
        <w:tc>
          <w:tcPr>
            <w:tcW w:w="6284" w:type="dxa"/>
            <w:vAlign w:val="center"/>
          </w:tcPr>
          <w:p w:rsidR="003A5EE2" w:rsidRPr="00A944FD" w:rsidRDefault="00366783" w:rsidP="008B225D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- </w:t>
            </w:r>
            <w:r w:rsidR="003A5EE2" w:rsidRPr="00A944FD">
              <w:rPr>
                <w:sz w:val="28"/>
                <w:szCs w:val="28"/>
              </w:rPr>
              <w:t>Nhà thầu đề xuất thời gian thực hiện ≤ 15 ngày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3A5EE2" w:rsidRPr="00A944FD" w:rsidTr="00366783">
        <w:trPr>
          <w:trHeight w:val="620"/>
        </w:trPr>
        <w:tc>
          <w:tcPr>
            <w:tcW w:w="2692" w:type="dxa"/>
            <w:vMerge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3A5EE2" w:rsidP="003A5EE2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- Nhà thầu đề xuất thời gian thực hiện &gt; 15 ngày.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3A5EE2" w:rsidRPr="00A944FD" w:rsidTr="00366783">
        <w:trPr>
          <w:trHeight w:val="1100"/>
        </w:trPr>
        <w:tc>
          <w:tcPr>
            <w:tcW w:w="2692" w:type="dxa"/>
            <w:vAlign w:val="center"/>
          </w:tcPr>
          <w:p w:rsidR="003A5EE2" w:rsidRPr="00A944FD" w:rsidRDefault="003A5EE2" w:rsidP="00BE64AB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3.2 Bảng tiến độ cung</w:t>
            </w:r>
            <w:r w:rsidR="00BE64AB" w:rsidRPr="00A944FD">
              <w:rPr>
                <w:sz w:val="28"/>
                <w:szCs w:val="28"/>
              </w:rPr>
              <w:t xml:space="preserve"> cấp, lắp đặt hàng hóa hợp lý, khả thi phù hợp với đề xuất kỷ thuật và </w:t>
            </w:r>
            <w:r w:rsidRPr="00A944FD">
              <w:rPr>
                <w:sz w:val="28"/>
                <w:szCs w:val="28"/>
              </w:rPr>
              <w:t>đáp ứng yêu cầu của EHSMT</w:t>
            </w:r>
          </w:p>
        </w:tc>
        <w:tc>
          <w:tcPr>
            <w:tcW w:w="6284" w:type="dxa"/>
            <w:vAlign w:val="center"/>
          </w:tcPr>
          <w:p w:rsidR="003A5EE2" w:rsidRPr="00A944FD" w:rsidRDefault="00366783" w:rsidP="003A5EE2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- </w:t>
            </w:r>
            <w:r w:rsidR="003A5EE2" w:rsidRPr="00A944FD">
              <w:rPr>
                <w:sz w:val="28"/>
                <w:szCs w:val="28"/>
              </w:rPr>
              <w:t>Nhà thầu phải lập bảng tiếng độ hợp lý, khả thi và</w:t>
            </w:r>
          </w:p>
          <w:p w:rsidR="003A5EE2" w:rsidRPr="00A944FD" w:rsidRDefault="003A5EE2" w:rsidP="003A5EE2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phù hợp với đề xuất kỷ thuật và đáp ứng yêu cầu</w:t>
            </w:r>
          </w:p>
          <w:p w:rsidR="003A5EE2" w:rsidRPr="00A944FD" w:rsidRDefault="003A5EE2" w:rsidP="003A5EE2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của E-HSMT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3A5EE2" w:rsidRPr="00A944FD" w:rsidTr="00366783">
        <w:trPr>
          <w:trHeight w:val="620"/>
        </w:trPr>
        <w:tc>
          <w:tcPr>
            <w:tcW w:w="2692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366783" w:rsidP="003A5EE2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- </w:t>
            </w:r>
            <w:r w:rsidR="003A5EE2" w:rsidRPr="00A944FD">
              <w:rPr>
                <w:sz w:val="28"/>
                <w:szCs w:val="28"/>
              </w:rPr>
              <w:t>Không đáp ứng yêu cầu trên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3A5EE2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3A5EE2" w:rsidRPr="00A944FD" w:rsidTr="0021009D">
        <w:trPr>
          <w:trHeight w:val="575"/>
        </w:trPr>
        <w:tc>
          <w:tcPr>
            <w:tcW w:w="10491" w:type="dxa"/>
            <w:gridSpan w:val="3"/>
            <w:vAlign w:val="center"/>
          </w:tcPr>
          <w:p w:rsidR="003A5EE2" w:rsidRPr="00A944FD" w:rsidRDefault="003A5EE2" w:rsidP="008B225D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bCs/>
                <w:sz w:val="28"/>
                <w:szCs w:val="28"/>
              </w:rPr>
              <w:t>4. Biện pháp đảm bảo an toàn vệ sinh lao động, phòng cháy chữa cháy</w:t>
            </w:r>
          </w:p>
        </w:tc>
      </w:tr>
      <w:tr w:rsidR="003A5EE2" w:rsidRPr="00A944FD" w:rsidTr="00366783">
        <w:trPr>
          <w:trHeight w:val="1250"/>
        </w:trPr>
        <w:tc>
          <w:tcPr>
            <w:tcW w:w="2692" w:type="dxa"/>
            <w:vMerge w:val="restart"/>
            <w:vAlign w:val="center"/>
          </w:tcPr>
          <w:p w:rsidR="003A5EE2" w:rsidRPr="00A944FD" w:rsidRDefault="00D80C25" w:rsidP="005129A9">
            <w:pPr>
              <w:spacing w:before="120" w:after="120"/>
              <w:ind w:left="113" w:right="113"/>
              <w:jc w:val="left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Biện pháp đảm bảo an</w:t>
            </w:r>
            <w:r w:rsidRPr="00A944FD">
              <w:rPr>
                <w:sz w:val="28"/>
                <w:szCs w:val="28"/>
              </w:rPr>
              <w:br/>
              <w:t>toàn vệ sinh lao động,</w:t>
            </w:r>
            <w:r w:rsidRPr="00A944FD">
              <w:rPr>
                <w:sz w:val="28"/>
                <w:szCs w:val="28"/>
              </w:rPr>
              <w:br/>
              <w:t>phòng cháy chữa cháy</w:t>
            </w:r>
          </w:p>
        </w:tc>
        <w:tc>
          <w:tcPr>
            <w:tcW w:w="6284" w:type="dxa"/>
            <w:vAlign w:val="center"/>
          </w:tcPr>
          <w:p w:rsidR="003A5EE2" w:rsidRPr="00A944FD" w:rsidRDefault="005129A9" w:rsidP="00ED162C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- Nhà thầu phải thuyết minh giải pháp kỹ thuật, biện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pháp phòng chống cháy nổ, an toàn lao động trong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quá trình cung cấp, lắp đặt hàng hóa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- Nhà thầu có cam</w:t>
            </w:r>
            <w:r w:rsidR="006223D3" w:rsidRPr="00A944FD">
              <w:rPr>
                <w:sz w:val="28"/>
                <w:szCs w:val="28"/>
              </w:rPr>
              <w:t xml:space="preserve"> kết nhà thầu sẽ chịu hoàn toàn </w:t>
            </w:r>
            <w:r w:rsidRPr="00A944FD">
              <w:rPr>
                <w:sz w:val="28"/>
                <w:szCs w:val="28"/>
              </w:rPr>
              <w:t>trách nhiệm trong v</w:t>
            </w:r>
            <w:r w:rsidR="006223D3" w:rsidRPr="00A944FD">
              <w:rPr>
                <w:sz w:val="28"/>
                <w:szCs w:val="28"/>
              </w:rPr>
              <w:t xml:space="preserve">iệc đảm bảo an toàn phòng chống </w:t>
            </w:r>
            <w:r w:rsidRPr="00A944FD">
              <w:rPr>
                <w:sz w:val="28"/>
                <w:szCs w:val="28"/>
              </w:rPr>
              <w:t>cháy nổ và an toàn lao động trong quá trình cung cấp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và lắp đặt hàng hóa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3A5EE2" w:rsidRPr="00A944FD" w:rsidTr="00366783">
        <w:trPr>
          <w:trHeight w:val="570"/>
        </w:trPr>
        <w:tc>
          <w:tcPr>
            <w:tcW w:w="2692" w:type="dxa"/>
            <w:vMerge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366783" w:rsidP="008B225D">
            <w:pPr>
              <w:ind w:left="113" w:right="113"/>
              <w:jc w:val="left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- </w:t>
            </w:r>
            <w:r w:rsidR="005129A9" w:rsidRPr="00A944FD">
              <w:rPr>
                <w:sz w:val="28"/>
                <w:szCs w:val="28"/>
              </w:rPr>
              <w:t>Không đáp ứng yêu cầu trên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3A5EE2" w:rsidRPr="00A944FD" w:rsidTr="00ED4AC2">
        <w:trPr>
          <w:trHeight w:val="570"/>
        </w:trPr>
        <w:tc>
          <w:tcPr>
            <w:tcW w:w="10491" w:type="dxa"/>
            <w:gridSpan w:val="3"/>
            <w:vAlign w:val="center"/>
          </w:tcPr>
          <w:p w:rsidR="003A5EE2" w:rsidRPr="00A944FD" w:rsidRDefault="003A5EE2" w:rsidP="003A5EE2">
            <w:pPr>
              <w:ind w:left="113" w:right="113"/>
              <w:jc w:val="left"/>
              <w:rPr>
                <w:bCs/>
                <w:sz w:val="28"/>
                <w:szCs w:val="28"/>
              </w:rPr>
            </w:pPr>
            <w:r w:rsidRPr="00A944FD">
              <w:rPr>
                <w:b/>
                <w:sz w:val="28"/>
                <w:szCs w:val="28"/>
              </w:rPr>
              <w:t>5</w:t>
            </w:r>
            <w:r w:rsidRPr="00A944FD">
              <w:rPr>
                <w:sz w:val="28"/>
                <w:szCs w:val="28"/>
              </w:rPr>
              <w:t xml:space="preserve">. </w:t>
            </w:r>
            <w:r w:rsidRPr="00A944FD">
              <w:rPr>
                <w:b/>
                <w:sz w:val="28"/>
                <w:szCs w:val="28"/>
              </w:rPr>
              <w:t>Bảo hành, bảo trì</w:t>
            </w:r>
          </w:p>
        </w:tc>
      </w:tr>
      <w:tr w:rsidR="003A5EE2" w:rsidRPr="00A944FD" w:rsidTr="00366783">
        <w:trPr>
          <w:trHeight w:val="570"/>
        </w:trPr>
        <w:tc>
          <w:tcPr>
            <w:tcW w:w="2692" w:type="dxa"/>
            <w:vAlign w:val="center"/>
          </w:tcPr>
          <w:p w:rsidR="003A5EE2" w:rsidRPr="00A944FD" w:rsidRDefault="005129A9" w:rsidP="005129A9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Thời gian bảo hành,bảo trì</w:t>
            </w:r>
          </w:p>
        </w:tc>
        <w:tc>
          <w:tcPr>
            <w:tcW w:w="6284" w:type="dxa"/>
            <w:vAlign w:val="center"/>
          </w:tcPr>
          <w:p w:rsidR="003A5EE2" w:rsidRPr="00A944FD" w:rsidRDefault="003A5EE2" w:rsidP="00ED162C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- Cam kết bảo hành tại đơn vị trực tiếp sử dụng, thời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gian bảo hành ≥ 12 tháng</w:t>
            </w:r>
            <w:r w:rsidR="004C1054" w:rsidRPr="00A944FD">
              <w:rPr>
                <w:sz w:val="28"/>
                <w:szCs w:val="28"/>
              </w:rPr>
              <w:t xml:space="preserve"> hoặc thời gian bảo hành của Hãng sản xuất</w:t>
            </w:r>
            <w:r w:rsidR="006223D3" w:rsidRPr="00A944FD">
              <w:rPr>
                <w:sz w:val="28"/>
                <w:szCs w:val="28"/>
              </w:rPr>
              <w:t xml:space="preserve"> thiết bị</w:t>
            </w:r>
            <w:r w:rsidRPr="00A944FD">
              <w:rPr>
                <w:sz w:val="28"/>
                <w:szCs w:val="28"/>
              </w:rPr>
              <w:t xml:space="preserve"> kể từ ngày nghiệm thu đưa</w:t>
            </w:r>
            <w:r w:rsidR="00ED162C" w:rsidRPr="00A944FD">
              <w:rPr>
                <w:sz w:val="28"/>
                <w:szCs w:val="28"/>
              </w:rPr>
              <w:t xml:space="preserve"> </w:t>
            </w:r>
            <w:r w:rsidR="004C1054" w:rsidRPr="00A944FD">
              <w:rPr>
                <w:sz w:val="28"/>
                <w:szCs w:val="28"/>
              </w:rPr>
              <w:t>vào sử dụng (lấy thời gian cao hơn)</w:t>
            </w:r>
          </w:p>
          <w:p w:rsidR="003A5EE2" w:rsidRPr="00A944FD" w:rsidRDefault="003A5EE2" w:rsidP="00ED162C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- Nhà thầu có cam kế</w:t>
            </w:r>
            <w:r w:rsidR="006223D3" w:rsidRPr="00A944FD">
              <w:rPr>
                <w:sz w:val="28"/>
                <w:szCs w:val="28"/>
              </w:rPr>
              <w:t xml:space="preserve">t dịch vụ hỗ trợ kỹ thuật 24/7 </w:t>
            </w:r>
            <w:r w:rsidRPr="00A944FD">
              <w:rPr>
                <w:sz w:val="28"/>
                <w:szCs w:val="28"/>
              </w:rPr>
              <w:t>đảm bảo mọi thông</w:t>
            </w:r>
            <w:r w:rsidR="006223D3" w:rsidRPr="00A944FD">
              <w:rPr>
                <w:sz w:val="28"/>
                <w:szCs w:val="28"/>
              </w:rPr>
              <w:t xml:space="preserve"> tin được phản hồi trong vòng 2 </w:t>
            </w:r>
            <w:r w:rsidRPr="00A944FD">
              <w:rPr>
                <w:sz w:val="28"/>
                <w:szCs w:val="28"/>
              </w:rPr>
              <w:t>giờ kể từ khi nhận thông báo về sự cố từ chủ đầu tư;</w:t>
            </w:r>
          </w:p>
          <w:p w:rsidR="003A5EE2" w:rsidRPr="00A944FD" w:rsidRDefault="003A5EE2" w:rsidP="00ED162C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- Nhà thầu có cam kế</w:t>
            </w:r>
            <w:r w:rsidR="006223D3" w:rsidRPr="00A944FD">
              <w:rPr>
                <w:sz w:val="28"/>
                <w:szCs w:val="28"/>
              </w:rPr>
              <w:t xml:space="preserve">t đảm bảo dịch vụ bảo trì, nâng </w:t>
            </w:r>
            <w:r w:rsidRPr="00A944FD">
              <w:rPr>
                <w:sz w:val="28"/>
                <w:szCs w:val="28"/>
              </w:rPr>
              <w:t>cấp và hỗ trợ kỹ thuậ</w:t>
            </w:r>
            <w:r w:rsidR="006223D3" w:rsidRPr="00A944FD">
              <w:rPr>
                <w:sz w:val="28"/>
                <w:szCs w:val="28"/>
              </w:rPr>
              <w:t xml:space="preserve">t liên tục trong suốt thời gian </w:t>
            </w:r>
            <w:r w:rsidRPr="00A944FD">
              <w:rPr>
                <w:sz w:val="28"/>
                <w:szCs w:val="28"/>
              </w:rPr>
              <w:t>bảo hành;</w:t>
            </w:r>
          </w:p>
          <w:p w:rsidR="0021009D" w:rsidRPr="00A944FD" w:rsidRDefault="003A5EE2" w:rsidP="00ED162C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- Nhà thầu phải thuyết minh cụ thể giải</w:t>
            </w:r>
            <w:r w:rsidR="006223D3" w:rsidRPr="00A944FD">
              <w:rPr>
                <w:sz w:val="28"/>
                <w:szCs w:val="28"/>
              </w:rPr>
              <w:t xml:space="preserve"> pháp, biện </w:t>
            </w:r>
            <w:r w:rsidRPr="00A944FD">
              <w:rPr>
                <w:sz w:val="28"/>
                <w:szCs w:val="28"/>
              </w:rPr>
              <w:t>pháp kỹ thuật thực hi</w:t>
            </w:r>
            <w:r w:rsidR="006223D3" w:rsidRPr="00A944FD">
              <w:rPr>
                <w:sz w:val="28"/>
                <w:szCs w:val="28"/>
              </w:rPr>
              <w:t xml:space="preserve">ện bảo hành, bảo trì trong thời </w:t>
            </w:r>
            <w:r w:rsidRPr="00A944FD">
              <w:rPr>
                <w:sz w:val="28"/>
                <w:szCs w:val="28"/>
              </w:rPr>
              <w:t>gian bảo hành, bảo t</w:t>
            </w:r>
            <w:r w:rsidR="006223D3" w:rsidRPr="00A944FD">
              <w:rPr>
                <w:sz w:val="28"/>
                <w:szCs w:val="28"/>
              </w:rPr>
              <w:t xml:space="preserve">rì tại đơn vị trực tiếp sử dụng </w:t>
            </w:r>
            <w:r w:rsidRPr="00A944FD">
              <w:rPr>
                <w:sz w:val="28"/>
                <w:szCs w:val="28"/>
              </w:rPr>
              <w:t>hàng hóa, hợp lý, khả thi và đáp ứng yêu cầu của E</w:t>
            </w:r>
            <w:r w:rsidR="004C1054" w:rsidRPr="00A944FD">
              <w:rPr>
                <w:sz w:val="28"/>
                <w:szCs w:val="28"/>
              </w:rPr>
              <w:t>.</w:t>
            </w:r>
            <w:r w:rsidRPr="00A944FD">
              <w:rPr>
                <w:sz w:val="28"/>
                <w:szCs w:val="28"/>
              </w:rPr>
              <w:t>HSMT. Nêu rõ trách</w:t>
            </w:r>
            <w:r w:rsidR="006223D3" w:rsidRPr="00A944FD">
              <w:rPr>
                <w:sz w:val="28"/>
                <w:szCs w:val="28"/>
              </w:rPr>
              <w:t xml:space="preserve"> nhiệm của nhà thầu đối với các </w:t>
            </w:r>
            <w:r w:rsidRPr="00A944FD">
              <w:rPr>
                <w:sz w:val="28"/>
                <w:szCs w:val="28"/>
              </w:rPr>
              <w:t xml:space="preserve">sản phẩm gặp sự </w:t>
            </w:r>
            <w:r w:rsidRPr="00A944FD">
              <w:rPr>
                <w:sz w:val="28"/>
                <w:szCs w:val="28"/>
              </w:rPr>
              <w:lastRenderedPageBreak/>
              <w:t>cố liên quan đến chất l</w:t>
            </w:r>
            <w:r w:rsidR="006223D3" w:rsidRPr="00A944FD">
              <w:rPr>
                <w:sz w:val="28"/>
                <w:szCs w:val="28"/>
              </w:rPr>
              <w:t xml:space="preserve">ượng sản </w:t>
            </w:r>
            <w:r w:rsidRPr="00A944FD">
              <w:rPr>
                <w:sz w:val="28"/>
                <w:szCs w:val="28"/>
              </w:rPr>
              <w:t>phẩm mà nhà th</w:t>
            </w:r>
            <w:r w:rsidR="0021009D" w:rsidRPr="00A944FD">
              <w:rPr>
                <w:sz w:val="28"/>
                <w:szCs w:val="28"/>
              </w:rPr>
              <w:t>ầu cung cấp và phương án xử lý</w:t>
            </w:r>
          </w:p>
        </w:tc>
        <w:tc>
          <w:tcPr>
            <w:tcW w:w="1515" w:type="dxa"/>
            <w:vAlign w:val="center"/>
          </w:tcPr>
          <w:p w:rsidR="003A5EE2" w:rsidRPr="00A944FD" w:rsidRDefault="005129A9" w:rsidP="008B225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lastRenderedPageBreak/>
              <w:t>Đạt</w:t>
            </w:r>
          </w:p>
        </w:tc>
      </w:tr>
      <w:tr w:rsidR="003A5EE2" w:rsidRPr="00A944FD" w:rsidTr="00366783">
        <w:trPr>
          <w:trHeight w:val="570"/>
        </w:trPr>
        <w:tc>
          <w:tcPr>
            <w:tcW w:w="2692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366783" w:rsidP="008B225D">
            <w:pPr>
              <w:ind w:left="113" w:right="113"/>
              <w:jc w:val="left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- </w:t>
            </w:r>
            <w:r w:rsidR="005129A9" w:rsidRPr="00A944FD">
              <w:rPr>
                <w:sz w:val="28"/>
                <w:szCs w:val="28"/>
              </w:rPr>
              <w:t>Không đáp ứng yêu cầu trên</w:t>
            </w:r>
          </w:p>
        </w:tc>
        <w:tc>
          <w:tcPr>
            <w:tcW w:w="1515" w:type="dxa"/>
            <w:vAlign w:val="center"/>
          </w:tcPr>
          <w:p w:rsidR="003A5EE2" w:rsidRPr="00A944FD" w:rsidRDefault="005129A9" w:rsidP="008B225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3A5EE2" w:rsidRPr="00A944FD" w:rsidTr="008B225D">
        <w:trPr>
          <w:trHeight w:val="417"/>
        </w:trPr>
        <w:tc>
          <w:tcPr>
            <w:tcW w:w="10491" w:type="dxa"/>
            <w:gridSpan w:val="3"/>
            <w:vAlign w:val="center"/>
          </w:tcPr>
          <w:p w:rsidR="003A5EE2" w:rsidRPr="00A944FD" w:rsidRDefault="003A5EE2" w:rsidP="008B225D">
            <w:pPr>
              <w:ind w:left="113" w:right="113"/>
              <w:jc w:val="left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sz w:val="28"/>
                <w:szCs w:val="28"/>
              </w:rPr>
              <w:t xml:space="preserve">6. </w:t>
            </w:r>
            <w:r w:rsidRPr="00A944FD">
              <w:rPr>
                <w:b/>
                <w:sz w:val="28"/>
                <w:szCs w:val="28"/>
                <w:lang w:val="nl-NL"/>
              </w:rPr>
              <w:t>Cam kết cung cấp khi giao hàng</w:t>
            </w:r>
          </w:p>
        </w:tc>
      </w:tr>
      <w:tr w:rsidR="003A5EE2" w:rsidRPr="00A944FD" w:rsidTr="00366783">
        <w:trPr>
          <w:trHeight w:val="700"/>
        </w:trPr>
        <w:tc>
          <w:tcPr>
            <w:tcW w:w="2692" w:type="dxa"/>
            <w:vMerge w:val="restart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Cung cấp tài liệu</w:t>
            </w:r>
          </w:p>
        </w:tc>
        <w:tc>
          <w:tcPr>
            <w:tcW w:w="6284" w:type="dxa"/>
            <w:vAlign w:val="center"/>
          </w:tcPr>
          <w:p w:rsidR="003A5EE2" w:rsidRPr="00A944FD" w:rsidRDefault="00366783" w:rsidP="001A645C">
            <w:pPr>
              <w:rPr>
                <w:sz w:val="28"/>
                <w:szCs w:val="28"/>
                <w:lang w:val="nl-NL"/>
              </w:rPr>
            </w:pPr>
            <w:r w:rsidRPr="00A944FD">
              <w:rPr>
                <w:sz w:val="28"/>
                <w:szCs w:val="28"/>
                <w:lang w:val="nl-NL"/>
              </w:rPr>
              <w:t xml:space="preserve"> </w:t>
            </w:r>
            <w:r w:rsidR="003A5EE2" w:rsidRPr="00A944FD">
              <w:rPr>
                <w:sz w:val="28"/>
                <w:szCs w:val="28"/>
                <w:lang w:val="nl-NL"/>
              </w:rPr>
              <w:t>- Cung cấp C/O, C/Q và các tài liệu liên quan nhằm chứng minh nguồn gốc, chất lượng và quyền sử dụng hợp pháp của thiết bị đối với thiết bị là hàng nhập khẩu</w:t>
            </w:r>
            <w:r w:rsidR="00990730" w:rsidRPr="00A944FD">
              <w:rPr>
                <w:sz w:val="28"/>
                <w:szCs w:val="28"/>
                <w:lang w:val="nl-NL"/>
              </w:rPr>
              <w:t xml:space="preserve"> khi giao hàng</w:t>
            </w:r>
            <w:r w:rsidR="003A5EE2" w:rsidRPr="00A944FD">
              <w:rPr>
                <w:sz w:val="28"/>
                <w:szCs w:val="28"/>
                <w:lang w:val="nl-NL"/>
              </w:rPr>
              <w:t xml:space="preserve">. </w:t>
            </w:r>
          </w:p>
          <w:p w:rsidR="003A5EE2" w:rsidRPr="00A944FD" w:rsidRDefault="00366783" w:rsidP="001A645C">
            <w:pPr>
              <w:pStyle w:val="TableParagraph"/>
              <w:tabs>
                <w:tab w:val="left" w:pos="331"/>
              </w:tabs>
              <w:spacing w:before="120"/>
              <w:ind w:right="113"/>
              <w:jc w:val="both"/>
              <w:rPr>
                <w:sz w:val="28"/>
                <w:szCs w:val="28"/>
                <w:lang w:val="nl-NL"/>
              </w:rPr>
            </w:pPr>
            <w:r w:rsidRPr="00A944FD">
              <w:rPr>
                <w:sz w:val="28"/>
                <w:szCs w:val="28"/>
                <w:lang w:val="nl-NL"/>
              </w:rPr>
              <w:t xml:space="preserve"> </w:t>
            </w:r>
            <w:r w:rsidR="003A5EE2" w:rsidRPr="00A944FD">
              <w:rPr>
                <w:sz w:val="28"/>
                <w:szCs w:val="28"/>
                <w:lang w:val="nl-NL"/>
              </w:rPr>
              <w:t xml:space="preserve">- Đối với thiết bị sản xuất, lắp ráp trong nước, Bên mời thầu chấp nhận các tài liệu hợp pháp tương đương theo quy định pháp luật Việt Nam . 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3A5EE2" w:rsidRPr="00A944FD" w:rsidTr="00366783">
        <w:trPr>
          <w:trHeight w:val="471"/>
        </w:trPr>
        <w:tc>
          <w:tcPr>
            <w:tcW w:w="2692" w:type="dxa"/>
            <w:vMerge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366783" w:rsidP="00366783">
            <w:pPr>
              <w:ind w:right="113"/>
              <w:jc w:val="left"/>
              <w:rPr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 xml:space="preserve"> - </w:t>
            </w:r>
            <w:r w:rsidR="003A5EE2" w:rsidRPr="00A944FD">
              <w:rPr>
                <w:rFonts w:eastAsiaTheme="minorEastAsia"/>
                <w:sz w:val="28"/>
                <w:szCs w:val="28"/>
              </w:rPr>
              <w:t>Không các đáp ứng yêu cầu trên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5129A9" w:rsidRPr="00A944FD" w:rsidTr="004C1054">
        <w:trPr>
          <w:trHeight w:val="602"/>
        </w:trPr>
        <w:tc>
          <w:tcPr>
            <w:tcW w:w="10491" w:type="dxa"/>
            <w:gridSpan w:val="3"/>
            <w:vAlign w:val="center"/>
          </w:tcPr>
          <w:p w:rsidR="005129A9" w:rsidRPr="00A944FD" w:rsidRDefault="005129A9" w:rsidP="005129A9">
            <w:pPr>
              <w:ind w:left="113" w:right="113"/>
              <w:jc w:val="left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sz w:val="28"/>
                <w:szCs w:val="28"/>
              </w:rPr>
              <w:t>7.Các yếu tố về thời gian thực hiện, đào tạo chuyển giao công nghệ</w:t>
            </w:r>
          </w:p>
        </w:tc>
      </w:tr>
      <w:tr w:rsidR="0021009D" w:rsidRPr="00A944FD" w:rsidTr="00FB32A4">
        <w:trPr>
          <w:trHeight w:val="1214"/>
        </w:trPr>
        <w:tc>
          <w:tcPr>
            <w:tcW w:w="2692" w:type="dxa"/>
            <w:vMerge w:val="restart"/>
            <w:vAlign w:val="center"/>
          </w:tcPr>
          <w:p w:rsidR="0021009D" w:rsidRPr="00A944FD" w:rsidRDefault="0021009D" w:rsidP="005129A9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Điều kiện thời gian thực</w:t>
            </w:r>
            <w:r w:rsidR="005F45C2" w:rsidRPr="00A944FD">
              <w:rPr>
                <w:sz w:val="28"/>
                <w:szCs w:val="28"/>
              </w:rPr>
              <w:t xml:space="preserve"> </w:t>
            </w:r>
            <w:r w:rsidRPr="00A944FD">
              <w:rPr>
                <w:sz w:val="28"/>
                <w:szCs w:val="28"/>
              </w:rPr>
              <w:t>hiện, đào tạo, chuyểngiao công nghệ hợp lý,khả thi, phù hợp với đềxuất về tiến độ cung cấp</w:t>
            </w:r>
          </w:p>
        </w:tc>
        <w:tc>
          <w:tcPr>
            <w:tcW w:w="6284" w:type="dxa"/>
            <w:vAlign w:val="center"/>
          </w:tcPr>
          <w:p w:rsidR="0021009D" w:rsidRPr="00A944FD" w:rsidRDefault="00366783" w:rsidP="005F45C2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 xml:space="preserve">- </w:t>
            </w:r>
            <w:r w:rsidR="0021009D" w:rsidRPr="00A944FD">
              <w:rPr>
                <w:rFonts w:eastAsiaTheme="minorEastAsia"/>
                <w:sz w:val="28"/>
                <w:szCs w:val="28"/>
              </w:rPr>
              <w:t>Nhà thầu cam kết hướng dẫn đào tạo, chuyển giao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="0021009D" w:rsidRPr="00A944FD">
              <w:rPr>
                <w:rFonts w:eastAsiaTheme="minorEastAsia"/>
                <w:sz w:val="28"/>
                <w:szCs w:val="28"/>
              </w:rPr>
              <w:t>công nghệ hợp lý, khả thi, phù hợp với đề xuất về tiến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="0021009D" w:rsidRPr="00A944FD">
              <w:rPr>
                <w:rFonts w:eastAsiaTheme="minorEastAsia"/>
                <w:sz w:val="28"/>
                <w:szCs w:val="28"/>
              </w:rPr>
              <w:t>độ cung cấp</w:t>
            </w:r>
          </w:p>
        </w:tc>
        <w:tc>
          <w:tcPr>
            <w:tcW w:w="1515" w:type="dxa"/>
            <w:vAlign w:val="center"/>
          </w:tcPr>
          <w:p w:rsidR="0021009D" w:rsidRPr="00A944FD" w:rsidRDefault="0021009D" w:rsidP="005129A9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21009D" w:rsidRPr="00A944FD" w:rsidTr="00FB32A4">
        <w:trPr>
          <w:trHeight w:val="1160"/>
        </w:trPr>
        <w:tc>
          <w:tcPr>
            <w:tcW w:w="2692" w:type="dxa"/>
            <w:vMerge/>
            <w:vAlign w:val="center"/>
          </w:tcPr>
          <w:p w:rsidR="0021009D" w:rsidRPr="00A944FD" w:rsidRDefault="0021009D" w:rsidP="005129A9">
            <w:pPr>
              <w:spacing w:before="120" w:after="12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21009D" w:rsidRPr="00A944FD" w:rsidRDefault="00366783" w:rsidP="005F45C2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 xml:space="preserve">- </w:t>
            </w:r>
            <w:r w:rsidR="0021009D" w:rsidRPr="00A944FD">
              <w:rPr>
                <w:rFonts w:eastAsiaTheme="minorEastAsia"/>
                <w:sz w:val="28"/>
                <w:szCs w:val="28"/>
              </w:rPr>
              <w:t>Nhà thầu không thuyết minh hoặc có thuyết minh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 </w:t>
            </w:r>
            <w:r w:rsidR="0021009D" w:rsidRPr="00A944FD">
              <w:rPr>
                <w:rFonts w:eastAsiaTheme="minorEastAsia"/>
                <w:sz w:val="28"/>
                <w:szCs w:val="28"/>
              </w:rPr>
              <w:t>phương án, hướng dẫn đào tạo, chu</w:t>
            </w:r>
            <w:bookmarkStart w:id="0" w:name="_GoBack"/>
            <w:bookmarkEnd w:id="0"/>
            <w:r w:rsidR="0021009D" w:rsidRPr="00A944FD">
              <w:rPr>
                <w:rFonts w:eastAsiaTheme="minorEastAsia"/>
                <w:sz w:val="28"/>
                <w:szCs w:val="28"/>
              </w:rPr>
              <w:t>yển giao công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="0021009D" w:rsidRPr="00A944FD">
              <w:rPr>
                <w:rFonts w:eastAsiaTheme="minorEastAsia"/>
                <w:sz w:val="28"/>
                <w:szCs w:val="28"/>
              </w:rPr>
              <w:t>nghệ không hợp lý, không khả thi, không phù hợp với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="0021009D" w:rsidRPr="00A944FD">
              <w:rPr>
                <w:rFonts w:eastAsiaTheme="minorEastAsia"/>
                <w:sz w:val="28"/>
                <w:szCs w:val="28"/>
              </w:rPr>
              <w:t>đề xuất về tiến độ cung cấp</w:t>
            </w:r>
          </w:p>
        </w:tc>
        <w:tc>
          <w:tcPr>
            <w:tcW w:w="1515" w:type="dxa"/>
            <w:vAlign w:val="center"/>
          </w:tcPr>
          <w:p w:rsidR="0021009D" w:rsidRPr="00A944FD" w:rsidRDefault="0021009D" w:rsidP="005129A9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3A5EE2" w:rsidRPr="00A944FD" w:rsidTr="008B225D">
        <w:trPr>
          <w:trHeight w:val="322"/>
        </w:trPr>
        <w:tc>
          <w:tcPr>
            <w:tcW w:w="10491" w:type="dxa"/>
            <w:gridSpan w:val="3"/>
            <w:vAlign w:val="center"/>
          </w:tcPr>
          <w:p w:rsidR="003A5EE2" w:rsidRPr="00A944FD" w:rsidRDefault="005129A9" w:rsidP="005129A9">
            <w:pPr>
              <w:spacing w:before="120" w:after="120"/>
              <w:ind w:left="113" w:right="113"/>
              <w:rPr>
                <w:b/>
                <w:bCs/>
                <w:sz w:val="28"/>
                <w:szCs w:val="28"/>
              </w:rPr>
            </w:pPr>
            <w:r w:rsidRPr="00A944FD">
              <w:rPr>
                <w:b/>
                <w:bCs/>
                <w:sz w:val="28"/>
                <w:szCs w:val="28"/>
              </w:rPr>
              <w:t>8</w:t>
            </w:r>
            <w:r w:rsidR="003A5EE2" w:rsidRPr="00A944FD">
              <w:rPr>
                <w:b/>
                <w:bCs/>
                <w:sz w:val="28"/>
                <w:szCs w:val="28"/>
              </w:rPr>
              <w:t xml:space="preserve">. </w:t>
            </w:r>
            <w:r w:rsidRPr="00A944FD">
              <w:rPr>
                <w:b/>
                <w:bCs/>
                <w:sz w:val="28"/>
                <w:szCs w:val="28"/>
              </w:rPr>
              <w:t>Kết quả thực hiện hợp đồng của nhà thầu đối với gói thầu cung cấp hàng hóa, EPC, EP, PC</w:t>
            </w:r>
          </w:p>
        </w:tc>
      </w:tr>
      <w:tr w:rsidR="003A5EE2" w:rsidRPr="00A944FD" w:rsidTr="00A944FD">
        <w:trPr>
          <w:trHeight w:val="3936"/>
        </w:trPr>
        <w:tc>
          <w:tcPr>
            <w:tcW w:w="2692" w:type="dxa"/>
            <w:vMerge w:val="restart"/>
            <w:vAlign w:val="center"/>
          </w:tcPr>
          <w:p w:rsidR="005129A9" w:rsidRPr="00A944FD" w:rsidRDefault="005129A9" w:rsidP="00A944FD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Kết quả thực hiện hợp đồng của nhà thầu đối với gói thầu cung cấp</w:t>
            </w:r>
          </w:p>
          <w:p w:rsidR="005129A9" w:rsidRPr="00A944FD" w:rsidRDefault="005129A9" w:rsidP="00A944FD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hàng hóa, EPC, EP,</w:t>
            </w:r>
          </w:p>
          <w:p w:rsidR="003A5EE2" w:rsidRPr="00A944FD" w:rsidRDefault="005129A9" w:rsidP="00A944FD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PC (Từ ngày</w:t>
            </w:r>
            <w:r w:rsidR="00A944FD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Pr="00A944FD">
              <w:rPr>
                <w:rFonts w:eastAsiaTheme="minorEastAsia"/>
                <w:sz w:val="28"/>
                <w:szCs w:val="28"/>
              </w:rPr>
              <w:t>01/01/2021 đến thờ</w:t>
            </w:r>
            <w:r w:rsidR="00BB4D46" w:rsidRPr="00A944FD">
              <w:rPr>
                <w:rFonts w:eastAsiaTheme="minorEastAsia"/>
                <w:sz w:val="28"/>
                <w:szCs w:val="28"/>
              </w:rPr>
              <w:t xml:space="preserve">i </w:t>
            </w:r>
            <w:r w:rsidRPr="00A944FD">
              <w:rPr>
                <w:sz w:val="28"/>
                <w:szCs w:val="28"/>
              </w:rPr>
              <w:t>điểm đóng thầu)</w:t>
            </w:r>
          </w:p>
        </w:tc>
        <w:tc>
          <w:tcPr>
            <w:tcW w:w="6284" w:type="dxa"/>
            <w:vAlign w:val="center"/>
          </w:tcPr>
          <w:p w:rsidR="005129A9" w:rsidRPr="00A944FD" w:rsidRDefault="00FB32A4" w:rsidP="005F45C2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 xml:space="preserve">- </w:t>
            </w:r>
            <w:r w:rsidR="005129A9" w:rsidRPr="00A944FD">
              <w:rPr>
                <w:rFonts w:eastAsiaTheme="minorEastAsia"/>
                <w:sz w:val="28"/>
                <w:szCs w:val="28"/>
              </w:rPr>
              <w:t>Nhà thầu cam kết không thuộc các trường hợp vi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="005129A9" w:rsidRPr="00A944FD">
              <w:rPr>
                <w:rFonts w:eastAsiaTheme="minorEastAsia"/>
                <w:sz w:val="28"/>
                <w:szCs w:val="28"/>
              </w:rPr>
              <w:t>phạm về kết quả thực hiện hợp đồng theo quy định tại Điều 19 và Điều 20 của Nghị định số</w:t>
            </w:r>
            <w:r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="005129A9" w:rsidRPr="00A944FD">
              <w:rPr>
                <w:rFonts w:eastAsiaTheme="minorEastAsia"/>
                <w:sz w:val="28"/>
                <w:szCs w:val="28"/>
              </w:rPr>
              <w:t>214/2025/NĐ-CP, như sau:</w:t>
            </w:r>
          </w:p>
          <w:p w:rsidR="005129A9" w:rsidRPr="00A944FD" w:rsidRDefault="005129A9" w:rsidP="005F45C2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+ Cam kết không có hợp đồng không hoàn thành, bị</w:t>
            </w:r>
            <w:r w:rsidR="0011484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Pr="00A944FD">
              <w:rPr>
                <w:rFonts w:eastAsiaTheme="minorEastAsia"/>
                <w:sz w:val="28"/>
                <w:szCs w:val="28"/>
              </w:rPr>
              <w:t>chấm dứt hợp đồng do lỗi của nhà thầu;</w:t>
            </w:r>
          </w:p>
          <w:p w:rsidR="005129A9" w:rsidRPr="00A944FD" w:rsidRDefault="005129A9" w:rsidP="005F45C2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+ Cam kết không có hợp đồng bị Chủ Đầu tư/Đơn vị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Pr="00A944FD">
              <w:rPr>
                <w:rFonts w:eastAsiaTheme="minorEastAsia"/>
                <w:sz w:val="28"/>
                <w:szCs w:val="28"/>
              </w:rPr>
              <w:t>sử dụng kết luận chất lượng hàng hóa không đáp ứng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Pr="00A944FD">
              <w:rPr>
                <w:rFonts w:eastAsiaTheme="minorEastAsia"/>
                <w:sz w:val="28"/>
                <w:szCs w:val="28"/>
              </w:rPr>
              <w:t>yêu cầu, cung cấp không đúng theo hợp đồng;</w:t>
            </w:r>
          </w:p>
          <w:p w:rsidR="005129A9" w:rsidRPr="00A944FD" w:rsidRDefault="005129A9" w:rsidP="005F45C2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+ Cam kết không có hợp đồng chậm tiến độ do lỗi của</w:t>
            </w:r>
          </w:p>
          <w:p w:rsidR="005129A9" w:rsidRPr="00A944FD" w:rsidRDefault="005129A9" w:rsidP="005F45C2">
            <w:pPr>
              <w:ind w:left="113" w:right="113"/>
              <w:rPr>
                <w:rFonts w:eastAsiaTheme="minorEastAsia"/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Nhà thầu;</w:t>
            </w:r>
          </w:p>
          <w:p w:rsidR="0021009D" w:rsidRPr="00A944FD" w:rsidRDefault="005129A9" w:rsidP="005F45C2">
            <w:pPr>
              <w:ind w:left="113" w:right="113"/>
              <w:rPr>
                <w:sz w:val="28"/>
                <w:szCs w:val="28"/>
              </w:rPr>
            </w:pPr>
            <w:r w:rsidRPr="00A944FD">
              <w:rPr>
                <w:rFonts w:eastAsiaTheme="minorEastAsia"/>
                <w:sz w:val="28"/>
                <w:szCs w:val="28"/>
              </w:rPr>
              <w:t>+ Cam kết không vi phạm các điều khoản trong hợp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  <w:r w:rsidRPr="00A944FD">
              <w:rPr>
                <w:rFonts w:eastAsiaTheme="minorEastAsia"/>
                <w:sz w:val="28"/>
                <w:szCs w:val="28"/>
              </w:rPr>
              <w:t>đồng trước đó</w:t>
            </w:r>
            <w:r w:rsidR="005F45C2" w:rsidRPr="00A944FD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3A5EE2" w:rsidRPr="00A944FD" w:rsidTr="00366783">
        <w:trPr>
          <w:trHeight w:val="638"/>
        </w:trPr>
        <w:tc>
          <w:tcPr>
            <w:tcW w:w="2692" w:type="dxa"/>
            <w:vMerge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3A5EE2" w:rsidRPr="00A944FD" w:rsidRDefault="00FB32A4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 xml:space="preserve">- </w:t>
            </w:r>
            <w:r w:rsidR="005129A9" w:rsidRPr="00A944FD">
              <w:rPr>
                <w:sz w:val="28"/>
                <w:szCs w:val="28"/>
              </w:rPr>
              <w:t>Không đáp ứng yêu cầu trên</w:t>
            </w:r>
            <w:r w:rsidR="003A5EE2" w:rsidRPr="00A944FD">
              <w:rPr>
                <w:sz w:val="28"/>
                <w:szCs w:val="28"/>
              </w:rPr>
              <w:t>.</w:t>
            </w:r>
          </w:p>
        </w:tc>
        <w:tc>
          <w:tcPr>
            <w:tcW w:w="1515" w:type="dxa"/>
            <w:vAlign w:val="center"/>
          </w:tcPr>
          <w:p w:rsidR="003A5EE2" w:rsidRPr="00A944FD" w:rsidRDefault="003A5EE2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  <w:tr w:rsidR="00A71AE7" w:rsidRPr="00A944FD" w:rsidTr="00021587">
        <w:trPr>
          <w:trHeight w:val="638"/>
        </w:trPr>
        <w:tc>
          <w:tcPr>
            <w:tcW w:w="10491" w:type="dxa"/>
            <w:gridSpan w:val="3"/>
            <w:vAlign w:val="center"/>
          </w:tcPr>
          <w:p w:rsidR="00A71AE7" w:rsidRPr="00A944FD" w:rsidRDefault="00A71AE7" w:rsidP="00A71AE7">
            <w:pPr>
              <w:spacing w:before="120" w:after="120"/>
              <w:ind w:left="113" w:right="113"/>
              <w:jc w:val="left"/>
              <w:rPr>
                <w:bCs/>
                <w:sz w:val="28"/>
                <w:szCs w:val="28"/>
              </w:rPr>
            </w:pPr>
            <w:r w:rsidRPr="00A944FD">
              <w:rPr>
                <w:b/>
                <w:sz w:val="28"/>
                <w:szCs w:val="28"/>
              </w:rPr>
              <w:lastRenderedPageBreak/>
              <w:t>9.Kết luận</w:t>
            </w:r>
          </w:p>
        </w:tc>
      </w:tr>
      <w:tr w:rsidR="00A71AE7" w:rsidRPr="00A944FD" w:rsidTr="00366783">
        <w:trPr>
          <w:trHeight w:val="638"/>
        </w:trPr>
        <w:tc>
          <w:tcPr>
            <w:tcW w:w="2692" w:type="dxa"/>
            <w:vAlign w:val="center"/>
          </w:tcPr>
          <w:p w:rsidR="00A71AE7" w:rsidRPr="00A944FD" w:rsidRDefault="00A71AE7" w:rsidP="008B225D">
            <w:pPr>
              <w:spacing w:before="120" w:after="120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A71AE7" w:rsidRPr="00A944FD" w:rsidRDefault="00133240" w:rsidP="00133240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Khi tất cả các tiêu chí được đánh giá là “Đạt”.</w:t>
            </w:r>
          </w:p>
        </w:tc>
        <w:tc>
          <w:tcPr>
            <w:tcW w:w="1515" w:type="dxa"/>
            <w:vAlign w:val="center"/>
          </w:tcPr>
          <w:p w:rsidR="00A71AE7" w:rsidRPr="00A944FD" w:rsidRDefault="00133240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Đạt</w:t>
            </w:r>
          </w:p>
        </w:tc>
      </w:tr>
      <w:tr w:rsidR="00133240" w:rsidRPr="00A944FD" w:rsidTr="00366783">
        <w:trPr>
          <w:trHeight w:val="638"/>
        </w:trPr>
        <w:tc>
          <w:tcPr>
            <w:tcW w:w="2692" w:type="dxa"/>
            <w:vAlign w:val="center"/>
          </w:tcPr>
          <w:p w:rsidR="00133240" w:rsidRPr="00A944FD" w:rsidRDefault="00133240" w:rsidP="008B225D">
            <w:pPr>
              <w:spacing w:before="120" w:after="120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284" w:type="dxa"/>
            <w:vAlign w:val="center"/>
          </w:tcPr>
          <w:p w:rsidR="00133240" w:rsidRPr="00A944FD" w:rsidRDefault="00133240" w:rsidP="008B225D">
            <w:pPr>
              <w:spacing w:before="120" w:after="120"/>
              <w:ind w:left="113" w:right="113"/>
              <w:rPr>
                <w:sz w:val="28"/>
                <w:szCs w:val="28"/>
              </w:rPr>
            </w:pPr>
            <w:r w:rsidRPr="00A944FD">
              <w:rPr>
                <w:sz w:val="28"/>
                <w:szCs w:val="28"/>
              </w:rPr>
              <w:t>Khi có bất kỳ 01 tiêu chí được đánh giá là “Không đạt”)</w:t>
            </w:r>
          </w:p>
        </w:tc>
        <w:tc>
          <w:tcPr>
            <w:tcW w:w="1515" w:type="dxa"/>
            <w:vAlign w:val="center"/>
          </w:tcPr>
          <w:p w:rsidR="00133240" w:rsidRPr="00A944FD" w:rsidRDefault="00133240" w:rsidP="008B225D">
            <w:pPr>
              <w:spacing w:before="120" w:after="12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944FD">
              <w:rPr>
                <w:bCs/>
                <w:sz w:val="28"/>
                <w:szCs w:val="28"/>
              </w:rPr>
              <w:t>Không đạt</w:t>
            </w:r>
          </w:p>
        </w:tc>
      </w:tr>
    </w:tbl>
    <w:p w:rsidR="00B818BC" w:rsidRPr="00A944FD" w:rsidRDefault="00B818BC">
      <w:pPr>
        <w:rPr>
          <w:sz w:val="28"/>
          <w:szCs w:val="28"/>
        </w:rPr>
      </w:pPr>
    </w:p>
    <w:sectPr w:rsidR="00B818BC" w:rsidRPr="00A944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24" w:rsidRDefault="001B6524" w:rsidP="00A351FF">
      <w:r>
        <w:separator/>
      </w:r>
    </w:p>
  </w:endnote>
  <w:endnote w:type="continuationSeparator" w:id="0">
    <w:p w:rsidR="001B6524" w:rsidRDefault="001B6524" w:rsidP="00A3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4220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1FF" w:rsidRDefault="00A35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4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51FF" w:rsidRDefault="00A35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24" w:rsidRDefault="001B6524" w:rsidP="00A351FF">
      <w:r>
        <w:separator/>
      </w:r>
    </w:p>
  </w:footnote>
  <w:footnote w:type="continuationSeparator" w:id="0">
    <w:p w:rsidR="001B6524" w:rsidRDefault="001B6524" w:rsidP="00A3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FF" w:rsidRDefault="00A351FF">
    <w:pPr>
      <w:pStyle w:val="Header"/>
      <w:jc w:val="right"/>
    </w:pPr>
  </w:p>
  <w:p w:rsidR="00A351FF" w:rsidRDefault="00A35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CE3"/>
    <w:multiLevelType w:val="hybridMultilevel"/>
    <w:tmpl w:val="4C4EC988"/>
    <w:lvl w:ilvl="0" w:tplc="64D4AD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C442F"/>
    <w:multiLevelType w:val="hybridMultilevel"/>
    <w:tmpl w:val="45A40C96"/>
    <w:lvl w:ilvl="0" w:tplc="5B4E465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FB"/>
    <w:rsid w:val="00002CFB"/>
    <w:rsid w:val="000B66F6"/>
    <w:rsid w:val="00114842"/>
    <w:rsid w:val="00133240"/>
    <w:rsid w:val="001A645C"/>
    <w:rsid w:val="001B6524"/>
    <w:rsid w:val="0021009D"/>
    <w:rsid w:val="00292BA4"/>
    <w:rsid w:val="00366783"/>
    <w:rsid w:val="003A5EE2"/>
    <w:rsid w:val="004C1054"/>
    <w:rsid w:val="005129A9"/>
    <w:rsid w:val="005F45C2"/>
    <w:rsid w:val="0061206B"/>
    <w:rsid w:val="006223D3"/>
    <w:rsid w:val="007A27ED"/>
    <w:rsid w:val="00870AD0"/>
    <w:rsid w:val="00990730"/>
    <w:rsid w:val="00A351FF"/>
    <w:rsid w:val="00A71AE7"/>
    <w:rsid w:val="00A83472"/>
    <w:rsid w:val="00A944FD"/>
    <w:rsid w:val="00B76E3C"/>
    <w:rsid w:val="00B818BC"/>
    <w:rsid w:val="00BB4D46"/>
    <w:rsid w:val="00BE64AB"/>
    <w:rsid w:val="00C71DF9"/>
    <w:rsid w:val="00CE16C1"/>
    <w:rsid w:val="00D80C25"/>
    <w:rsid w:val="00ED162C"/>
    <w:rsid w:val="00EE0220"/>
    <w:rsid w:val="00F4223B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887FE"/>
  <w15:chartTrackingRefBased/>
  <w15:docId w15:val="{FD7C3DA3-A184-4BFA-A23D-0F7E8B87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5EE2"/>
    <w:pPr>
      <w:widowControl w:val="0"/>
      <w:autoSpaceDE w:val="0"/>
      <w:autoSpaceDN w:val="0"/>
      <w:jc w:val="lef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66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1F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35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1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4482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2026-05-12T08:47:00Z</dcterms:created>
  <dcterms:modified xsi:type="dcterms:W3CDTF">2026-05-14T01:53:00Z</dcterms:modified>
</cp:coreProperties>
</file>