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0AF" w:rsidRPr="00E749AE" w:rsidRDefault="003330AF" w:rsidP="00DB6AC0">
      <w:pPr>
        <w:spacing w:before="40" w:after="40" w:line="340" w:lineRule="exact"/>
        <w:rPr>
          <w:rFonts w:ascii="Times New Roman" w:hAnsi="Times New Roman" w:cs="Times New Roman"/>
          <w:b/>
          <w:color w:val="auto"/>
          <w:sz w:val="26"/>
          <w:szCs w:val="26"/>
        </w:rPr>
      </w:pPr>
      <w:r w:rsidRPr="00E749AE">
        <w:rPr>
          <w:rFonts w:ascii="Times New Roman" w:hAnsi="Times New Roman" w:cs="Times New Roman"/>
          <w:b/>
          <w:color w:val="auto"/>
          <w:sz w:val="26"/>
          <w:szCs w:val="26"/>
        </w:rPr>
        <w:t>Mục 3. Tiêu chuẩn đánh giá về kỹ thuật</w:t>
      </w:r>
    </w:p>
    <w:p w:rsidR="003330AF" w:rsidRPr="00E749AE" w:rsidRDefault="003330AF" w:rsidP="00DB6AC0">
      <w:pPr>
        <w:spacing w:before="40" w:after="40" w:line="340" w:lineRule="exact"/>
        <w:rPr>
          <w:rFonts w:ascii="Times New Roman" w:hAnsi="Times New Roman" w:cs="Times New Roman"/>
          <w:color w:val="auto"/>
          <w:sz w:val="26"/>
          <w:szCs w:val="26"/>
        </w:rPr>
      </w:pPr>
      <w:r w:rsidRPr="00E749AE">
        <w:rPr>
          <w:rFonts w:ascii="Times New Roman" w:hAnsi="Times New Roman" w:cs="Times New Roman"/>
          <w:color w:val="auto"/>
          <w:sz w:val="26"/>
          <w:szCs w:val="26"/>
        </w:rPr>
        <w:t>Sử dụng tiêu chí đạt/không đạt để đánh giá về kỹ thuật:</w:t>
      </w:r>
    </w:p>
    <w:p w:rsidR="003330AF" w:rsidRPr="00E749AE" w:rsidRDefault="003330AF" w:rsidP="00DB6AC0">
      <w:pPr>
        <w:spacing w:before="120" w:after="120" w:line="340" w:lineRule="exact"/>
        <w:rPr>
          <w:rFonts w:ascii="Times New Roman" w:hAnsi="Times New Roman" w:cs="Times New Roman"/>
          <w:b/>
          <w:color w:val="auto"/>
          <w:sz w:val="26"/>
          <w:szCs w:val="26"/>
        </w:rPr>
      </w:pPr>
      <w:r w:rsidRPr="00E749AE">
        <w:rPr>
          <w:rFonts w:ascii="Times New Roman" w:hAnsi="Times New Roman" w:cs="Times New Roman"/>
          <w:b/>
          <w:color w:val="auto"/>
          <w:sz w:val="26"/>
          <w:szCs w:val="26"/>
        </w:rPr>
        <w:t>1. Tính hiệu quả của việc cung cấp dịch vụ</w:t>
      </w:r>
      <w:r w:rsidR="00DB6AC0" w:rsidRPr="00E749AE">
        <w:rPr>
          <w:rFonts w:ascii="Times New Roman" w:hAnsi="Times New Roman" w:cs="Times New Roman"/>
          <w:b/>
          <w:color w:val="auto"/>
          <w:sz w:val="26"/>
          <w:szCs w:val="26"/>
        </w:rPr>
        <w:t>.</w:t>
      </w:r>
      <w:r w:rsidRPr="00E749AE">
        <w:rPr>
          <w:rFonts w:ascii="Times New Roman" w:hAnsi="Times New Roman" w:cs="Times New Roman"/>
          <w:b/>
          <w:color w:val="auto"/>
          <w:sz w:val="26"/>
          <w:szCs w:val="2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4"/>
        <w:gridCol w:w="4606"/>
        <w:gridCol w:w="1051"/>
      </w:tblGrid>
      <w:tr w:rsidR="00E749AE" w:rsidRPr="00E749AE" w:rsidTr="003330AF">
        <w:trPr>
          <w:trHeight w:val="315"/>
          <w:jc w:val="center"/>
        </w:trPr>
        <w:tc>
          <w:tcPr>
            <w:tcW w:w="2045" w:type="pct"/>
            <w:tcBorders>
              <w:top w:val="single" w:sz="4" w:space="0" w:color="auto"/>
            </w:tcBorders>
            <w:vAlign w:val="center"/>
          </w:tcPr>
          <w:p w:rsidR="003330AF" w:rsidRPr="00E749AE" w:rsidRDefault="003330AF" w:rsidP="00DB6AC0">
            <w:pPr>
              <w:spacing w:before="40" w:after="40" w:line="34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Nội dung yêu cầu</w:t>
            </w:r>
          </w:p>
        </w:tc>
        <w:tc>
          <w:tcPr>
            <w:tcW w:w="2955" w:type="pct"/>
            <w:gridSpan w:val="2"/>
            <w:tcBorders>
              <w:top w:val="single" w:sz="4" w:space="0" w:color="auto"/>
            </w:tcBorders>
            <w:vAlign w:val="center"/>
          </w:tcPr>
          <w:p w:rsidR="003330AF" w:rsidRPr="00E749AE" w:rsidRDefault="003330AF" w:rsidP="00DB6AC0">
            <w:pPr>
              <w:spacing w:before="40" w:after="40" w:line="34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Mức độ đáp ứng</w:t>
            </w:r>
          </w:p>
        </w:tc>
      </w:tr>
      <w:tr w:rsidR="00E749AE" w:rsidRPr="00E749AE" w:rsidTr="003330AF">
        <w:trPr>
          <w:trHeight w:val="630"/>
          <w:jc w:val="center"/>
        </w:trPr>
        <w:tc>
          <w:tcPr>
            <w:tcW w:w="2045" w:type="pct"/>
            <w:vMerge w:val="restart"/>
            <w:vAlign w:val="center"/>
          </w:tcPr>
          <w:p w:rsidR="00D1661C" w:rsidRPr="00E749AE" w:rsidRDefault="00D1661C" w:rsidP="00D1661C">
            <w:pPr>
              <w:spacing w:before="40" w:after="40" w:line="34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N</w:t>
            </w:r>
            <w:r w:rsidR="003330AF" w:rsidRPr="00E749AE">
              <w:rPr>
                <w:rFonts w:ascii="Times New Roman" w:eastAsia="Times New Roman" w:hAnsi="Times New Roman" w:cs="Times New Roman"/>
                <w:color w:val="auto"/>
                <w:sz w:val="28"/>
                <w:szCs w:val="28"/>
              </w:rPr>
              <w:t xml:space="preserve">hà thầu cam kết có mặt tại hiện trường trong vòng 24 giờ kể từ </w:t>
            </w:r>
            <w:r w:rsidRPr="00E749AE">
              <w:rPr>
                <w:rFonts w:ascii="Times New Roman" w:eastAsia="Times New Roman" w:hAnsi="Times New Roman" w:cs="Times New Roman"/>
                <w:color w:val="auto"/>
                <w:sz w:val="28"/>
                <w:szCs w:val="28"/>
              </w:rPr>
              <w:t>khi nhận được thông báo tổn thất từ Chủ đầu tư/Bên được bảo hiểm</w:t>
            </w:r>
            <w:r w:rsidR="003330AF" w:rsidRPr="00E749AE">
              <w:rPr>
                <w:rFonts w:ascii="Times New Roman" w:eastAsia="Times New Roman" w:hAnsi="Times New Roman" w:cs="Times New Roman"/>
                <w:color w:val="auto"/>
                <w:sz w:val="28"/>
                <w:szCs w:val="28"/>
              </w:rPr>
              <w:t xml:space="preserve"> và </w:t>
            </w:r>
            <w:r w:rsidRPr="00E749AE">
              <w:rPr>
                <w:rFonts w:ascii="Times New Roman" w:eastAsia="Times New Roman" w:hAnsi="Times New Roman" w:cs="Times New Roman"/>
                <w:color w:val="auto"/>
                <w:sz w:val="28"/>
                <w:szCs w:val="28"/>
              </w:rPr>
              <w:t xml:space="preserve">thực hiện </w:t>
            </w:r>
            <w:r w:rsidR="003330AF" w:rsidRPr="00E749AE">
              <w:rPr>
                <w:rFonts w:ascii="Times New Roman" w:eastAsia="Times New Roman" w:hAnsi="Times New Roman" w:cs="Times New Roman"/>
                <w:color w:val="auto"/>
                <w:sz w:val="28"/>
                <w:szCs w:val="28"/>
              </w:rPr>
              <w:t xml:space="preserve">tạm ứng bồi thường </w:t>
            </w:r>
            <w:r w:rsidRPr="00E749AE">
              <w:rPr>
                <w:rFonts w:ascii="Times New Roman" w:eastAsia="Times New Roman" w:hAnsi="Times New Roman" w:cs="Times New Roman"/>
                <w:color w:val="auto"/>
                <w:sz w:val="28"/>
                <w:szCs w:val="28"/>
              </w:rPr>
              <w:t>theo yêu cầu của Chủ đầu tư/Bên được bảo hiểm</w:t>
            </w:r>
            <w:r w:rsidR="003330AF" w:rsidRPr="00E749AE">
              <w:rPr>
                <w:rFonts w:ascii="Times New Roman" w:eastAsia="Times New Roman" w:hAnsi="Times New Roman" w:cs="Times New Roman"/>
                <w:color w:val="auto"/>
                <w:sz w:val="28"/>
                <w:szCs w:val="28"/>
              </w:rPr>
              <w:t>.</w:t>
            </w:r>
          </w:p>
          <w:p w:rsidR="003330AF" w:rsidRPr="00E749AE" w:rsidRDefault="003330AF" w:rsidP="00D1661C">
            <w:pPr>
              <w:spacing w:before="40" w:after="40" w:line="34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(Nhà thầu cung cấp bản cam kết theo như yêu cầu).</w:t>
            </w:r>
          </w:p>
        </w:tc>
        <w:tc>
          <w:tcPr>
            <w:tcW w:w="2406" w:type="pct"/>
            <w:vAlign w:val="center"/>
          </w:tcPr>
          <w:p w:rsidR="003330AF" w:rsidRPr="00E749AE" w:rsidRDefault="003330AF" w:rsidP="00DB6AC0">
            <w:pPr>
              <w:spacing w:before="40" w:after="40" w:line="34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 Nhà thầu có bản cam kết theo như yêu cầu.</w:t>
            </w:r>
          </w:p>
        </w:tc>
        <w:tc>
          <w:tcPr>
            <w:tcW w:w="549" w:type="pct"/>
            <w:vAlign w:val="center"/>
          </w:tcPr>
          <w:p w:rsidR="003330AF" w:rsidRPr="00E749AE" w:rsidRDefault="003330AF" w:rsidP="00DB6AC0">
            <w:pPr>
              <w:spacing w:before="40" w:after="40" w:line="34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Đạt</w:t>
            </w:r>
          </w:p>
        </w:tc>
      </w:tr>
      <w:tr w:rsidR="00E749AE" w:rsidRPr="00E749AE" w:rsidTr="003330AF">
        <w:trPr>
          <w:trHeight w:val="1400"/>
          <w:jc w:val="center"/>
        </w:trPr>
        <w:tc>
          <w:tcPr>
            <w:tcW w:w="2045" w:type="pct"/>
            <w:vMerge/>
            <w:vAlign w:val="center"/>
          </w:tcPr>
          <w:p w:rsidR="003330AF" w:rsidRPr="00E749AE" w:rsidRDefault="003330AF" w:rsidP="00DB6AC0">
            <w:pPr>
              <w:spacing w:before="40" w:after="40" w:line="340" w:lineRule="exact"/>
              <w:jc w:val="both"/>
              <w:rPr>
                <w:rFonts w:ascii="Times New Roman" w:eastAsia="Times New Roman" w:hAnsi="Times New Roman" w:cs="Times New Roman"/>
                <w:color w:val="auto"/>
                <w:sz w:val="28"/>
                <w:szCs w:val="28"/>
              </w:rPr>
            </w:pPr>
          </w:p>
        </w:tc>
        <w:tc>
          <w:tcPr>
            <w:tcW w:w="2406" w:type="pct"/>
            <w:vAlign w:val="center"/>
          </w:tcPr>
          <w:p w:rsidR="003330AF" w:rsidRPr="00E749AE" w:rsidRDefault="003330AF" w:rsidP="00DB6AC0">
            <w:pPr>
              <w:spacing w:before="40" w:after="40" w:line="34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 Nhà thầu không có bản cam kết theo như yêu cầu.</w:t>
            </w:r>
          </w:p>
        </w:tc>
        <w:tc>
          <w:tcPr>
            <w:tcW w:w="549" w:type="pct"/>
            <w:vAlign w:val="center"/>
          </w:tcPr>
          <w:p w:rsidR="003330AF" w:rsidRPr="00E749AE" w:rsidRDefault="003330AF" w:rsidP="00DB6AC0">
            <w:pPr>
              <w:spacing w:before="40" w:after="40" w:line="34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Không đạt</w:t>
            </w:r>
          </w:p>
        </w:tc>
      </w:tr>
    </w:tbl>
    <w:p w:rsidR="003330AF" w:rsidRPr="00E749AE" w:rsidRDefault="00886F39" w:rsidP="00DB6AC0">
      <w:pPr>
        <w:spacing w:before="120" w:after="120" w:line="340" w:lineRule="exact"/>
        <w:rPr>
          <w:rFonts w:ascii="Times New Roman" w:hAnsi="Times New Roman" w:cs="Times New Roman"/>
          <w:b/>
          <w:color w:val="auto"/>
          <w:sz w:val="26"/>
          <w:szCs w:val="26"/>
        </w:rPr>
      </w:pPr>
      <w:r w:rsidRPr="00E749AE">
        <w:rPr>
          <w:rFonts w:ascii="Times New Roman" w:hAnsi="Times New Roman" w:cs="Times New Roman"/>
          <w:b/>
          <w:color w:val="auto"/>
          <w:sz w:val="26"/>
          <w:szCs w:val="26"/>
        </w:rPr>
        <w:t>2. Mức độ hiểu biết về tính chất và mục đích công việc</w:t>
      </w:r>
      <w:r w:rsidR="00DB6AC0" w:rsidRPr="00E749AE">
        <w:rPr>
          <w:rFonts w:ascii="Times New Roman" w:hAnsi="Times New Roman" w:cs="Times New Roman"/>
          <w:b/>
          <w:color w:val="auto"/>
          <w:sz w:val="26"/>
          <w:szCs w:val="26"/>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4"/>
        <w:gridCol w:w="4606"/>
        <w:gridCol w:w="1051"/>
      </w:tblGrid>
      <w:tr w:rsidR="00E749AE" w:rsidRPr="00E749AE" w:rsidTr="00652555">
        <w:trPr>
          <w:trHeight w:val="315"/>
          <w:jc w:val="center"/>
        </w:trPr>
        <w:tc>
          <w:tcPr>
            <w:tcW w:w="2045" w:type="pct"/>
            <w:tcBorders>
              <w:top w:val="single" w:sz="4" w:space="0" w:color="auto"/>
            </w:tcBorders>
            <w:vAlign w:val="center"/>
          </w:tcPr>
          <w:p w:rsidR="00886F39" w:rsidRPr="00E749AE" w:rsidRDefault="00886F39" w:rsidP="00DB6AC0">
            <w:pPr>
              <w:spacing w:before="40" w:after="40" w:line="34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Nội dung yêu cầu</w:t>
            </w:r>
          </w:p>
        </w:tc>
        <w:tc>
          <w:tcPr>
            <w:tcW w:w="2955" w:type="pct"/>
            <w:gridSpan w:val="2"/>
            <w:tcBorders>
              <w:top w:val="single" w:sz="4" w:space="0" w:color="auto"/>
            </w:tcBorders>
            <w:vAlign w:val="center"/>
          </w:tcPr>
          <w:p w:rsidR="00886F39" w:rsidRPr="00E749AE" w:rsidRDefault="00886F39" w:rsidP="00DB6AC0">
            <w:pPr>
              <w:spacing w:before="40" w:after="40" w:line="34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Mức độ đáp ứng</w:t>
            </w:r>
          </w:p>
        </w:tc>
      </w:tr>
      <w:tr w:rsidR="00E749AE" w:rsidRPr="00E749AE" w:rsidTr="00652555">
        <w:trPr>
          <w:trHeight w:val="630"/>
          <w:jc w:val="center"/>
        </w:trPr>
        <w:tc>
          <w:tcPr>
            <w:tcW w:w="2045" w:type="pct"/>
            <w:vMerge w:val="restart"/>
            <w:vAlign w:val="center"/>
          </w:tcPr>
          <w:p w:rsidR="00886F39" w:rsidRPr="00E749AE" w:rsidRDefault="00641AE1" w:rsidP="00D1661C">
            <w:pPr>
              <w:spacing w:before="40" w:after="40" w:line="34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 xml:space="preserve">Trình bày chi tiết rõ ràng </w:t>
            </w:r>
            <w:r w:rsidR="00D1661C" w:rsidRPr="00E749AE">
              <w:rPr>
                <w:rFonts w:ascii="Times New Roman" w:eastAsia="Times New Roman" w:hAnsi="Times New Roman" w:cs="Times New Roman"/>
                <w:color w:val="auto"/>
                <w:sz w:val="28"/>
                <w:szCs w:val="28"/>
              </w:rPr>
              <w:t>về</w:t>
            </w:r>
            <w:r w:rsidRPr="00E749AE">
              <w:rPr>
                <w:rFonts w:ascii="Times New Roman" w:eastAsia="Times New Roman" w:hAnsi="Times New Roman" w:cs="Times New Roman"/>
                <w:color w:val="auto"/>
                <w:sz w:val="28"/>
                <w:szCs w:val="28"/>
              </w:rPr>
              <w:t xml:space="preserve"> </w:t>
            </w:r>
            <w:r w:rsidR="00D1661C" w:rsidRPr="00E749AE">
              <w:rPr>
                <w:rFonts w:ascii="Times New Roman" w:eastAsia="Times New Roman" w:hAnsi="Times New Roman" w:cs="Times New Roman"/>
                <w:color w:val="auto"/>
                <w:sz w:val="28"/>
                <w:szCs w:val="28"/>
              </w:rPr>
              <w:t>đặc điểm, vị trí công trình xây dựng</w:t>
            </w:r>
            <w:r w:rsidRPr="00E749AE">
              <w:rPr>
                <w:rFonts w:ascii="Times New Roman" w:eastAsia="Times New Roman" w:hAnsi="Times New Roman" w:cs="Times New Roman"/>
                <w:color w:val="auto"/>
                <w:sz w:val="28"/>
                <w:szCs w:val="28"/>
              </w:rPr>
              <w:t xml:space="preserve"> </w:t>
            </w:r>
            <w:r w:rsidR="00D1661C" w:rsidRPr="00E749AE">
              <w:rPr>
                <w:rFonts w:ascii="Times New Roman" w:eastAsia="Times New Roman" w:hAnsi="Times New Roman" w:cs="Times New Roman"/>
                <w:color w:val="auto"/>
                <w:sz w:val="28"/>
                <w:szCs w:val="28"/>
              </w:rPr>
              <w:t xml:space="preserve">từ đó đưa ra các </w:t>
            </w:r>
            <w:r w:rsidRPr="00E749AE">
              <w:rPr>
                <w:rFonts w:ascii="Times New Roman" w:eastAsia="Times New Roman" w:hAnsi="Times New Roman" w:cs="Times New Roman"/>
                <w:color w:val="auto"/>
                <w:sz w:val="28"/>
                <w:szCs w:val="28"/>
              </w:rPr>
              <w:t xml:space="preserve">đánh giá </w:t>
            </w:r>
            <w:r w:rsidR="00D1661C" w:rsidRPr="00E749AE">
              <w:rPr>
                <w:rFonts w:ascii="Times New Roman" w:eastAsia="Times New Roman" w:hAnsi="Times New Roman" w:cs="Times New Roman"/>
                <w:color w:val="auto"/>
                <w:sz w:val="28"/>
                <w:szCs w:val="28"/>
              </w:rPr>
              <w:t xml:space="preserve">về </w:t>
            </w:r>
            <w:r w:rsidRPr="00E749AE">
              <w:rPr>
                <w:rFonts w:ascii="Times New Roman" w:eastAsia="Times New Roman" w:hAnsi="Times New Roman" w:cs="Times New Roman"/>
                <w:color w:val="auto"/>
                <w:sz w:val="28"/>
                <w:szCs w:val="28"/>
              </w:rPr>
              <w:t xml:space="preserve">nguy cơ/rủi ro </w:t>
            </w:r>
            <w:r w:rsidR="00D1661C" w:rsidRPr="00E749AE">
              <w:rPr>
                <w:rFonts w:ascii="Times New Roman" w:eastAsia="Times New Roman" w:hAnsi="Times New Roman" w:cs="Times New Roman"/>
                <w:color w:val="auto"/>
                <w:sz w:val="28"/>
                <w:szCs w:val="28"/>
              </w:rPr>
              <w:t>liên quan đến</w:t>
            </w:r>
            <w:r w:rsidRPr="00E749AE">
              <w:rPr>
                <w:rFonts w:ascii="Times New Roman" w:eastAsia="Times New Roman" w:hAnsi="Times New Roman" w:cs="Times New Roman"/>
                <w:color w:val="auto"/>
                <w:sz w:val="28"/>
                <w:szCs w:val="28"/>
              </w:rPr>
              <w:t xml:space="preserve"> bảo hiểm công trình.</w:t>
            </w:r>
          </w:p>
        </w:tc>
        <w:tc>
          <w:tcPr>
            <w:tcW w:w="2406" w:type="pct"/>
            <w:vAlign w:val="center"/>
          </w:tcPr>
          <w:p w:rsidR="00886F39" w:rsidRPr="00E749AE" w:rsidRDefault="00886F39" w:rsidP="00DB6AC0">
            <w:pPr>
              <w:spacing w:before="40" w:after="40" w:line="34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 xml:space="preserve">- </w:t>
            </w:r>
            <w:r w:rsidR="00641AE1" w:rsidRPr="00E749AE">
              <w:rPr>
                <w:rFonts w:ascii="Times New Roman" w:eastAsia="Times New Roman" w:hAnsi="Times New Roman" w:cs="Times New Roman"/>
                <w:color w:val="auto"/>
                <w:sz w:val="28"/>
                <w:szCs w:val="28"/>
              </w:rPr>
              <w:t xml:space="preserve">Đề xuất phù hợp, đầy đủ, đáp ứng </w:t>
            </w:r>
            <w:r w:rsidRPr="00E749AE">
              <w:rPr>
                <w:rFonts w:ascii="Times New Roman" w:eastAsia="Times New Roman" w:hAnsi="Times New Roman" w:cs="Times New Roman"/>
                <w:color w:val="auto"/>
                <w:sz w:val="28"/>
                <w:szCs w:val="28"/>
              </w:rPr>
              <w:t>như yêu cầu.</w:t>
            </w:r>
          </w:p>
        </w:tc>
        <w:tc>
          <w:tcPr>
            <w:tcW w:w="549" w:type="pct"/>
            <w:vAlign w:val="center"/>
          </w:tcPr>
          <w:p w:rsidR="00886F39" w:rsidRPr="00E749AE" w:rsidRDefault="00886F39" w:rsidP="00DB6AC0">
            <w:pPr>
              <w:spacing w:before="40" w:after="40" w:line="34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Đạt</w:t>
            </w:r>
          </w:p>
        </w:tc>
      </w:tr>
      <w:tr w:rsidR="00E749AE" w:rsidRPr="00E749AE" w:rsidTr="00652555">
        <w:trPr>
          <w:trHeight w:val="1400"/>
          <w:jc w:val="center"/>
        </w:trPr>
        <w:tc>
          <w:tcPr>
            <w:tcW w:w="2045" w:type="pct"/>
            <w:vMerge/>
            <w:vAlign w:val="center"/>
          </w:tcPr>
          <w:p w:rsidR="00886F39" w:rsidRPr="00E749AE" w:rsidRDefault="00886F39" w:rsidP="00DB6AC0">
            <w:pPr>
              <w:spacing w:before="40" w:after="40" w:line="340" w:lineRule="exact"/>
              <w:jc w:val="both"/>
              <w:rPr>
                <w:rFonts w:ascii="Times New Roman" w:eastAsia="Times New Roman" w:hAnsi="Times New Roman" w:cs="Times New Roman"/>
                <w:color w:val="auto"/>
                <w:sz w:val="28"/>
                <w:szCs w:val="28"/>
              </w:rPr>
            </w:pPr>
          </w:p>
        </w:tc>
        <w:tc>
          <w:tcPr>
            <w:tcW w:w="2406" w:type="pct"/>
            <w:vAlign w:val="center"/>
          </w:tcPr>
          <w:p w:rsidR="00886F39" w:rsidRPr="00E749AE" w:rsidRDefault="00886F39" w:rsidP="00652555">
            <w:pPr>
              <w:spacing w:before="40" w:after="40" w:line="34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 xml:space="preserve">- Nhà thầu không có </w:t>
            </w:r>
            <w:r w:rsidR="007D34C7" w:rsidRPr="00E749AE">
              <w:rPr>
                <w:rFonts w:ascii="Times New Roman" w:eastAsia="Times New Roman" w:hAnsi="Times New Roman" w:cs="Times New Roman"/>
                <w:color w:val="auto"/>
                <w:sz w:val="28"/>
                <w:szCs w:val="28"/>
              </w:rPr>
              <w:t xml:space="preserve">không đề xuất </w:t>
            </w:r>
            <w:r w:rsidR="00183DC2" w:rsidRPr="00E749AE">
              <w:rPr>
                <w:rFonts w:ascii="Times New Roman" w:eastAsia="Times New Roman" w:hAnsi="Times New Roman" w:cs="Times New Roman"/>
                <w:color w:val="auto"/>
                <w:sz w:val="28"/>
                <w:szCs w:val="28"/>
              </w:rPr>
              <w:t>hoặc</w:t>
            </w:r>
            <w:r w:rsidR="007D34C7" w:rsidRPr="00E749AE">
              <w:rPr>
                <w:rFonts w:ascii="Times New Roman" w:eastAsia="Times New Roman" w:hAnsi="Times New Roman" w:cs="Times New Roman"/>
                <w:color w:val="auto"/>
                <w:sz w:val="28"/>
                <w:szCs w:val="28"/>
              </w:rPr>
              <w:t xml:space="preserve"> </w:t>
            </w:r>
            <w:r w:rsidR="00183DC2" w:rsidRPr="00E749AE">
              <w:rPr>
                <w:rFonts w:ascii="Times New Roman" w:eastAsia="Times New Roman" w:hAnsi="Times New Roman" w:cs="Times New Roman"/>
                <w:color w:val="auto"/>
                <w:sz w:val="28"/>
                <w:szCs w:val="28"/>
              </w:rPr>
              <w:t xml:space="preserve">có nhưng </w:t>
            </w:r>
            <w:r w:rsidR="007D34C7" w:rsidRPr="00E749AE">
              <w:rPr>
                <w:rFonts w:ascii="Times New Roman" w:eastAsia="Times New Roman" w:hAnsi="Times New Roman" w:cs="Times New Roman"/>
                <w:color w:val="auto"/>
                <w:sz w:val="28"/>
                <w:szCs w:val="28"/>
              </w:rPr>
              <w:t>không phù hợp</w:t>
            </w:r>
            <w:r w:rsidR="00183DC2" w:rsidRPr="00E749AE">
              <w:rPr>
                <w:rFonts w:ascii="Times New Roman" w:eastAsia="Times New Roman" w:hAnsi="Times New Roman" w:cs="Times New Roman"/>
                <w:color w:val="auto"/>
                <w:sz w:val="28"/>
                <w:szCs w:val="28"/>
              </w:rPr>
              <w:t xml:space="preserve"> với yêu cầu</w:t>
            </w:r>
            <w:r w:rsidRPr="00E749AE">
              <w:rPr>
                <w:rFonts w:ascii="Times New Roman" w:eastAsia="Times New Roman" w:hAnsi="Times New Roman" w:cs="Times New Roman"/>
                <w:color w:val="auto"/>
                <w:sz w:val="28"/>
                <w:szCs w:val="28"/>
              </w:rPr>
              <w:t>.</w:t>
            </w:r>
          </w:p>
        </w:tc>
        <w:tc>
          <w:tcPr>
            <w:tcW w:w="549" w:type="pct"/>
            <w:vAlign w:val="center"/>
          </w:tcPr>
          <w:p w:rsidR="00886F39" w:rsidRPr="00E749AE" w:rsidRDefault="00886F39" w:rsidP="00DB6AC0">
            <w:pPr>
              <w:spacing w:before="40" w:after="40" w:line="34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Không đạt</w:t>
            </w:r>
          </w:p>
        </w:tc>
      </w:tr>
    </w:tbl>
    <w:p w:rsidR="003330AF" w:rsidRPr="00E749AE" w:rsidRDefault="00DB6AC0" w:rsidP="00DF481C">
      <w:pPr>
        <w:spacing w:before="120" w:after="120" w:line="340" w:lineRule="exact"/>
        <w:rPr>
          <w:rFonts w:ascii="Times New Roman" w:hAnsi="Times New Roman" w:cs="Times New Roman"/>
          <w:b/>
          <w:color w:val="auto"/>
          <w:sz w:val="26"/>
          <w:szCs w:val="26"/>
        </w:rPr>
      </w:pPr>
      <w:r w:rsidRPr="00E749AE">
        <w:rPr>
          <w:rFonts w:ascii="Times New Roman" w:hAnsi="Times New Roman" w:cs="Times New Roman"/>
          <w:b/>
          <w:color w:val="auto"/>
          <w:sz w:val="26"/>
          <w:szCs w:val="26"/>
        </w:rPr>
        <w:t>3.</w:t>
      </w:r>
      <w:r w:rsidRPr="00E749AE">
        <w:rPr>
          <w:b/>
          <w:color w:val="auto"/>
        </w:rPr>
        <w:t xml:space="preserve"> </w:t>
      </w:r>
      <w:r w:rsidRPr="00E749AE">
        <w:rPr>
          <w:rFonts w:ascii="Times New Roman" w:hAnsi="Times New Roman" w:cs="Times New Roman"/>
          <w:b/>
          <w:color w:val="auto"/>
          <w:sz w:val="26"/>
          <w:szCs w:val="26"/>
        </w:rPr>
        <w:t>Tính hợp lý và khả thi của kế hoạch, các giải pháp kỹ thuật, biện pháp tổ chức cung cấp dịch vụ.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4"/>
        <w:gridCol w:w="4606"/>
        <w:gridCol w:w="1051"/>
      </w:tblGrid>
      <w:tr w:rsidR="00E749AE" w:rsidRPr="00E749AE" w:rsidTr="002B101A">
        <w:trPr>
          <w:trHeight w:val="315"/>
          <w:tblHeader/>
          <w:jc w:val="center"/>
        </w:trPr>
        <w:tc>
          <w:tcPr>
            <w:tcW w:w="2045" w:type="pct"/>
            <w:tcBorders>
              <w:top w:val="single" w:sz="4" w:space="0" w:color="auto"/>
            </w:tcBorders>
            <w:vAlign w:val="center"/>
          </w:tcPr>
          <w:p w:rsidR="00DF481C" w:rsidRPr="00E749AE" w:rsidRDefault="00DF481C" w:rsidP="00652555">
            <w:pPr>
              <w:spacing w:before="40" w:after="40" w:line="34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Nội dung yêu cầu</w:t>
            </w:r>
          </w:p>
        </w:tc>
        <w:tc>
          <w:tcPr>
            <w:tcW w:w="2955" w:type="pct"/>
            <w:gridSpan w:val="2"/>
            <w:tcBorders>
              <w:top w:val="single" w:sz="4" w:space="0" w:color="auto"/>
            </w:tcBorders>
            <w:vAlign w:val="center"/>
          </w:tcPr>
          <w:p w:rsidR="00DF481C" w:rsidRPr="00E749AE" w:rsidRDefault="00DF481C" w:rsidP="00652555">
            <w:pPr>
              <w:spacing w:before="40" w:after="40" w:line="34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Mức độ đáp ứng</w:t>
            </w:r>
          </w:p>
        </w:tc>
      </w:tr>
      <w:tr w:rsidR="00E749AE" w:rsidRPr="00E749AE" w:rsidTr="00652555">
        <w:trPr>
          <w:trHeight w:val="630"/>
          <w:jc w:val="center"/>
        </w:trPr>
        <w:tc>
          <w:tcPr>
            <w:tcW w:w="2045" w:type="pct"/>
            <w:vMerge w:val="restart"/>
            <w:vAlign w:val="center"/>
          </w:tcPr>
          <w:p w:rsidR="00DF481C" w:rsidRPr="00E749AE" w:rsidRDefault="00DF481C" w:rsidP="00652555">
            <w:pPr>
              <w:spacing w:before="40" w:after="40" w:line="340" w:lineRule="exact"/>
              <w:jc w:val="both"/>
              <w:rPr>
                <w:rFonts w:ascii="Times New Roman" w:eastAsia="Times New Roman" w:hAnsi="Times New Roman" w:cs="Times New Roman"/>
                <w:color w:val="auto"/>
                <w:sz w:val="28"/>
                <w:szCs w:val="28"/>
              </w:rPr>
            </w:pPr>
            <w:r w:rsidRPr="00E749AE">
              <w:rPr>
                <w:rFonts w:ascii="Times New Roman" w:hAnsi="Times New Roman" w:cs="Times New Roman"/>
                <w:color w:val="auto"/>
                <w:sz w:val="26"/>
                <w:szCs w:val="26"/>
              </w:rPr>
              <w:t>Tính hợp lý và khả thi của kế hoạch, các giải pháp kỹ thuật, biện pháp tổ chức cung cấp dịch vụ</w:t>
            </w:r>
            <w:r w:rsidRPr="00E749AE">
              <w:rPr>
                <w:rFonts w:ascii="Times New Roman" w:eastAsia="Times New Roman" w:hAnsi="Times New Roman" w:cs="Times New Roman"/>
                <w:color w:val="auto"/>
                <w:sz w:val="28"/>
                <w:szCs w:val="28"/>
              </w:rPr>
              <w:t>.</w:t>
            </w:r>
          </w:p>
        </w:tc>
        <w:tc>
          <w:tcPr>
            <w:tcW w:w="2406" w:type="pct"/>
            <w:vAlign w:val="center"/>
          </w:tcPr>
          <w:p w:rsidR="00DF481C" w:rsidRPr="00E749AE" w:rsidRDefault="00DF481C" w:rsidP="00652555">
            <w:pPr>
              <w:spacing w:before="40" w:after="40" w:line="340" w:lineRule="exact"/>
              <w:jc w:val="both"/>
              <w:rPr>
                <w:rFonts w:ascii="Times New Roman" w:eastAsia="Times New Roman" w:hAnsi="Times New Roman" w:cs="Times New Roman"/>
                <w:i/>
                <w:color w:val="auto"/>
                <w:sz w:val="28"/>
                <w:szCs w:val="28"/>
              </w:rPr>
            </w:pPr>
            <w:r w:rsidRPr="00E749AE">
              <w:rPr>
                <w:rFonts w:ascii="Times New Roman" w:eastAsia="Times New Roman" w:hAnsi="Times New Roman" w:cs="Times New Roman"/>
                <w:i/>
                <w:color w:val="auto"/>
                <w:sz w:val="28"/>
                <w:szCs w:val="28"/>
              </w:rPr>
              <w:t>Đáp ứng tất cả các tiêu chí nêu dưới đây thì được đánh giá là Đạt</w:t>
            </w:r>
          </w:p>
          <w:p w:rsidR="00DF481C" w:rsidRPr="00E749AE" w:rsidRDefault="00DF481C" w:rsidP="00DF481C">
            <w:pPr>
              <w:spacing w:before="40" w:after="40" w:line="34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 xml:space="preserve">- Có sơ đồ mối quan hệ giữa Chủ đầu tư (người mua bảo hiểm) - Công ty bảo hiểm - Công ty giám định độc lập. </w:t>
            </w:r>
          </w:p>
          <w:p w:rsidR="00DF481C" w:rsidRPr="00E749AE" w:rsidRDefault="00DF481C" w:rsidP="00DF481C">
            <w:pPr>
              <w:spacing w:before="40" w:after="40" w:line="34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 xml:space="preserve">- Có Quy trình phối hợp giải quyết khi có sự cố xảy ra. </w:t>
            </w:r>
          </w:p>
          <w:p w:rsidR="00DF481C" w:rsidRPr="00E749AE" w:rsidRDefault="00DF481C" w:rsidP="00652555">
            <w:pPr>
              <w:spacing w:before="40" w:after="40" w:line="34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 xml:space="preserve">- Có </w:t>
            </w:r>
            <w:r w:rsidR="00652555" w:rsidRPr="00E749AE">
              <w:rPr>
                <w:rFonts w:ascii="Times New Roman" w:eastAsia="Times New Roman" w:hAnsi="Times New Roman" w:cs="Times New Roman"/>
                <w:color w:val="auto"/>
                <w:sz w:val="28"/>
                <w:szCs w:val="28"/>
              </w:rPr>
              <w:t>thuyết minh</w:t>
            </w:r>
            <w:r w:rsidRPr="00E749AE">
              <w:rPr>
                <w:rFonts w:ascii="Times New Roman" w:eastAsia="Times New Roman" w:hAnsi="Times New Roman" w:cs="Times New Roman"/>
                <w:color w:val="auto"/>
                <w:sz w:val="28"/>
                <w:szCs w:val="28"/>
              </w:rPr>
              <w:t xml:space="preserve"> thể hiện đầy đủ quy trình thực hiện bảo hiểm: Đưa ra kế hoạch triển khai các nhiệm vụ một cách khoa học, hợp lý, trình bày một cách rõ ràng, chi tiết từng mốc thời gian cho từng nhiệm vụ. </w:t>
            </w:r>
          </w:p>
        </w:tc>
        <w:tc>
          <w:tcPr>
            <w:tcW w:w="549" w:type="pct"/>
            <w:vAlign w:val="center"/>
          </w:tcPr>
          <w:p w:rsidR="00DF481C" w:rsidRPr="00E749AE" w:rsidRDefault="00DF481C" w:rsidP="00652555">
            <w:pPr>
              <w:spacing w:before="40" w:after="40" w:line="34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Đạt</w:t>
            </w:r>
          </w:p>
        </w:tc>
      </w:tr>
      <w:tr w:rsidR="00E749AE" w:rsidRPr="00E749AE" w:rsidTr="00652555">
        <w:trPr>
          <w:trHeight w:val="1400"/>
          <w:jc w:val="center"/>
        </w:trPr>
        <w:tc>
          <w:tcPr>
            <w:tcW w:w="2045" w:type="pct"/>
            <w:vMerge/>
            <w:vAlign w:val="center"/>
          </w:tcPr>
          <w:p w:rsidR="00DF481C" w:rsidRPr="00E749AE" w:rsidRDefault="00DF481C" w:rsidP="00652555">
            <w:pPr>
              <w:spacing w:before="40" w:after="40" w:line="340" w:lineRule="exact"/>
              <w:jc w:val="both"/>
              <w:rPr>
                <w:rFonts w:ascii="Times New Roman" w:eastAsia="Times New Roman" w:hAnsi="Times New Roman" w:cs="Times New Roman"/>
                <w:color w:val="auto"/>
                <w:sz w:val="28"/>
                <w:szCs w:val="28"/>
              </w:rPr>
            </w:pPr>
          </w:p>
        </w:tc>
        <w:tc>
          <w:tcPr>
            <w:tcW w:w="2406" w:type="pct"/>
            <w:vAlign w:val="center"/>
          </w:tcPr>
          <w:p w:rsidR="00DF481C" w:rsidRPr="00E749AE" w:rsidRDefault="00DF481C" w:rsidP="00652555">
            <w:pPr>
              <w:spacing w:before="40" w:after="40" w:line="34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 xml:space="preserve">- Không có quy trình, sơ đồ và thuyết minh hoặc </w:t>
            </w:r>
            <w:r w:rsidR="00183DC2" w:rsidRPr="00E749AE">
              <w:rPr>
                <w:rFonts w:ascii="Times New Roman" w:eastAsia="Times New Roman" w:hAnsi="Times New Roman" w:cs="Times New Roman"/>
                <w:color w:val="auto"/>
                <w:sz w:val="28"/>
                <w:szCs w:val="28"/>
              </w:rPr>
              <w:t>có nhưng không</w:t>
            </w:r>
            <w:r w:rsidRPr="00E749AE">
              <w:rPr>
                <w:rFonts w:ascii="Times New Roman" w:eastAsia="Times New Roman" w:hAnsi="Times New Roman" w:cs="Times New Roman"/>
                <w:color w:val="auto"/>
                <w:sz w:val="28"/>
                <w:szCs w:val="28"/>
              </w:rPr>
              <w:t xml:space="preserve"> phù hợp</w:t>
            </w:r>
            <w:r w:rsidR="00183DC2" w:rsidRPr="00E749AE">
              <w:rPr>
                <w:rFonts w:ascii="Times New Roman" w:eastAsia="Times New Roman" w:hAnsi="Times New Roman" w:cs="Times New Roman"/>
                <w:color w:val="auto"/>
                <w:sz w:val="28"/>
                <w:szCs w:val="28"/>
              </w:rPr>
              <w:t xml:space="preserve"> với yêu cầu</w:t>
            </w:r>
            <w:r w:rsidR="002457A1" w:rsidRPr="00E749AE">
              <w:rPr>
                <w:rFonts w:ascii="Times New Roman" w:eastAsia="Times New Roman" w:hAnsi="Times New Roman" w:cs="Times New Roman"/>
                <w:color w:val="auto"/>
                <w:sz w:val="28"/>
                <w:szCs w:val="28"/>
              </w:rPr>
              <w:t>.</w:t>
            </w:r>
          </w:p>
        </w:tc>
        <w:tc>
          <w:tcPr>
            <w:tcW w:w="549" w:type="pct"/>
            <w:vAlign w:val="center"/>
          </w:tcPr>
          <w:p w:rsidR="00DF481C" w:rsidRPr="00E749AE" w:rsidRDefault="00DF481C" w:rsidP="00652555">
            <w:pPr>
              <w:spacing w:before="40" w:after="40" w:line="34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Không đạt</w:t>
            </w:r>
          </w:p>
        </w:tc>
      </w:tr>
    </w:tbl>
    <w:p w:rsidR="00DB6AC0" w:rsidRPr="00E749AE" w:rsidRDefault="005B7D6B" w:rsidP="005B7D6B">
      <w:pPr>
        <w:spacing w:before="120" w:after="120" w:line="340" w:lineRule="exact"/>
        <w:rPr>
          <w:rFonts w:ascii="Times New Roman" w:hAnsi="Times New Roman" w:cs="Times New Roman"/>
          <w:b/>
          <w:color w:val="auto"/>
          <w:sz w:val="26"/>
          <w:szCs w:val="26"/>
        </w:rPr>
      </w:pPr>
      <w:r w:rsidRPr="00E749AE">
        <w:rPr>
          <w:rFonts w:ascii="Times New Roman" w:hAnsi="Times New Roman" w:cs="Times New Roman"/>
          <w:b/>
          <w:color w:val="auto"/>
          <w:sz w:val="26"/>
          <w:szCs w:val="26"/>
        </w:rPr>
        <w:lastRenderedPageBreak/>
        <w:t>4. Mức độ đáp ứng hệ thống đảm bảo chất lượng và phương pháp thực hiện.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4"/>
        <w:gridCol w:w="4606"/>
        <w:gridCol w:w="1051"/>
      </w:tblGrid>
      <w:tr w:rsidR="00E749AE" w:rsidRPr="00E749AE" w:rsidTr="00652555">
        <w:trPr>
          <w:trHeight w:val="315"/>
          <w:tblHeader/>
          <w:jc w:val="center"/>
        </w:trPr>
        <w:tc>
          <w:tcPr>
            <w:tcW w:w="2045" w:type="pct"/>
            <w:tcBorders>
              <w:top w:val="single" w:sz="4" w:space="0" w:color="auto"/>
            </w:tcBorders>
            <w:vAlign w:val="center"/>
          </w:tcPr>
          <w:p w:rsidR="005B7D6B" w:rsidRPr="00E749AE" w:rsidRDefault="005B7D6B" w:rsidP="00652555">
            <w:pPr>
              <w:spacing w:before="40" w:after="40" w:line="34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Nội dung yêu cầu</w:t>
            </w:r>
          </w:p>
        </w:tc>
        <w:tc>
          <w:tcPr>
            <w:tcW w:w="2955" w:type="pct"/>
            <w:gridSpan w:val="2"/>
            <w:tcBorders>
              <w:top w:val="single" w:sz="4" w:space="0" w:color="auto"/>
            </w:tcBorders>
            <w:vAlign w:val="center"/>
          </w:tcPr>
          <w:p w:rsidR="005B7D6B" w:rsidRPr="00E749AE" w:rsidRDefault="005B7D6B" w:rsidP="00652555">
            <w:pPr>
              <w:spacing w:before="40" w:after="40" w:line="34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Mức độ đáp ứng</w:t>
            </w:r>
          </w:p>
        </w:tc>
      </w:tr>
      <w:tr w:rsidR="00E749AE" w:rsidRPr="00E749AE" w:rsidTr="00652555">
        <w:trPr>
          <w:trHeight w:val="630"/>
          <w:jc w:val="center"/>
        </w:trPr>
        <w:tc>
          <w:tcPr>
            <w:tcW w:w="2045" w:type="pct"/>
            <w:vMerge w:val="restart"/>
            <w:vAlign w:val="center"/>
          </w:tcPr>
          <w:p w:rsidR="005B7D6B" w:rsidRPr="00E749AE" w:rsidRDefault="002D5C6C" w:rsidP="00652555">
            <w:pPr>
              <w:spacing w:before="40" w:after="40" w:line="340" w:lineRule="exact"/>
              <w:jc w:val="both"/>
              <w:rPr>
                <w:rFonts w:ascii="Times New Roman" w:eastAsia="Times New Roman" w:hAnsi="Times New Roman" w:cs="Times New Roman"/>
                <w:color w:val="auto"/>
                <w:sz w:val="28"/>
                <w:szCs w:val="28"/>
              </w:rPr>
            </w:pPr>
            <w:r w:rsidRPr="00E749AE">
              <w:rPr>
                <w:rFonts w:ascii="Times New Roman" w:hAnsi="Times New Roman" w:cs="Times New Roman"/>
                <w:color w:val="auto"/>
                <w:sz w:val="26"/>
                <w:szCs w:val="26"/>
              </w:rPr>
              <w:t>Mức độ đáp ứng hệ thống đảm bảo chất lượng và phương pháp thực hiện</w:t>
            </w:r>
          </w:p>
        </w:tc>
        <w:tc>
          <w:tcPr>
            <w:tcW w:w="2406" w:type="pct"/>
            <w:vAlign w:val="center"/>
          </w:tcPr>
          <w:p w:rsidR="005B7D6B" w:rsidRPr="00E749AE" w:rsidRDefault="005B7D6B" w:rsidP="00652555">
            <w:pPr>
              <w:spacing w:before="40" w:after="40" w:line="340" w:lineRule="exact"/>
              <w:jc w:val="both"/>
              <w:rPr>
                <w:rFonts w:ascii="Times New Roman" w:eastAsia="Times New Roman" w:hAnsi="Times New Roman" w:cs="Times New Roman"/>
                <w:i/>
                <w:color w:val="auto"/>
                <w:sz w:val="28"/>
                <w:szCs w:val="28"/>
              </w:rPr>
            </w:pPr>
            <w:r w:rsidRPr="00E749AE">
              <w:rPr>
                <w:rFonts w:ascii="Times New Roman" w:eastAsia="Times New Roman" w:hAnsi="Times New Roman" w:cs="Times New Roman"/>
                <w:i/>
                <w:color w:val="auto"/>
                <w:sz w:val="28"/>
                <w:szCs w:val="28"/>
              </w:rPr>
              <w:t>Đáp ứng tất cả các tiêu chí nêu dưới đây thì được đánh giá là Đạt</w:t>
            </w:r>
          </w:p>
          <w:p w:rsidR="002D5C6C" w:rsidRPr="00E749AE" w:rsidRDefault="002D5C6C" w:rsidP="002D5C6C">
            <w:pPr>
              <w:spacing w:before="40" w:after="40" w:line="34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 xml:space="preserve">- Có phương thức, biểu mẫu, thủ tục giải quyết khiếu nại, đòi bồi thường cho khách hàng (liên quan đến quá trình giải quyết bồi thường bảo hiểm) </w:t>
            </w:r>
          </w:p>
          <w:p w:rsidR="002D5C6C" w:rsidRPr="00E749AE" w:rsidRDefault="00D1661C" w:rsidP="002D5C6C">
            <w:pPr>
              <w:spacing w:before="40" w:after="40" w:line="34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w:t>
            </w:r>
            <w:r w:rsidR="002D5C6C" w:rsidRPr="00E749AE">
              <w:rPr>
                <w:rFonts w:ascii="Times New Roman" w:eastAsia="Times New Roman" w:hAnsi="Times New Roman" w:cs="Times New Roman"/>
                <w:color w:val="auto"/>
                <w:sz w:val="28"/>
                <w:szCs w:val="28"/>
              </w:rPr>
              <w:t xml:space="preserve"> Đề xuất </w:t>
            </w:r>
            <w:r w:rsidRPr="00E749AE">
              <w:rPr>
                <w:rFonts w:ascii="Times New Roman" w:eastAsia="Times New Roman" w:hAnsi="Times New Roman" w:cs="Times New Roman"/>
                <w:color w:val="auto"/>
                <w:sz w:val="28"/>
                <w:szCs w:val="28"/>
              </w:rPr>
              <w:t xml:space="preserve">đơn vị </w:t>
            </w:r>
            <w:r w:rsidR="002D5C6C" w:rsidRPr="00E749AE">
              <w:rPr>
                <w:rFonts w:ascii="Times New Roman" w:eastAsia="Times New Roman" w:hAnsi="Times New Roman" w:cs="Times New Roman"/>
                <w:color w:val="auto"/>
                <w:sz w:val="28"/>
                <w:szCs w:val="28"/>
              </w:rPr>
              <w:t xml:space="preserve">giám định độc lập </w:t>
            </w:r>
            <w:r w:rsidRPr="00E749AE">
              <w:rPr>
                <w:rFonts w:ascii="Times New Roman" w:eastAsia="Times New Roman" w:hAnsi="Times New Roman" w:cs="Times New Roman"/>
                <w:color w:val="auto"/>
                <w:sz w:val="28"/>
                <w:szCs w:val="28"/>
              </w:rPr>
              <w:t xml:space="preserve">theo quy định, </w:t>
            </w:r>
            <w:r w:rsidR="002D5C6C" w:rsidRPr="00E749AE">
              <w:rPr>
                <w:rFonts w:ascii="Times New Roman" w:eastAsia="Times New Roman" w:hAnsi="Times New Roman" w:cs="Times New Roman"/>
                <w:color w:val="auto"/>
                <w:sz w:val="28"/>
                <w:szCs w:val="28"/>
              </w:rPr>
              <w:t>có uy tín, đủ năng lực</w:t>
            </w:r>
            <w:r w:rsidR="00652555" w:rsidRPr="00E749AE">
              <w:rPr>
                <w:rFonts w:ascii="Times New Roman" w:eastAsia="Times New Roman" w:hAnsi="Times New Roman" w:cs="Times New Roman"/>
                <w:color w:val="auto"/>
                <w:sz w:val="28"/>
                <w:szCs w:val="28"/>
              </w:rPr>
              <w:t>.</w:t>
            </w:r>
            <w:r w:rsidR="002D5C6C" w:rsidRPr="00E749AE">
              <w:rPr>
                <w:rFonts w:ascii="Times New Roman" w:eastAsia="Times New Roman" w:hAnsi="Times New Roman" w:cs="Times New Roman"/>
                <w:color w:val="auto"/>
                <w:sz w:val="28"/>
                <w:szCs w:val="28"/>
              </w:rPr>
              <w:t xml:space="preserve"> </w:t>
            </w:r>
          </w:p>
          <w:p w:rsidR="005B7D6B" w:rsidRPr="00E749AE" w:rsidRDefault="002D5C6C" w:rsidP="002D5C6C">
            <w:pPr>
              <w:spacing w:before="40" w:after="40" w:line="34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 Trình bày thời gian giải quyết bồi thường: chi tiết từng mốc thời gian cho từng công việc/nhiệm vụ. Tổng thời gian giải quyết bồi thường kể từ ngày nhận được hồ sơ đề nghị bồi thường đầy đủ và hợp lệ không quá 30 ngày.</w:t>
            </w:r>
          </w:p>
        </w:tc>
        <w:tc>
          <w:tcPr>
            <w:tcW w:w="549" w:type="pct"/>
            <w:vAlign w:val="center"/>
          </w:tcPr>
          <w:p w:rsidR="005B7D6B" w:rsidRPr="00E749AE" w:rsidRDefault="005B7D6B" w:rsidP="00652555">
            <w:pPr>
              <w:spacing w:before="40" w:after="40" w:line="34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Đạt</w:t>
            </w:r>
          </w:p>
        </w:tc>
      </w:tr>
      <w:tr w:rsidR="00E749AE" w:rsidRPr="00E749AE" w:rsidTr="00652555">
        <w:trPr>
          <w:trHeight w:val="1400"/>
          <w:jc w:val="center"/>
        </w:trPr>
        <w:tc>
          <w:tcPr>
            <w:tcW w:w="2045" w:type="pct"/>
            <w:vMerge/>
            <w:vAlign w:val="center"/>
          </w:tcPr>
          <w:p w:rsidR="005B7D6B" w:rsidRPr="00E749AE" w:rsidRDefault="005B7D6B" w:rsidP="00652555">
            <w:pPr>
              <w:spacing w:before="40" w:after="40" w:line="340" w:lineRule="exact"/>
              <w:jc w:val="both"/>
              <w:rPr>
                <w:rFonts w:ascii="Times New Roman" w:eastAsia="Times New Roman" w:hAnsi="Times New Roman" w:cs="Times New Roman"/>
                <w:color w:val="auto"/>
                <w:sz w:val="28"/>
                <w:szCs w:val="28"/>
              </w:rPr>
            </w:pPr>
          </w:p>
        </w:tc>
        <w:tc>
          <w:tcPr>
            <w:tcW w:w="2406" w:type="pct"/>
            <w:vAlign w:val="center"/>
          </w:tcPr>
          <w:p w:rsidR="005B7D6B" w:rsidRPr="00E749AE" w:rsidRDefault="005B7D6B" w:rsidP="00652555">
            <w:pPr>
              <w:spacing w:before="40" w:after="40" w:line="34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 xml:space="preserve">- </w:t>
            </w:r>
            <w:r w:rsidR="002D5C6C" w:rsidRPr="00E749AE">
              <w:rPr>
                <w:rFonts w:ascii="Times New Roman" w:eastAsia="Times New Roman" w:hAnsi="Times New Roman" w:cs="Times New Roman"/>
                <w:color w:val="auto"/>
                <w:sz w:val="28"/>
                <w:szCs w:val="28"/>
              </w:rPr>
              <w:t>Không trình bày</w:t>
            </w:r>
            <w:r w:rsidR="00133E2B" w:rsidRPr="00E749AE">
              <w:rPr>
                <w:rFonts w:ascii="Times New Roman" w:eastAsia="Times New Roman" w:hAnsi="Times New Roman" w:cs="Times New Roman"/>
                <w:color w:val="auto"/>
                <w:sz w:val="28"/>
                <w:szCs w:val="28"/>
              </w:rPr>
              <w:t xml:space="preserve"> hoặc có nhưng </w:t>
            </w:r>
            <w:r w:rsidR="002D5C6C" w:rsidRPr="00E749AE">
              <w:rPr>
                <w:rFonts w:ascii="Times New Roman" w:eastAsia="Times New Roman" w:hAnsi="Times New Roman" w:cs="Times New Roman"/>
                <w:color w:val="auto"/>
                <w:sz w:val="28"/>
                <w:szCs w:val="28"/>
              </w:rPr>
              <w:t xml:space="preserve">không </w:t>
            </w:r>
            <w:r w:rsidR="00652555" w:rsidRPr="00E749AE">
              <w:rPr>
                <w:rFonts w:ascii="Times New Roman" w:eastAsia="Times New Roman" w:hAnsi="Times New Roman" w:cs="Times New Roman"/>
                <w:color w:val="auto"/>
                <w:sz w:val="28"/>
                <w:szCs w:val="28"/>
              </w:rPr>
              <w:t>phù hợp</w:t>
            </w:r>
            <w:r w:rsidR="002D5C6C" w:rsidRPr="00E749AE">
              <w:rPr>
                <w:rFonts w:ascii="Times New Roman" w:eastAsia="Times New Roman" w:hAnsi="Times New Roman" w:cs="Times New Roman"/>
                <w:color w:val="auto"/>
                <w:sz w:val="28"/>
                <w:szCs w:val="28"/>
              </w:rPr>
              <w:t xml:space="preserve"> các nội dung liên quan đến quá trình giải quyết bồi thường bảo hiểm</w:t>
            </w:r>
            <w:r w:rsidRPr="00E749AE">
              <w:rPr>
                <w:rFonts w:ascii="Times New Roman" w:eastAsia="Times New Roman" w:hAnsi="Times New Roman" w:cs="Times New Roman"/>
                <w:color w:val="auto"/>
                <w:sz w:val="28"/>
                <w:szCs w:val="28"/>
              </w:rPr>
              <w:t>.</w:t>
            </w:r>
          </w:p>
        </w:tc>
        <w:tc>
          <w:tcPr>
            <w:tcW w:w="549" w:type="pct"/>
            <w:vAlign w:val="center"/>
          </w:tcPr>
          <w:p w:rsidR="005B7D6B" w:rsidRPr="00E749AE" w:rsidRDefault="005B7D6B" w:rsidP="00652555">
            <w:pPr>
              <w:spacing w:before="40" w:after="40" w:line="34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Không đạt</w:t>
            </w:r>
          </w:p>
        </w:tc>
      </w:tr>
    </w:tbl>
    <w:p w:rsidR="005B7D6B" w:rsidRPr="00E749AE" w:rsidRDefault="003B6616" w:rsidP="001F2D8C">
      <w:pPr>
        <w:spacing w:before="120" w:after="120" w:line="340" w:lineRule="exact"/>
        <w:rPr>
          <w:rFonts w:ascii="Times New Roman" w:hAnsi="Times New Roman" w:cs="Times New Roman"/>
          <w:b/>
          <w:color w:val="auto"/>
          <w:sz w:val="26"/>
          <w:szCs w:val="26"/>
        </w:rPr>
      </w:pPr>
      <w:r w:rsidRPr="00E749AE">
        <w:rPr>
          <w:rFonts w:ascii="Times New Roman" w:hAnsi="Times New Roman" w:cs="Times New Roman"/>
          <w:b/>
          <w:color w:val="auto"/>
          <w:sz w:val="26"/>
          <w:szCs w:val="26"/>
        </w:rPr>
        <w:t xml:space="preserve">5. </w:t>
      </w:r>
      <w:r w:rsidR="00133E2B" w:rsidRPr="00E749AE">
        <w:rPr>
          <w:rFonts w:ascii="Times New Roman" w:hAnsi="Times New Roman" w:cs="Times New Roman"/>
          <w:b/>
          <w:color w:val="auto"/>
          <w:sz w:val="26"/>
          <w:szCs w:val="26"/>
        </w:rPr>
        <w:t>Mức độ đáp ứng các yêu cầu về tiêu chuẩn thực hiện dịch vụ.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9"/>
        <w:gridCol w:w="5911"/>
        <w:gridCol w:w="1051"/>
      </w:tblGrid>
      <w:tr w:rsidR="00E749AE" w:rsidRPr="00E749AE" w:rsidTr="001F2D8C">
        <w:trPr>
          <w:trHeight w:val="315"/>
          <w:tblHeader/>
          <w:jc w:val="center"/>
        </w:trPr>
        <w:tc>
          <w:tcPr>
            <w:tcW w:w="1363" w:type="pct"/>
            <w:tcBorders>
              <w:top w:val="single" w:sz="4" w:space="0" w:color="auto"/>
            </w:tcBorders>
            <w:vAlign w:val="center"/>
          </w:tcPr>
          <w:p w:rsidR="001F2D8C" w:rsidRPr="00E749AE" w:rsidRDefault="001F2D8C" w:rsidP="00652555">
            <w:pPr>
              <w:spacing w:before="40" w:after="40" w:line="34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Nội dung yêu cầu</w:t>
            </w:r>
          </w:p>
        </w:tc>
        <w:tc>
          <w:tcPr>
            <w:tcW w:w="3637" w:type="pct"/>
            <w:gridSpan w:val="2"/>
            <w:tcBorders>
              <w:top w:val="single" w:sz="4" w:space="0" w:color="auto"/>
            </w:tcBorders>
            <w:vAlign w:val="center"/>
          </w:tcPr>
          <w:p w:rsidR="001F2D8C" w:rsidRPr="00E749AE" w:rsidRDefault="001F2D8C" w:rsidP="00652555">
            <w:pPr>
              <w:spacing w:before="40" w:after="40" w:line="34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Mức độ đáp ứng</w:t>
            </w:r>
          </w:p>
        </w:tc>
      </w:tr>
      <w:tr w:rsidR="00E749AE" w:rsidRPr="00E749AE" w:rsidTr="001F2D8C">
        <w:trPr>
          <w:trHeight w:val="630"/>
          <w:jc w:val="center"/>
        </w:trPr>
        <w:tc>
          <w:tcPr>
            <w:tcW w:w="1363" w:type="pct"/>
            <w:vMerge w:val="restart"/>
            <w:vAlign w:val="center"/>
          </w:tcPr>
          <w:p w:rsidR="001F2D8C" w:rsidRPr="00E749AE" w:rsidRDefault="001F2D8C" w:rsidP="00652555">
            <w:pPr>
              <w:spacing w:before="40" w:after="40" w:line="340" w:lineRule="exact"/>
              <w:jc w:val="both"/>
              <w:rPr>
                <w:rFonts w:ascii="Times New Roman" w:eastAsia="Times New Roman" w:hAnsi="Times New Roman" w:cs="Times New Roman"/>
                <w:color w:val="auto"/>
                <w:sz w:val="28"/>
                <w:szCs w:val="28"/>
              </w:rPr>
            </w:pPr>
            <w:r w:rsidRPr="00E749AE">
              <w:rPr>
                <w:rFonts w:ascii="Times New Roman" w:hAnsi="Times New Roman" w:cs="Times New Roman"/>
                <w:color w:val="auto"/>
                <w:sz w:val="26"/>
                <w:szCs w:val="26"/>
              </w:rPr>
              <w:t>Mức độ đáp ứng các yêu cầu về tiêu chuẩn thực hiện dịch vụ</w:t>
            </w:r>
          </w:p>
        </w:tc>
        <w:tc>
          <w:tcPr>
            <w:tcW w:w="3088" w:type="pct"/>
            <w:vAlign w:val="center"/>
          </w:tcPr>
          <w:p w:rsidR="001F2D8C" w:rsidRPr="00E749AE" w:rsidRDefault="001F2D8C" w:rsidP="00652555">
            <w:pPr>
              <w:spacing w:before="40" w:after="40" w:line="340" w:lineRule="exact"/>
              <w:jc w:val="both"/>
              <w:rPr>
                <w:rFonts w:ascii="Times New Roman" w:eastAsia="Times New Roman" w:hAnsi="Times New Roman" w:cs="Times New Roman"/>
                <w:i/>
                <w:color w:val="auto"/>
                <w:sz w:val="28"/>
                <w:szCs w:val="28"/>
              </w:rPr>
            </w:pPr>
            <w:r w:rsidRPr="00E749AE">
              <w:rPr>
                <w:rFonts w:ascii="Times New Roman" w:eastAsia="Times New Roman" w:hAnsi="Times New Roman" w:cs="Times New Roman"/>
                <w:i/>
                <w:color w:val="auto"/>
                <w:sz w:val="28"/>
                <w:szCs w:val="28"/>
              </w:rPr>
              <w:t>Đáp ứng tất cả các tiêu chí nêu dưới đây thì được đánh giá là Đạt</w:t>
            </w:r>
          </w:p>
          <w:p w:rsidR="001F2D8C" w:rsidRPr="00E749AE" w:rsidRDefault="001F2D8C" w:rsidP="001F2D8C">
            <w:pPr>
              <w:spacing w:before="40" w:after="40" w:line="34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 xml:space="preserve">Nhà thầu phải đề xuất chương trình thu xếp toàn bộ 100% số tiền bảo hiểm/mức trách nhiệm của gói thầu theo yêu cầu của E-HSMT, cụ thể: </w:t>
            </w:r>
          </w:p>
          <w:p w:rsidR="001F2D8C" w:rsidRPr="00E749AE" w:rsidRDefault="001F2D8C" w:rsidP="001F2D8C">
            <w:pPr>
              <w:spacing w:before="40" w:after="40" w:line="34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 xml:space="preserve">Chương trình thu xếp bảo hiểm phải thể hiện đầy đủ: Mức giữ lại và thu xếp tái bảo hiểm theo quy định luật kinh doanh bảo hiểm hiện hành. Chương trình thu xếp bảo hiểm phải nêu rõ: </w:t>
            </w:r>
          </w:p>
          <w:p w:rsidR="001F2D8C" w:rsidRPr="00E749AE" w:rsidRDefault="001F2D8C" w:rsidP="001F2D8C">
            <w:pPr>
              <w:spacing w:before="40" w:after="40" w:line="34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 xml:space="preserve">- </w:t>
            </w:r>
            <w:r w:rsidR="00D1661C" w:rsidRPr="00E749AE">
              <w:rPr>
                <w:rFonts w:ascii="Times New Roman" w:eastAsia="Times New Roman" w:hAnsi="Times New Roman" w:cs="Times New Roman"/>
                <w:color w:val="auto"/>
                <w:sz w:val="28"/>
                <w:szCs w:val="28"/>
              </w:rPr>
              <w:t xml:space="preserve">Đề xuất </w:t>
            </w:r>
            <w:r w:rsidR="00A705E9" w:rsidRPr="00E749AE">
              <w:rPr>
                <w:rFonts w:ascii="Times New Roman" w:eastAsia="Times New Roman" w:hAnsi="Times New Roman" w:cs="Times New Roman"/>
                <w:color w:val="auto"/>
                <w:sz w:val="28"/>
                <w:szCs w:val="28"/>
              </w:rPr>
              <w:t xml:space="preserve">cụ thể </w:t>
            </w:r>
            <w:r w:rsidR="00D1661C" w:rsidRPr="00E749AE">
              <w:rPr>
                <w:rFonts w:ascii="Times New Roman" w:eastAsia="Times New Roman" w:hAnsi="Times New Roman" w:cs="Times New Roman"/>
                <w:color w:val="auto"/>
                <w:sz w:val="28"/>
                <w:szCs w:val="28"/>
              </w:rPr>
              <w:t>đơn vị tái bảo hiểm</w:t>
            </w:r>
            <w:r w:rsidRPr="00E749AE">
              <w:rPr>
                <w:rFonts w:ascii="Times New Roman" w:eastAsia="Times New Roman" w:hAnsi="Times New Roman" w:cs="Times New Roman"/>
                <w:color w:val="auto"/>
                <w:sz w:val="28"/>
                <w:szCs w:val="28"/>
              </w:rPr>
              <w:t xml:space="preserve"> và tỉ lệ từng nhà tái bảo hiểm, tỷ lệ giữ lại của nhà thầu. </w:t>
            </w:r>
          </w:p>
          <w:p w:rsidR="001F2D8C" w:rsidRPr="00E749AE" w:rsidRDefault="001F2D8C" w:rsidP="001F2D8C">
            <w:pPr>
              <w:spacing w:before="40" w:after="40" w:line="34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 Nêu rõ tên của nhà tái bảo hiểm</w:t>
            </w:r>
            <w:r w:rsidR="00A705E9" w:rsidRPr="00E749AE">
              <w:rPr>
                <w:rFonts w:ascii="Times New Roman" w:eastAsia="Times New Roman" w:hAnsi="Times New Roman" w:cs="Times New Roman"/>
                <w:color w:val="auto"/>
                <w:sz w:val="28"/>
                <w:szCs w:val="28"/>
              </w:rPr>
              <w:t>, cụ thể:</w:t>
            </w:r>
            <w:r w:rsidRPr="00E749AE">
              <w:rPr>
                <w:rFonts w:ascii="Times New Roman" w:eastAsia="Times New Roman" w:hAnsi="Times New Roman" w:cs="Times New Roman"/>
                <w:color w:val="auto"/>
                <w:sz w:val="28"/>
                <w:szCs w:val="28"/>
              </w:rPr>
              <w:t xml:space="preserve">  </w:t>
            </w:r>
          </w:p>
          <w:p w:rsidR="001F2D8C" w:rsidRPr="00E749AE" w:rsidRDefault="001F2D8C" w:rsidP="001F2D8C">
            <w:pPr>
              <w:spacing w:before="40" w:after="40" w:line="34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lastRenderedPageBreak/>
              <w:t xml:space="preserve">+ Trường hợp nhà thầu sử dụng tái cố định: Nhà thầu cung cấp xác nhận Hợp đồng tái bảo hiểm cố định hàng năm; </w:t>
            </w:r>
          </w:p>
          <w:p w:rsidR="001F2D8C" w:rsidRPr="00E749AE" w:rsidRDefault="001F2D8C" w:rsidP="00513E7D">
            <w:pPr>
              <w:spacing w:before="40" w:after="40" w:line="34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 xml:space="preserve">+ Trường hợp nhà thầu sử dụng tái tạm thời: Nhà thầu cung cấp bản xác nhận của doanh nghiệp tái bảo hiểm cho gói thầu;  </w:t>
            </w:r>
          </w:p>
        </w:tc>
        <w:tc>
          <w:tcPr>
            <w:tcW w:w="549" w:type="pct"/>
            <w:vAlign w:val="center"/>
          </w:tcPr>
          <w:p w:rsidR="001F2D8C" w:rsidRPr="00E749AE" w:rsidRDefault="001F2D8C" w:rsidP="00652555">
            <w:pPr>
              <w:spacing w:before="40" w:after="40" w:line="34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lastRenderedPageBreak/>
              <w:t>Đạt</w:t>
            </w:r>
          </w:p>
        </w:tc>
      </w:tr>
      <w:tr w:rsidR="00E749AE" w:rsidRPr="00E749AE" w:rsidTr="001F2D8C">
        <w:trPr>
          <w:trHeight w:val="1400"/>
          <w:jc w:val="center"/>
        </w:trPr>
        <w:tc>
          <w:tcPr>
            <w:tcW w:w="1363" w:type="pct"/>
            <w:vMerge/>
            <w:vAlign w:val="center"/>
          </w:tcPr>
          <w:p w:rsidR="001F2D8C" w:rsidRPr="00E749AE" w:rsidRDefault="001F2D8C" w:rsidP="00652555">
            <w:pPr>
              <w:spacing w:before="40" w:after="40" w:line="340" w:lineRule="exact"/>
              <w:jc w:val="both"/>
              <w:rPr>
                <w:rFonts w:ascii="Times New Roman" w:eastAsia="Times New Roman" w:hAnsi="Times New Roman" w:cs="Times New Roman"/>
                <w:color w:val="auto"/>
                <w:sz w:val="28"/>
                <w:szCs w:val="28"/>
              </w:rPr>
            </w:pPr>
          </w:p>
        </w:tc>
        <w:tc>
          <w:tcPr>
            <w:tcW w:w="3088" w:type="pct"/>
            <w:vAlign w:val="center"/>
          </w:tcPr>
          <w:p w:rsidR="001F2D8C" w:rsidRPr="00E749AE" w:rsidRDefault="001F2D8C" w:rsidP="00652555">
            <w:pPr>
              <w:spacing w:before="40" w:after="40" w:line="34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 Không đề xuất hoặc có nhưng không phù hợp với yêu cầu.</w:t>
            </w:r>
          </w:p>
        </w:tc>
        <w:tc>
          <w:tcPr>
            <w:tcW w:w="549" w:type="pct"/>
            <w:vAlign w:val="center"/>
          </w:tcPr>
          <w:p w:rsidR="001F2D8C" w:rsidRPr="00E749AE" w:rsidRDefault="001F2D8C" w:rsidP="00652555">
            <w:pPr>
              <w:spacing w:before="40" w:after="40" w:line="34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Không đạt</w:t>
            </w:r>
          </w:p>
        </w:tc>
      </w:tr>
    </w:tbl>
    <w:p w:rsidR="00133E2B" w:rsidRPr="00E749AE" w:rsidRDefault="00360C88" w:rsidP="00555627">
      <w:pPr>
        <w:spacing w:before="120" w:after="120" w:line="340" w:lineRule="exact"/>
        <w:rPr>
          <w:rFonts w:ascii="Times New Roman" w:hAnsi="Times New Roman" w:cs="Times New Roman"/>
          <w:b/>
          <w:color w:val="auto"/>
          <w:sz w:val="26"/>
          <w:szCs w:val="26"/>
        </w:rPr>
      </w:pPr>
      <w:r w:rsidRPr="00E749AE">
        <w:rPr>
          <w:rFonts w:ascii="Times New Roman" w:hAnsi="Times New Roman" w:cs="Times New Roman"/>
          <w:b/>
          <w:color w:val="auto"/>
          <w:sz w:val="26"/>
          <w:szCs w:val="26"/>
        </w:rPr>
        <w:t>6.</w:t>
      </w:r>
      <w:r w:rsidR="00555627" w:rsidRPr="00E749AE">
        <w:rPr>
          <w:b/>
          <w:color w:val="auto"/>
        </w:rPr>
        <w:t xml:space="preserve"> </w:t>
      </w:r>
      <w:r w:rsidR="00555627" w:rsidRPr="00E749AE">
        <w:rPr>
          <w:rFonts w:ascii="Times New Roman" w:hAnsi="Times New Roman" w:cs="Times New Roman"/>
          <w:b/>
          <w:color w:val="auto"/>
          <w:sz w:val="26"/>
          <w:szCs w:val="26"/>
        </w:rPr>
        <w:t>Thông tin về kết quả thực hiện hợp đồng của nhà thầu theo quy định tại Điều 19 và Điều 20 của Nghị định số 214/2025/NĐ-CP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9"/>
        <w:gridCol w:w="5911"/>
        <w:gridCol w:w="1051"/>
      </w:tblGrid>
      <w:tr w:rsidR="00E749AE" w:rsidRPr="00E749AE" w:rsidTr="00A22F40">
        <w:trPr>
          <w:trHeight w:val="315"/>
          <w:tblHeader/>
          <w:jc w:val="center"/>
        </w:trPr>
        <w:tc>
          <w:tcPr>
            <w:tcW w:w="1363" w:type="pct"/>
            <w:tcBorders>
              <w:top w:val="single" w:sz="4" w:space="0" w:color="auto"/>
            </w:tcBorders>
            <w:vAlign w:val="center"/>
          </w:tcPr>
          <w:p w:rsidR="00555627" w:rsidRPr="00E749AE" w:rsidRDefault="00555627" w:rsidP="00652555">
            <w:pPr>
              <w:spacing w:before="40" w:after="40" w:line="340" w:lineRule="exact"/>
              <w:jc w:val="center"/>
              <w:rPr>
                <w:rFonts w:ascii="Times New Roman" w:eastAsia="Times New Roman" w:hAnsi="Times New Roman" w:cs="Times New Roman"/>
                <w:b/>
                <w:bCs/>
                <w:color w:val="auto"/>
                <w:sz w:val="26"/>
                <w:szCs w:val="26"/>
              </w:rPr>
            </w:pPr>
            <w:r w:rsidRPr="00E749AE">
              <w:rPr>
                <w:rFonts w:ascii="Times New Roman" w:eastAsia="Times New Roman" w:hAnsi="Times New Roman" w:cs="Times New Roman"/>
                <w:b/>
                <w:bCs/>
                <w:color w:val="auto"/>
                <w:sz w:val="26"/>
                <w:szCs w:val="26"/>
              </w:rPr>
              <w:t>Nội dung yêu cầu</w:t>
            </w:r>
          </w:p>
        </w:tc>
        <w:tc>
          <w:tcPr>
            <w:tcW w:w="3637" w:type="pct"/>
            <w:gridSpan w:val="2"/>
            <w:tcBorders>
              <w:top w:val="single" w:sz="4" w:space="0" w:color="auto"/>
            </w:tcBorders>
            <w:vAlign w:val="center"/>
          </w:tcPr>
          <w:p w:rsidR="00555627" w:rsidRPr="00E749AE" w:rsidRDefault="00555627" w:rsidP="00652555">
            <w:pPr>
              <w:spacing w:before="40" w:after="40" w:line="340" w:lineRule="exact"/>
              <w:jc w:val="center"/>
              <w:rPr>
                <w:rFonts w:ascii="Times New Roman" w:eastAsia="Times New Roman" w:hAnsi="Times New Roman" w:cs="Times New Roman"/>
                <w:b/>
                <w:bCs/>
                <w:color w:val="auto"/>
                <w:sz w:val="26"/>
                <w:szCs w:val="26"/>
              </w:rPr>
            </w:pPr>
            <w:r w:rsidRPr="00E749AE">
              <w:rPr>
                <w:rFonts w:ascii="Times New Roman" w:eastAsia="Times New Roman" w:hAnsi="Times New Roman" w:cs="Times New Roman"/>
                <w:b/>
                <w:bCs/>
                <w:color w:val="auto"/>
                <w:sz w:val="26"/>
                <w:szCs w:val="26"/>
              </w:rPr>
              <w:t>Mức độ đáp ứng</w:t>
            </w:r>
          </w:p>
        </w:tc>
      </w:tr>
      <w:tr w:rsidR="00E749AE" w:rsidRPr="00E749AE" w:rsidTr="00A22F40">
        <w:trPr>
          <w:trHeight w:val="630"/>
          <w:jc w:val="center"/>
        </w:trPr>
        <w:tc>
          <w:tcPr>
            <w:tcW w:w="1363" w:type="pct"/>
            <w:vMerge w:val="restart"/>
            <w:vAlign w:val="center"/>
          </w:tcPr>
          <w:p w:rsidR="00A22F40" w:rsidRPr="00E749AE" w:rsidRDefault="00A22F40" w:rsidP="00652555">
            <w:pPr>
              <w:spacing w:before="40" w:after="40" w:line="340" w:lineRule="exact"/>
              <w:jc w:val="both"/>
              <w:rPr>
                <w:rFonts w:ascii="Times New Roman" w:eastAsia="Times New Roman" w:hAnsi="Times New Roman" w:cs="Times New Roman"/>
                <w:color w:val="auto"/>
                <w:sz w:val="26"/>
                <w:szCs w:val="26"/>
              </w:rPr>
            </w:pPr>
            <w:r w:rsidRPr="00E749AE">
              <w:rPr>
                <w:rFonts w:ascii="Times New Roman" w:hAnsi="Times New Roman" w:cs="Times New Roman"/>
                <w:color w:val="auto"/>
                <w:sz w:val="26"/>
                <w:szCs w:val="26"/>
              </w:rPr>
              <w:t>Thông tin về kết quả thực hiện hợp đồng của nhà thầu theo quy định tại Điều 19 và Điều 20 của Nghị định số 214/2025/NĐ-CP</w:t>
            </w:r>
          </w:p>
        </w:tc>
        <w:tc>
          <w:tcPr>
            <w:tcW w:w="3088" w:type="pct"/>
            <w:vAlign w:val="center"/>
          </w:tcPr>
          <w:p w:rsidR="00A22F40" w:rsidRPr="00E749AE" w:rsidRDefault="00A22F40" w:rsidP="00737BC5">
            <w:pPr>
              <w:spacing w:before="40" w:after="40" w:line="340" w:lineRule="exact"/>
              <w:jc w:val="both"/>
              <w:rPr>
                <w:rFonts w:ascii="Times New Roman" w:eastAsia="Times New Roman" w:hAnsi="Times New Roman" w:cs="Times New Roman"/>
                <w:color w:val="auto"/>
                <w:sz w:val="26"/>
                <w:szCs w:val="26"/>
              </w:rPr>
            </w:pPr>
            <w:r w:rsidRPr="00E749AE">
              <w:rPr>
                <w:rFonts w:ascii="Times New Roman" w:eastAsia="Times New Roman" w:hAnsi="Times New Roman" w:cs="Times New Roman"/>
                <w:color w:val="auto"/>
                <w:sz w:val="26"/>
                <w:szCs w:val="26"/>
              </w:rPr>
              <w:t>Nhà thầu phải có cam kết không bị kết luận vi phạm về kết quả thực hiện hợp đồng của nhà thầu theo quy định tại Điều 19 và Điều 20 của Nghị định số 214/2025/NĐ-CP</w:t>
            </w:r>
          </w:p>
        </w:tc>
        <w:tc>
          <w:tcPr>
            <w:tcW w:w="549" w:type="pct"/>
            <w:vAlign w:val="center"/>
          </w:tcPr>
          <w:p w:rsidR="00A22F40" w:rsidRPr="00E749AE" w:rsidRDefault="00A22F40" w:rsidP="00652555">
            <w:pPr>
              <w:spacing w:before="40" w:after="40" w:line="340" w:lineRule="exact"/>
              <w:jc w:val="center"/>
              <w:rPr>
                <w:rFonts w:ascii="Times New Roman" w:eastAsia="Times New Roman" w:hAnsi="Times New Roman" w:cs="Times New Roman"/>
                <w:b/>
                <w:bCs/>
                <w:color w:val="auto"/>
                <w:sz w:val="26"/>
                <w:szCs w:val="26"/>
              </w:rPr>
            </w:pPr>
            <w:r w:rsidRPr="00E749AE">
              <w:rPr>
                <w:rFonts w:ascii="Times New Roman" w:eastAsia="Times New Roman" w:hAnsi="Times New Roman" w:cs="Times New Roman"/>
                <w:b/>
                <w:bCs/>
                <w:color w:val="auto"/>
                <w:sz w:val="26"/>
                <w:szCs w:val="26"/>
              </w:rPr>
              <w:t>Đạt</w:t>
            </w:r>
          </w:p>
        </w:tc>
      </w:tr>
      <w:tr w:rsidR="00E749AE" w:rsidRPr="00E749AE" w:rsidTr="00A22F40">
        <w:trPr>
          <w:trHeight w:val="1400"/>
          <w:jc w:val="center"/>
        </w:trPr>
        <w:tc>
          <w:tcPr>
            <w:tcW w:w="1363" w:type="pct"/>
            <w:vMerge/>
            <w:vAlign w:val="center"/>
          </w:tcPr>
          <w:p w:rsidR="00A22F40" w:rsidRPr="00E749AE" w:rsidRDefault="00A22F40" w:rsidP="00A22F40">
            <w:pPr>
              <w:spacing w:before="40" w:after="40" w:line="340" w:lineRule="exact"/>
              <w:jc w:val="both"/>
              <w:rPr>
                <w:rFonts w:ascii="Times New Roman" w:eastAsia="Times New Roman" w:hAnsi="Times New Roman" w:cs="Times New Roman"/>
                <w:color w:val="auto"/>
                <w:sz w:val="26"/>
                <w:szCs w:val="26"/>
              </w:rPr>
            </w:pPr>
          </w:p>
        </w:tc>
        <w:tc>
          <w:tcPr>
            <w:tcW w:w="3088" w:type="pct"/>
          </w:tcPr>
          <w:p w:rsidR="00A22F40" w:rsidRPr="00E749AE" w:rsidRDefault="00A22F40" w:rsidP="00A22F40">
            <w:pPr>
              <w:jc w:val="both"/>
              <w:rPr>
                <w:rFonts w:ascii="Times New Roman" w:hAnsi="Times New Roman" w:cs="Times New Roman"/>
                <w:color w:val="auto"/>
                <w:sz w:val="26"/>
                <w:szCs w:val="26"/>
              </w:rPr>
            </w:pPr>
            <w:r w:rsidRPr="00E749AE">
              <w:rPr>
                <w:rFonts w:ascii="Times New Roman" w:hAnsi="Times New Roman" w:cs="Times New Roman"/>
                <w:color w:val="auto"/>
                <w:sz w:val="26"/>
                <w:szCs w:val="26"/>
              </w:rPr>
              <w:t>Đối với nhà thầu có tên trong danh sách nhà thầu có các hành vi quy định tại khoản 1 Điều 20 của Nghị định số 214/2025/NĐ-CP ngày 04/8/2025 và được đăng tải trên Hệ thống mạng đấu thầu quốc gia đã thực hiện biện pháp bảo đảm dự thầu với giá trị gấp 03 lần giá trị yêu cầu trong E- HSMT trong thời hạn 02 năm kể từ lần cuối cùng thực hiện các hành vi này. Trường hợp nhà thầu liên danh, thành viên liên danh có các hành vi quy định tại khoản 1 Điều 20 của Nghị định số 214/2025/NĐ-CP ngày 04/8/2025 như nêu đã thực hiện biện pháp bảo đảm dự thầu với giá trị gấp 03 làn giá trị bảo đảm dự thầu tương ứng với tỷ lệ giá trị công việc thành viên đó đảm nhận trong liên danh trong thời hạn 02 năm kể từ lần cuối cùng thực hiện hành vi này.</w:t>
            </w:r>
          </w:p>
        </w:tc>
        <w:tc>
          <w:tcPr>
            <w:tcW w:w="549" w:type="pct"/>
            <w:vAlign w:val="center"/>
          </w:tcPr>
          <w:p w:rsidR="00A22F40" w:rsidRPr="00E749AE" w:rsidRDefault="00A22F40" w:rsidP="00A22F40">
            <w:pPr>
              <w:spacing w:before="40" w:after="40" w:line="340" w:lineRule="exact"/>
              <w:jc w:val="center"/>
              <w:rPr>
                <w:rFonts w:ascii="Times New Roman" w:eastAsia="Times New Roman" w:hAnsi="Times New Roman" w:cs="Times New Roman"/>
                <w:b/>
                <w:bCs/>
                <w:color w:val="auto"/>
                <w:sz w:val="26"/>
                <w:szCs w:val="26"/>
              </w:rPr>
            </w:pPr>
            <w:r w:rsidRPr="00E749AE">
              <w:rPr>
                <w:rFonts w:ascii="Times New Roman" w:eastAsia="Times New Roman" w:hAnsi="Times New Roman" w:cs="Times New Roman"/>
                <w:b/>
                <w:bCs/>
                <w:color w:val="auto"/>
                <w:sz w:val="26"/>
                <w:szCs w:val="26"/>
              </w:rPr>
              <w:t>Chấp nhận được</w:t>
            </w:r>
          </w:p>
        </w:tc>
      </w:tr>
      <w:tr w:rsidR="00E749AE" w:rsidRPr="00E749AE" w:rsidTr="00A22F40">
        <w:trPr>
          <w:trHeight w:val="1400"/>
          <w:jc w:val="center"/>
        </w:trPr>
        <w:tc>
          <w:tcPr>
            <w:tcW w:w="1363" w:type="pct"/>
            <w:vMerge/>
            <w:vAlign w:val="center"/>
          </w:tcPr>
          <w:p w:rsidR="00A22F40" w:rsidRPr="00E749AE" w:rsidRDefault="00A22F40" w:rsidP="00A22F40">
            <w:pPr>
              <w:spacing w:before="40" w:after="40" w:line="340" w:lineRule="exact"/>
              <w:jc w:val="both"/>
              <w:rPr>
                <w:rFonts w:ascii="Times New Roman" w:eastAsia="Times New Roman" w:hAnsi="Times New Roman" w:cs="Times New Roman"/>
                <w:color w:val="auto"/>
                <w:sz w:val="26"/>
                <w:szCs w:val="26"/>
              </w:rPr>
            </w:pPr>
          </w:p>
        </w:tc>
        <w:tc>
          <w:tcPr>
            <w:tcW w:w="3088" w:type="pct"/>
          </w:tcPr>
          <w:p w:rsidR="00A22F40" w:rsidRPr="00E749AE" w:rsidRDefault="00A22F40" w:rsidP="00A22F40">
            <w:pPr>
              <w:jc w:val="both"/>
              <w:rPr>
                <w:rFonts w:ascii="Times New Roman" w:hAnsi="Times New Roman" w:cs="Times New Roman"/>
                <w:color w:val="auto"/>
                <w:sz w:val="26"/>
                <w:szCs w:val="26"/>
              </w:rPr>
            </w:pPr>
            <w:r w:rsidRPr="00E749AE">
              <w:rPr>
                <w:rFonts w:ascii="Times New Roman" w:hAnsi="Times New Roman" w:cs="Times New Roman"/>
                <w:color w:val="auto"/>
                <w:sz w:val="26"/>
                <w:szCs w:val="26"/>
              </w:rPr>
              <w:t xml:space="preserve">Nhà thầu không có đầy đủ cam kết hoặc cam kết không đúng sự thật hoặc nhà thầu có tên trong danh sách nhà thầu có các hành vi quy định tại khoản 1 Điều 20 của Nghị định số 214/2025/NĐ-CP ngày 04/8/2025 và được đăng tải trên Hệ thống mạng đấu thầu quốc gia mà không thực hiện biện pháp bảo đảm dự thầu với giá trị gấp 03 lần (hoặc có nhưng nhỏ hơn 03 lần) giá trị yêu cầu trong E- HSMT trong thời hạn </w:t>
            </w:r>
            <w:r w:rsidRPr="00E749AE">
              <w:rPr>
                <w:rFonts w:ascii="Times New Roman" w:hAnsi="Times New Roman" w:cs="Times New Roman"/>
                <w:color w:val="auto"/>
                <w:sz w:val="26"/>
                <w:szCs w:val="26"/>
              </w:rPr>
              <w:lastRenderedPageBreak/>
              <w:t>02 năm kể từ lần cuối cùng thực hiện các hành vi này.</w:t>
            </w:r>
          </w:p>
        </w:tc>
        <w:tc>
          <w:tcPr>
            <w:tcW w:w="549" w:type="pct"/>
            <w:vAlign w:val="center"/>
          </w:tcPr>
          <w:p w:rsidR="00A22F40" w:rsidRPr="00E749AE" w:rsidRDefault="00A22F40" w:rsidP="00A22F40">
            <w:pPr>
              <w:spacing w:before="40" w:after="40" w:line="340" w:lineRule="exact"/>
              <w:jc w:val="center"/>
              <w:rPr>
                <w:rFonts w:ascii="Times New Roman" w:eastAsia="Times New Roman" w:hAnsi="Times New Roman" w:cs="Times New Roman"/>
                <w:b/>
                <w:bCs/>
                <w:color w:val="auto"/>
                <w:sz w:val="26"/>
                <w:szCs w:val="26"/>
              </w:rPr>
            </w:pPr>
            <w:r w:rsidRPr="00E749AE">
              <w:rPr>
                <w:rFonts w:ascii="Times New Roman" w:eastAsia="Times New Roman" w:hAnsi="Times New Roman" w:cs="Times New Roman"/>
                <w:b/>
                <w:bCs/>
                <w:color w:val="auto"/>
                <w:sz w:val="28"/>
                <w:szCs w:val="28"/>
              </w:rPr>
              <w:lastRenderedPageBreak/>
              <w:t>Không đạt</w:t>
            </w:r>
          </w:p>
        </w:tc>
      </w:tr>
    </w:tbl>
    <w:p w:rsidR="00133E2B" w:rsidRPr="00E749AE" w:rsidRDefault="006308F0" w:rsidP="00DB6AC0">
      <w:pPr>
        <w:spacing w:before="40" w:after="40" w:line="340" w:lineRule="exact"/>
        <w:rPr>
          <w:rFonts w:ascii="Times New Roman" w:hAnsi="Times New Roman" w:cs="Times New Roman"/>
          <w:b/>
          <w:color w:val="auto"/>
          <w:sz w:val="26"/>
          <w:szCs w:val="26"/>
        </w:rPr>
      </w:pPr>
      <w:r w:rsidRPr="00E749AE">
        <w:rPr>
          <w:rFonts w:ascii="Times New Roman" w:hAnsi="Times New Roman" w:cs="Times New Roman"/>
          <w:b/>
          <w:color w:val="auto"/>
          <w:sz w:val="26"/>
          <w:szCs w:val="26"/>
        </w:rPr>
        <w:lastRenderedPageBreak/>
        <w:t xml:space="preserve">7. </w:t>
      </w:r>
      <w:r w:rsidR="00E8535B" w:rsidRPr="00E749AE">
        <w:rPr>
          <w:rFonts w:ascii="Times New Roman" w:hAnsi="Times New Roman" w:cs="Times New Roman"/>
          <w:b/>
          <w:color w:val="auto"/>
          <w:sz w:val="26"/>
          <w:szCs w:val="26"/>
        </w:rPr>
        <w:t>Các yếu tố cần thiết khác.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9"/>
        <w:gridCol w:w="5911"/>
        <w:gridCol w:w="1051"/>
      </w:tblGrid>
      <w:tr w:rsidR="00E749AE" w:rsidRPr="00E749AE" w:rsidTr="00A75A2C">
        <w:trPr>
          <w:trHeight w:val="315"/>
          <w:jc w:val="center"/>
        </w:trPr>
        <w:tc>
          <w:tcPr>
            <w:tcW w:w="1363" w:type="pct"/>
            <w:vAlign w:val="bottom"/>
          </w:tcPr>
          <w:p w:rsidR="00A75A2C" w:rsidRPr="00E749AE" w:rsidRDefault="00A75A2C" w:rsidP="00A75A2C">
            <w:pPr>
              <w:spacing w:before="40" w:after="40" w:line="32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Nội dung yêu cầu</w:t>
            </w:r>
          </w:p>
        </w:tc>
        <w:tc>
          <w:tcPr>
            <w:tcW w:w="3637" w:type="pct"/>
            <w:gridSpan w:val="2"/>
            <w:vAlign w:val="bottom"/>
          </w:tcPr>
          <w:p w:rsidR="00A75A2C" w:rsidRPr="00E749AE" w:rsidRDefault="00A75A2C" w:rsidP="00A75A2C">
            <w:pPr>
              <w:spacing w:before="40" w:after="40" w:line="32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Mức độ đáp ứng</w:t>
            </w:r>
          </w:p>
        </w:tc>
      </w:tr>
      <w:tr w:rsidR="00E749AE" w:rsidRPr="00E749AE" w:rsidTr="00A75A2C">
        <w:trPr>
          <w:trHeight w:val="273"/>
          <w:jc w:val="center"/>
        </w:trPr>
        <w:tc>
          <w:tcPr>
            <w:tcW w:w="1363" w:type="pct"/>
            <w:vMerge w:val="restart"/>
            <w:vAlign w:val="center"/>
          </w:tcPr>
          <w:p w:rsidR="00C75037" w:rsidRPr="00E749AE" w:rsidRDefault="00C75037" w:rsidP="00C75037">
            <w:pPr>
              <w:spacing w:before="40" w:after="40" w:line="32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7</w:t>
            </w:r>
            <w:r w:rsidR="00A75A2C" w:rsidRPr="00E749AE">
              <w:rPr>
                <w:rFonts w:ascii="Times New Roman" w:eastAsia="Times New Roman" w:hAnsi="Times New Roman" w:cs="Times New Roman"/>
                <w:color w:val="auto"/>
                <w:sz w:val="28"/>
                <w:szCs w:val="28"/>
              </w:rPr>
              <w:t xml:space="preserve">.1. </w:t>
            </w:r>
            <w:r w:rsidRPr="00E749AE">
              <w:rPr>
                <w:rFonts w:ascii="Times New Roman" w:eastAsia="Times New Roman" w:hAnsi="Times New Roman" w:cs="Times New Roman"/>
                <w:color w:val="auto"/>
                <w:sz w:val="28"/>
                <w:szCs w:val="28"/>
              </w:rPr>
              <w:t>Phí bảo hiểm, Mức khấu trừ, Điều khoản bảo hiểm</w:t>
            </w:r>
          </w:p>
          <w:p w:rsidR="00A75A2C" w:rsidRPr="00E749AE" w:rsidRDefault="00A75A2C" w:rsidP="00A75A2C">
            <w:pPr>
              <w:spacing w:before="40" w:after="40" w:line="320" w:lineRule="exact"/>
              <w:jc w:val="both"/>
              <w:rPr>
                <w:rFonts w:ascii="Times New Roman" w:eastAsia="Times New Roman" w:hAnsi="Times New Roman" w:cs="Times New Roman"/>
                <w:color w:val="auto"/>
                <w:sz w:val="28"/>
                <w:szCs w:val="28"/>
              </w:rPr>
            </w:pPr>
          </w:p>
        </w:tc>
        <w:tc>
          <w:tcPr>
            <w:tcW w:w="3088" w:type="pct"/>
            <w:vAlign w:val="center"/>
          </w:tcPr>
          <w:p w:rsidR="00A75A2C" w:rsidRPr="00E749AE" w:rsidRDefault="00A75A2C" w:rsidP="00A75A2C">
            <w:pPr>
              <w:spacing w:before="40" w:after="40" w:line="320" w:lineRule="exact"/>
              <w:jc w:val="both"/>
              <w:rPr>
                <w:rFonts w:ascii="Times New Roman" w:eastAsia="Times New Roman" w:hAnsi="Times New Roman" w:cs="Times New Roman"/>
                <w:bCs/>
                <w:color w:val="auto"/>
                <w:sz w:val="28"/>
                <w:szCs w:val="28"/>
              </w:rPr>
            </w:pPr>
            <w:r w:rsidRPr="00E749AE">
              <w:rPr>
                <w:rFonts w:ascii="Times New Roman" w:eastAsia="Times New Roman" w:hAnsi="Times New Roman" w:cs="Times New Roman"/>
                <w:bCs/>
                <w:i/>
                <w:color w:val="auto"/>
                <w:sz w:val="28"/>
                <w:szCs w:val="28"/>
              </w:rPr>
              <w:t>Đáp ứng tất cả các nội dung nêu dưới đây thì được đánh giá là Đạt</w:t>
            </w:r>
            <w:r w:rsidRPr="00E749AE">
              <w:rPr>
                <w:rFonts w:ascii="Times New Roman" w:eastAsia="Times New Roman" w:hAnsi="Times New Roman" w:cs="Times New Roman"/>
                <w:bCs/>
                <w:color w:val="auto"/>
                <w:sz w:val="28"/>
                <w:szCs w:val="28"/>
              </w:rPr>
              <w:t>:</w:t>
            </w:r>
          </w:p>
          <w:p w:rsidR="00C75037" w:rsidRPr="00E749AE" w:rsidRDefault="00C75037" w:rsidP="00C75037">
            <w:pPr>
              <w:spacing w:before="40" w:after="40" w:line="32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 xml:space="preserve">Bảng chào phí của Nhà thầu </w:t>
            </w:r>
            <w:r w:rsidR="00C54F12" w:rsidRPr="00E749AE">
              <w:rPr>
                <w:rFonts w:ascii="Times New Roman" w:eastAsia="Times New Roman" w:hAnsi="Times New Roman" w:cs="Times New Roman"/>
                <w:color w:val="auto"/>
                <w:sz w:val="28"/>
                <w:szCs w:val="28"/>
              </w:rPr>
              <w:t xml:space="preserve">phải </w:t>
            </w:r>
            <w:r w:rsidRPr="00E749AE">
              <w:rPr>
                <w:rFonts w:ascii="Times New Roman" w:eastAsia="Times New Roman" w:hAnsi="Times New Roman" w:cs="Times New Roman"/>
                <w:color w:val="auto"/>
                <w:sz w:val="28"/>
                <w:szCs w:val="28"/>
              </w:rPr>
              <w:t xml:space="preserve">đáp ứng đồng thời các yêu cầu: </w:t>
            </w:r>
          </w:p>
          <w:p w:rsidR="00C75037" w:rsidRPr="00E749AE" w:rsidRDefault="00C75037" w:rsidP="00C75037">
            <w:pPr>
              <w:spacing w:before="40" w:after="40" w:line="32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 xml:space="preserve">- Phí bảo hiểm, Mức khấu trừ tuân thủ đúng quy định tại Nghị định số 67/2023/NĐ-CP ngày 06 tháng 9 năm 2023 của Chính phủ quy định về bảo hiểm bắt buộc trách nhiệm dân sự của chủ xe cơ giới, bảo hiểm cháy, nổ bắt buộc, bảo hiểm bắt buộc trong hoạt động đầu tư xây dựng. </w:t>
            </w:r>
          </w:p>
          <w:p w:rsidR="00A75A2C" w:rsidRPr="00E749AE" w:rsidRDefault="00C75037" w:rsidP="00B81497">
            <w:pPr>
              <w:spacing w:before="40" w:after="40" w:line="32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 Điều khoản bảo hiểm</w:t>
            </w:r>
            <w:r w:rsidR="00B81497" w:rsidRPr="00E749AE">
              <w:rPr>
                <w:rFonts w:ascii="Times New Roman" w:eastAsia="Times New Roman" w:hAnsi="Times New Roman" w:cs="Times New Roman"/>
                <w:color w:val="auto"/>
                <w:sz w:val="28"/>
                <w:szCs w:val="28"/>
              </w:rPr>
              <w:t xml:space="preserve"> và phạm vi bảo hiểm</w:t>
            </w:r>
            <w:r w:rsidRPr="00E749AE">
              <w:rPr>
                <w:rFonts w:ascii="Times New Roman" w:eastAsia="Times New Roman" w:hAnsi="Times New Roman" w:cs="Times New Roman"/>
                <w:color w:val="auto"/>
                <w:sz w:val="28"/>
                <w:szCs w:val="28"/>
              </w:rPr>
              <w:t xml:space="preserve"> đáp ứng yêu cầu tại chương V – Yêu cầu Kỹ thuật của E - HSMT</w:t>
            </w:r>
          </w:p>
        </w:tc>
        <w:tc>
          <w:tcPr>
            <w:tcW w:w="549" w:type="pct"/>
            <w:vAlign w:val="center"/>
          </w:tcPr>
          <w:p w:rsidR="00A75A2C" w:rsidRPr="00E749AE" w:rsidRDefault="00A75A2C" w:rsidP="00A75A2C">
            <w:pPr>
              <w:spacing w:before="40" w:after="40" w:line="32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Đạt</w:t>
            </w:r>
          </w:p>
        </w:tc>
      </w:tr>
      <w:tr w:rsidR="00E749AE" w:rsidRPr="00E749AE" w:rsidTr="00A75A2C">
        <w:trPr>
          <w:trHeight w:val="286"/>
          <w:jc w:val="center"/>
        </w:trPr>
        <w:tc>
          <w:tcPr>
            <w:tcW w:w="1363" w:type="pct"/>
            <w:vMerge/>
            <w:vAlign w:val="center"/>
          </w:tcPr>
          <w:p w:rsidR="00A75A2C" w:rsidRPr="00E749AE" w:rsidRDefault="00A75A2C" w:rsidP="00A75A2C">
            <w:pPr>
              <w:spacing w:before="40" w:after="40" w:line="320" w:lineRule="exact"/>
              <w:jc w:val="both"/>
              <w:rPr>
                <w:rFonts w:ascii="Times New Roman" w:eastAsia="Times New Roman" w:hAnsi="Times New Roman" w:cs="Times New Roman"/>
                <w:color w:val="auto"/>
                <w:sz w:val="28"/>
                <w:szCs w:val="28"/>
              </w:rPr>
            </w:pPr>
          </w:p>
        </w:tc>
        <w:tc>
          <w:tcPr>
            <w:tcW w:w="3088" w:type="pct"/>
            <w:vAlign w:val="center"/>
          </w:tcPr>
          <w:p w:rsidR="00A75A2C" w:rsidRPr="00E749AE" w:rsidRDefault="00A75A2C" w:rsidP="00A75A2C">
            <w:pPr>
              <w:spacing w:before="40" w:after="40" w:line="240" w:lineRule="auto"/>
              <w:jc w:val="both"/>
              <w:rPr>
                <w:rFonts w:ascii="Times New Roman" w:eastAsia="Times New Roman" w:hAnsi="Times New Roman" w:cs="Times New Roman"/>
                <w:bCs/>
                <w:i/>
                <w:color w:val="auto"/>
                <w:sz w:val="28"/>
                <w:szCs w:val="28"/>
              </w:rPr>
            </w:pPr>
            <w:r w:rsidRPr="00E749AE">
              <w:rPr>
                <w:rFonts w:ascii="Times New Roman" w:eastAsia="Times New Roman" w:hAnsi="Times New Roman" w:cs="Times New Roman"/>
                <w:bCs/>
                <w:i/>
                <w:color w:val="auto"/>
                <w:sz w:val="28"/>
                <w:szCs w:val="28"/>
              </w:rPr>
              <w:t>Vi phạm tiêu chí nêu dưới đây được đánh giá là Không đạt:</w:t>
            </w:r>
          </w:p>
          <w:p w:rsidR="00C75037" w:rsidRPr="00E749AE" w:rsidRDefault="00A75A2C" w:rsidP="00C75037">
            <w:pPr>
              <w:spacing w:before="40" w:after="40" w:line="240" w:lineRule="auto"/>
              <w:jc w:val="both"/>
              <w:rPr>
                <w:rFonts w:ascii="Times New Roman" w:eastAsia="Times New Roman" w:hAnsi="Times New Roman" w:cs="Times New Roman"/>
                <w:bCs/>
                <w:color w:val="auto"/>
                <w:sz w:val="28"/>
                <w:szCs w:val="28"/>
              </w:rPr>
            </w:pPr>
            <w:r w:rsidRPr="00E749AE">
              <w:rPr>
                <w:rFonts w:ascii="Times New Roman" w:eastAsia="Times New Roman" w:hAnsi="Times New Roman" w:cs="Times New Roman"/>
                <w:bCs/>
                <w:color w:val="auto"/>
                <w:sz w:val="28"/>
                <w:szCs w:val="28"/>
              </w:rPr>
              <w:t xml:space="preserve">- </w:t>
            </w:r>
            <w:r w:rsidR="00C75037" w:rsidRPr="00E749AE">
              <w:rPr>
                <w:rFonts w:ascii="Times New Roman" w:eastAsia="Times New Roman" w:hAnsi="Times New Roman" w:cs="Times New Roman"/>
                <w:bCs/>
                <w:color w:val="auto"/>
                <w:sz w:val="28"/>
                <w:szCs w:val="28"/>
              </w:rPr>
              <w:t>Phí bảo hiểm và/hoặc Mức khấu trừ không tuân thủ đúng quy định tại Nghị định số 67/2023/NĐ-CP ngày 06 tháng 9 năm 2023 của Chính phủ quy định về bảo hiểm bắt buộc trách nhiệm dân sự của chủ xe cơ giới, bảo hiểm cháy, nổ bắt buộc, bảo hiểm bắt buộc trong hoạt động đầu tư xây dựng.</w:t>
            </w:r>
          </w:p>
          <w:p w:rsidR="00C54F12" w:rsidRPr="00E749AE" w:rsidRDefault="00C75037" w:rsidP="00737BC5">
            <w:pPr>
              <w:spacing w:before="40" w:after="40" w:line="240" w:lineRule="auto"/>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bCs/>
                <w:color w:val="auto"/>
                <w:sz w:val="28"/>
                <w:szCs w:val="28"/>
              </w:rPr>
              <w:t>Hoặc Điều khoản bảo hiểm</w:t>
            </w:r>
            <w:r w:rsidR="00A705E9" w:rsidRPr="00E749AE">
              <w:rPr>
                <w:rFonts w:ascii="Times New Roman" w:eastAsia="Times New Roman" w:hAnsi="Times New Roman" w:cs="Times New Roman"/>
                <w:bCs/>
                <w:color w:val="auto"/>
                <w:sz w:val="28"/>
                <w:szCs w:val="28"/>
              </w:rPr>
              <w:t xml:space="preserve"> và phạm vi bảo hiểm</w:t>
            </w:r>
            <w:r w:rsidRPr="00E749AE">
              <w:rPr>
                <w:rFonts w:ascii="Times New Roman" w:eastAsia="Times New Roman" w:hAnsi="Times New Roman" w:cs="Times New Roman"/>
                <w:bCs/>
                <w:color w:val="auto"/>
                <w:sz w:val="28"/>
                <w:szCs w:val="28"/>
              </w:rPr>
              <w:t xml:space="preserve"> không đáp ứng tối thiểu yêu cầu tại chương V – Yêu cầu Kỹ thuật của E - HSMT</w:t>
            </w:r>
            <w:r w:rsidR="00A75A2C" w:rsidRPr="00E749AE">
              <w:rPr>
                <w:rFonts w:ascii="Times New Roman" w:eastAsia="Times New Roman" w:hAnsi="Times New Roman" w:cs="Times New Roman"/>
                <w:bCs/>
                <w:color w:val="auto"/>
                <w:sz w:val="28"/>
                <w:szCs w:val="28"/>
              </w:rPr>
              <w:t>.</w:t>
            </w:r>
          </w:p>
        </w:tc>
        <w:tc>
          <w:tcPr>
            <w:tcW w:w="549" w:type="pct"/>
            <w:vAlign w:val="center"/>
          </w:tcPr>
          <w:p w:rsidR="00A75A2C" w:rsidRPr="00E749AE" w:rsidRDefault="00A75A2C" w:rsidP="00A75A2C">
            <w:pPr>
              <w:spacing w:before="40" w:after="40" w:line="32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Không đạt</w:t>
            </w:r>
          </w:p>
        </w:tc>
      </w:tr>
      <w:tr w:rsidR="00E749AE" w:rsidRPr="00E749AE" w:rsidTr="00A75A2C">
        <w:trPr>
          <w:trHeight w:val="699"/>
          <w:jc w:val="center"/>
        </w:trPr>
        <w:tc>
          <w:tcPr>
            <w:tcW w:w="1363" w:type="pct"/>
            <w:vMerge w:val="restart"/>
            <w:vAlign w:val="center"/>
          </w:tcPr>
          <w:p w:rsidR="00D70288" w:rsidRPr="00E749AE" w:rsidRDefault="00D70288" w:rsidP="00311E1B">
            <w:pPr>
              <w:spacing w:before="40" w:after="40" w:line="32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7.</w:t>
            </w:r>
            <w:r w:rsidR="00311E1B" w:rsidRPr="00E749AE">
              <w:rPr>
                <w:rFonts w:ascii="Times New Roman" w:eastAsia="Times New Roman" w:hAnsi="Times New Roman" w:cs="Times New Roman"/>
                <w:color w:val="auto"/>
                <w:sz w:val="28"/>
                <w:szCs w:val="28"/>
              </w:rPr>
              <w:t>2</w:t>
            </w:r>
            <w:r w:rsidRPr="00E749AE">
              <w:rPr>
                <w:rFonts w:ascii="Times New Roman" w:eastAsia="Times New Roman" w:hAnsi="Times New Roman" w:cs="Times New Roman"/>
                <w:color w:val="auto"/>
                <w:sz w:val="28"/>
                <w:szCs w:val="28"/>
              </w:rPr>
              <w:t>. Biên khả năng thanh toán.</w:t>
            </w:r>
          </w:p>
        </w:tc>
        <w:tc>
          <w:tcPr>
            <w:tcW w:w="3088" w:type="pct"/>
            <w:vAlign w:val="center"/>
          </w:tcPr>
          <w:p w:rsidR="00D70288" w:rsidRPr="00E749AE" w:rsidRDefault="00D70288" w:rsidP="00D70288">
            <w:pPr>
              <w:spacing w:before="40" w:after="40" w:line="240" w:lineRule="auto"/>
              <w:jc w:val="both"/>
              <w:rPr>
                <w:rFonts w:ascii="Times New Roman" w:eastAsia="Times New Roman" w:hAnsi="Times New Roman" w:cs="Times New Roman"/>
                <w:bCs/>
                <w:color w:val="auto"/>
                <w:sz w:val="28"/>
                <w:szCs w:val="28"/>
              </w:rPr>
            </w:pPr>
            <w:r w:rsidRPr="00E749AE">
              <w:rPr>
                <w:rFonts w:ascii="Times New Roman" w:eastAsia="Times New Roman" w:hAnsi="Times New Roman" w:cs="Times New Roman"/>
                <w:bCs/>
                <w:color w:val="auto"/>
                <w:sz w:val="28"/>
                <w:szCs w:val="28"/>
              </w:rPr>
              <w:t>Nhà thầu có Biên khả năng thanh toán tính đến hết 31/12/2025 ≥ Biên khả năng thanh toán tối thiểu theo quy định tại Điều 64 Nghị định 73/2016/NĐ-CP ngày 01/7/2016</w:t>
            </w:r>
            <w:r w:rsidRPr="00E749AE">
              <w:rPr>
                <w:color w:val="auto"/>
              </w:rPr>
              <w:t xml:space="preserve"> </w:t>
            </w:r>
            <w:r w:rsidRPr="00E749AE">
              <w:rPr>
                <w:rFonts w:ascii="Times New Roman" w:eastAsia="Times New Roman" w:hAnsi="Times New Roman" w:cs="Times New Roman"/>
                <w:bCs/>
                <w:color w:val="auto"/>
                <w:sz w:val="28"/>
                <w:szCs w:val="28"/>
              </w:rPr>
              <w:t xml:space="preserve">quy định chi tiết thi hành luật kinh doanh bảo hiểm và luật sửa đổi, bổ sung một số điều của luật kinh doanh bảo </w:t>
            </w:r>
            <w:proofErr w:type="gramStart"/>
            <w:r w:rsidRPr="00E749AE">
              <w:rPr>
                <w:rFonts w:ascii="Times New Roman" w:eastAsia="Times New Roman" w:hAnsi="Times New Roman" w:cs="Times New Roman"/>
                <w:bCs/>
                <w:color w:val="auto"/>
                <w:sz w:val="28"/>
                <w:szCs w:val="28"/>
              </w:rPr>
              <w:t>hiểm .</w:t>
            </w:r>
            <w:proofErr w:type="gramEnd"/>
          </w:p>
          <w:p w:rsidR="00D70288" w:rsidRPr="00E749AE" w:rsidRDefault="00D70288" w:rsidP="00D70288">
            <w:pPr>
              <w:spacing w:before="40" w:after="40" w:line="240" w:lineRule="auto"/>
              <w:jc w:val="both"/>
              <w:rPr>
                <w:rFonts w:ascii="Times New Roman" w:eastAsia="Times New Roman" w:hAnsi="Times New Roman" w:cs="Times New Roman"/>
                <w:bCs/>
                <w:color w:val="auto"/>
                <w:sz w:val="28"/>
                <w:szCs w:val="28"/>
              </w:rPr>
            </w:pPr>
            <w:r w:rsidRPr="00E749AE">
              <w:rPr>
                <w:rFonts w:ascii="Times New Roman" w:eastAsia="Times New Roman" w:hAnsi="Times New Roman" w:cs="Times New Roman"/>
                <w:i/>
                <w:color w:val="auto"/>
                <w:sz w:val="28"/>
                <w:szCs w:val="28"/>
              </w:rPr>
              <w:t xml:space="preserve">(Trường hợp liên danh từng thành viên trong liên danh phải thoả mãn yêu cầu này).   </w:t>
            </w:r>
          </w:p>
        </w:tc>
        <w:tc>
          <w:tcPr>
            <w:tcW w:w="549" w:type="pct"/>
            <w:vAlign w:val="center"/>
          </w:tcPr>
          <w:p w:rsidR="00D70288" w:rsidRPr="00E749AE" w:rsidRDefault="00D70288" w:rsidP="00D70288">
            <w:pPr>
              <w:spacing w:before="40" w:after="40" w:line="32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Đạt</w:t>
            </w:r>
          </w:p>
        </w:tc>
      </w:tr>
      <w:tr w:rsidR="00E749AE" w:rsidRPr="00E749AE" w:rsidTr="00A75A2C">
        <w:trPr>
          <w:trHeight w:val="699"/>
          <w:jc w:val="center"/>
        </w:trPr>
        <w:tc>
          <w:tcPr>
            <w:tcW w:w="1363" w:type="pct"/>
            <w:vMerge/>
            <w:vAlign w:val="center"/>
          </w:tcPr>
          <w:p w:rsidR="00D70288" w:rsidRPr="00E749AE" w:rsidRDefault="00D70288" w:rsidP="00D70288">
            <w:pPr>
              <w:spacing w:before="40" w:after="40" w:line="320" w:lineRule="exact"/>
              <w:jc w:val="both"/>
              <w:rPr>
                <w:rFonts w:ascii="Times New Roman" w:eastAsia="Times New Roman" w:hAnsi="Times New Roman" w:cs="Times New Roman"/>
                <w:color w:val="auto"/>
                <w:sz w:val="28"/>
                <w:szCs w:val="28"/>
              </w:rPr>
            </w:pPr>
          </w:p>
        </w:tc>
        <w:tc>
          <w:tcPr>
            <w:tcW w:w="3088" w:type="pct"/>
            <w:vAlign w:val="center"/>
          </w:tcPr>
          <w:p w:rsidR="00D70288" w:rsidRPr="00E749AE" w:rsidRDefault="00D70288" w:rsidP="00D70288">
            <w:pPr>
              <w:spacing w:before="40" w:after="40" w:line="240" w:lineRule="auto"/>
              <w:jc w:val="both"/>
              <w:rPr>
                <w:rFonts w:ascii="Times New Roman" w:eastAsia="Times New Roman" w:hAnsi="Times New Roman" w:cs="Times New Roman"/>
                <w:bCs/>
                <w:color w:val="auto"/>
                <w:sz w:val="28"/>
                <w:szCs w:val="28"/>
              </w:rPr>
            </w:pPr>
            <w:r w:rsidRPr="00E749AE">
              <w:rPr>
                <w:rFonts w:ascii="Times New Roman" w:eastAsia="Times New Roman" w:hAnsi="Times New Roman" w:cs="Times New Roman"/>
                <w:bCs/>
                <w:color w:val="auto"/>
                <w:sz w:val="28"/>
                <w:szCs w:val="28"/>
              </w:rPr>
              <w:t>Không đáp ứng yêu cầu nêu trên</w:t>
            </w:r>
          </w:p>
        </w:tc>
        <w:tc>
          <w:tcPr>
            <w:tcW w:w="549" w:type="pct"/>
            <w:vAlign w:val="center"/>
          </w:tcPr>
          <w:p w:rsidR="00D70288" w:rsidRPr="00E749AE" w:rsidRDefault="00D70288" w:rsidP="00D70288">
            <w:pPr>
              <w:spacing w:before="40" w:after="40" w:line="32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Không đạt</w:t>
            </w:r>
          </w:p>
        </w:tc>
      </w:tr>
      <w:tr w:rsidR="00E749AE" w:rsidRPr="00E749AE" w:rsidTr="00A75A2C">
        <w:trPr>
          <w:trHeight w:val="699"/>
          <w:jc w:val="center"/>
        </w:trPr>
        <w:tc>
          <w:tcPr>
            <w:tcW w:w="1363" w:type="pct"/>
            <w:vMerge w:val="restart"/>
            <w:vAlign w:val="center"/>
          </w:tcPr>
          <w:p w:rsidR="0015753B" w:rsidRPr="00E749AE" w:rsidRDefault="0015753B" w:rsidP="00311E1B">
            <w:pPr>
              <w:spacing w:before="40" w:after="40" w:line="320" w:lineRule="exact"/>
              <w:jc w:val="both"/>
              <w:rPr>
                <w:rFonts w:ascii="Times New Roman" w:eastAsia="Times New Roman" w:hAnsi="Times New Roman" w:cs="Times New Roman"/>
                <w:color w:val="auto"/>
                <w:sz w:val="26"/>
                <w:szCs w:val="26"/>
              </w:rPr>
            </w:pPr>
            <w:r w:rsidRPr="00E749AE">
              <w:rPr>
                <w:rFonts w:ascii="Times New Roman" w:eastAsia="Times New Roman" w:hAnsi="Times New Roman" w:cs="Times New Roman"/>
                <w:color w:val="auto"/>
                <w:sz w:val="26"/>
                <w:szCs w:val="26"/>
              </w:rPr>
              <w:lastRenderedPageBreak/>
              <w:t>7.</w:t>
            </w:r>
            <w:r w:rsidR="00311E1B" w:rsidRPr="00E749AE">
              <w:rPr>
                <w:rFonts w:ascii="Times New Roman" w:eastAsia="Times New Roman" w:hAnsi="Times New Roman" w:cs="Times New Roman"/>
                <w:color w:val="auto"/>
                <w:sz w:val="26"/>
                <w:szCs w:val="26"/>
              </w:rPr>
              <w:t>3</w:t>
            </w:r>
            <w:r w:rsidRPr="00E749AE">
              <w:rPr>
                <w:rFonts w:ascii="Times New Roman" w:eastAsia="Times New Roman" w:hAnsi="Times New Roman" w:cs="Times New Roman"/>
                <w:color w:val="auto"/>
                <w:sz w:val="26"/>
                <w:szCs w:val="26"/>
              </w:rPr>
              <w:t>.</w:t>
            </w:r>
            <w:r w:rsidRPr="00E749AE">
              <w:rPr>
                <w:rFonts w:ascii="Times New Roman" w:hAnsi="Times New Roman" w:cs="Times New Roman"/>
                <w:color w:val="auto"/>
                <w:sz w:val="26"/>
                <w:szCs w:val="26"/>
              </w:rPr>
              <w:t xml:space="preserve"> Q</w:t>
            </w:r>
            <w:r w:rsidRPr="00E749AE">
              <w:rPr>
                <w:rFonts w:ascii="Times New Roman" w:eastAsia="Times New Roman" w:hAnsi="Times New Roman" w:cs="Times New Roman"/>
                <w:color w:val="auto"/>
                <w:sz w:val="26"/>
                <w:szCs w:val="26"/>
              </w:rPr>
              <w:t>uỹ Dự phòng dao động lớn</w:t>
            </w:r>
          </w:p>
        </w:tc>
        <w:tc>
          <w:tcPr>
            <w:tcW w:w="3088" w:type="pct"/>
            <w:vAlign w:val="center"/>
          </w:tcPr>
          <w:p w:rsidR="0015753B" w:rsidRPr="00E749AE" w:rsidRDefault="0015753B" w:rsidP="0015753B">
            <w:pPr>
              <w:spacing w:before="40" w:after="40" w:line="240" w:lineRule="auto"/>
              <w:jc w:val="both"/>
              <w:rPr>
                <w:rFonts w:ascii="Times New Roman" w:eastAsia="Times New Roman" w:hAnsi="Times New Roman" w:cs="Times New Roman"/>
                <w:bCs/>
                <w:color w:val="auto"/>
                <w:sz w:val="28"/>
                <w:szCs w:val="28"/>
              </w:rPr>
            </w:pPr>
            <w:r w:rsidRPr="00E749AE">
              <w:rPr>
                <w:rFonts w:ascii="Times New Roman" w:eastAsia="Times New Roman" w:hAnsi="Times New Roman" w:cs="Times New Roman"/>
                <w:bCs/>
                <w:color w:val="auto"/>
                <w:sz w:val="28"/>
                <w:szCs w:val="28"/>
              </w:rPr>
              <w:t>Nhà thầu phả</w:t>
            </w:r>
            <w:r w:rsidR="00E06710">
              <w:rPr>
                <w:rFonts w:ascii="Times New Roman" w:eastAsia="Times New Roman" w:hAnsi="Times New Roman" w:cs="Times New Roman"/>
                <w:bCs/>
                <w:color w:val="auto"/>
                <w:sz w:val="28"/>
                <w:szCs w:val="28"/>
              </w:rPr>
              <w:t>i</w:t>
            </w:r>
            <w:bookmarkStart w:id="0" w:name="_GoBack"/>
            <w:bookmarkEnd w:id="0"/>
            <w:r w:rsidRPr="00E749AE">
              <w:rPr>
                <w:rFonts w:ascii="Times New Roman" w:eastAsia="Times New Roman" w:hAnsi="Times New Roman" w:cs="Times New Roman"/>
                <w:bCs/>
                <w:color w:val="auto"/>
                <w:sz w:val="28"/>
                <w:szCs w:val="28"/>
              </w:rPr>
              <w:t xml:space="preserve"> có quỹ Dự phòng dao động lớn tại thời điểm 31/12/2025 ≥ </w:t>
            </w:r>
            <w:r w:rsidR="00E9130C" w:rsidRPr="00E749AE">
              <w:rPr>
                <w:rFonts w:ascii="Times New Roman" w:eastAsia="Times New Roman" w:hAnsi="Times New Roman" w:cs="Times New Roman"/>
                <w:bCs/>
                <w:color w:val="auto"/>
                <w:sz w:val="28"/>
                <w:szCs w:val="28"/>
              </w:rPr>
              <w:t>134.000.000.000</w:t>
            </w:r>
            <w:r w:rsidR="0019439C" w:rsidRPr="00E749AE">
              <w:rPr>
                <w:rFonts w:ascii="Times New Roman" w:eastAsia="Times New Roman" w:hAnsi="Times New Roman" w:cs="Times New Roman"/>
                <w:bCs/>
                <w:color w:val="auto"/>
                <w:sz w:val="28"/>
                <w:szCs w:val="28"/>
              </w:rPr>
              <w:t xml:space="preserve"> đồng</w:t>
            </w:r>
            <w:r w:rsidR="008A5E55" w:rsidRPr="00E749AE">
              <w:rPr>
                <w:rFonts w:ascii="Times New Roman" w:eastAsia="Times New Roman" w:hAnsi="Times New Roman" w:cs="Times New Roman"/>
                <w:bCs/>
                <w:color w:val="auto"/>
                <w:sz w:val="28"/>
                <w:szCs w:val="28"/>
              </w:rPr>
              <w:t>.</w:t>
            </w:r>
            <w:r w:rsidR="0019439C" w:rsidRPr="00E749AE">
              <w:rPr>
                <w:rFonts w:ascii="Times New Roman" w:eastAsia="Times New Roman" w:hAnsi="Times New Roman" w:cs="Times New Roman"/>
                <w:bCs/>
                <w:color w:val="auto"/>
                <w:sz w:val="28"/>
                <w:szCs w:val="28"/>
              </w:rPr>
              <w:t xml:space="preserve"> </w:t>
            </w:r>
          </w:p>
          <w:p w:rsidR="0015753B" w:rsidRPr="00E749AE" w:rsidRDefault="0015753B" w:rsidP="0015753B">
            <w:pPr>
              <w:spacing w:before="40" w:after="40" w:line="240" w:lineRule="auto"/>
              <w:jc w:val="both"/>
              <w:rPr>
                <w:rFonts w:ascii="Times New Roman" w:eastAsia="Times New Roman" w:hAnsi="Times New Roman" w:cs="Times New Roman"/>
                <w:bCs/>
                <w:color w:val="auto"/>
                <w:sz w:val="28"/>
                <w:szCs w:val="28"/>
              </w:rPr>
            </w:pPr>
            <w:r w:rsidRPr="00E749AE">
              <w:rPr>
                <w:rFonts w:ascii="Times New Roman" w:eastAsia="Times New Roman" w:hAnsi="Times New Roman" w:cs="Times New Roman"/>
                <w:i/>
                <w:color w:val="auto"/>
                <w:sz w:val="28"/>
                <w:szCs w:val="28"/>
              </w:rPr>
              <w:t>(Trường hợp liên danh phải có nhất ít nhất một thành viên trong liên danh phải thoả mãn yêu cầu này, các thành viên còn lại phải thỏa mãn</w:t>
            </w:r>
            <w:r w:rsidRPr="00E749AE">
              <w:rPr>
                <w:color w:val="auto"/>
              </w:rPr>
              <w:t xml:space="preserve"> </w:t>
            </w:r>
            <w:r w:rsidRPr="00E749AE">
              <w:rPr>
                <w:rFonts w:ascii="Times New Roman" w:eastAsia="Times New Roman" w:hAnsi="Times New Roman" w:cs="Times New Roman"/>
                <w:i/>
                <w:color w:val="auto"/>
                <w:sz w:val="28"/>
                <w:szCs w:val="28"/>
              </w:rPr>
              <w:t xml:space="preserve">tương đương với phần công việc đảm </w:t>
            </w:r>
            <w:proofErr w:type="gramStart"/>
            <w:r w:rsidRPr="00E749AE">
              <w:rPr>
                <w:rFonts w:ascii="Times New Roman" w:eastAsia="Times New Roman" w:hAnsi="Times New Roman" w:cs="Times New Roman"/>
                <w:i/>
                <w:color w:val="auto"/>
                <w:sz w:val="28"/>
                <w:szCs w:val="28"/>
              </w:rPr>
              <w:t>nhận )</w:t>
            </w:r>
            <w:proofErr w:type="gramEnd"/>
            <w:r w:rsidRPr="00E749AE">
              <w:rPr>
                <w:rFonts w:ascii="Times New Roman" w:eastAsia="Times New Roman" w:hAnsi="Times New Roman" w:cs="Times New Roman"/>
                <w:i/>
                <w:color w:val="auto"/>
                <w:sz w:val="28"/>
                <w:szCs w:val="28"/>
              </w:rPr>
              <w:t xml:space="preserve">.   </w:t>
            </w:r>
          </w:p>
        </w:tc>
        <w:tc>
          <w:tcPr>
            <w:tcW w:w="549" w:type="pct"/>
            <w:vAlign w:val="center"/>
          </w:tcPr>
          <w:p w:rsidR="0015753B" w:rsidRPr="00E749AE" w:rsidRDefault="0015753B" w:rsidP="0015753B">
            <w:pPr>
              <w:spacing w:before="40" w:after="40" w:line="32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Đạt</w:t>
            </w:r>
          </w:p>
        </w:tc>
      </w:tr>
      <w:tr w:rsidR="00E749AE" w:rsidRPr="00E749AE" w:rsidTr="00A75A2C">
        <w:trPr>
          <w:trHeight w:val="699"/>
          <w:jc w:val="center"/>
        </w:trPr>
        <w:tc>
          <w:tcPr>
            <w:tcW w:w="1363" w:type="pct"/>
            <w:vMerge/>
            <w:vAlign w:val="center"/>
          </w:tcPr>
          <w:p w:rsidR="0015753B" w:rsidRPr="00E749AE" w:rsidRDefault="0015753B" w:rsidP="0015753B">
            <w:pPr>
              <w:spacing w:before="40" w:after="40" w:line="320" w:lineRule="exact"/>
              <w:jc w:val="both"/>
              <w:rPr>
                <w:rFonts w:ascii="Times New Roman" w:eastAsia="Times New Roman" w:hAnsi="Times New Roman" w:cs="Times New Roman"/>
                <w:color w:val="auto"/>
                <w:sz w:val="28"/>
                <w:szCs w:val="28"/>
              </w:rPr>
            </w:pPr>
          </w:p>
        </w:tc>
        <w:tc>
          <w:tcPr>
            <w:tcW w:w="3088" w:type="pct"/>
            <w:vAlign w:val="center"/>
          </w:tcPr>
          <w:p w:rsidR="0015753B" w:rsidRPr="00E749AE" w:rsidRDefault="0015753B" w:rsidP="0015753B">
            <w:pPr>
              <w:spacing w:before="40" w:after="40" w:line="240" w:lineRule="auto"/>
              <w:jc w:val="both"/>
              <w:rPr>
                <w:rFonts w:ascii="Times New Roman" w:eastAsia="Times New Roman" w:hAnsi="Times New Roman" w:cs="Times New Roman"/>
                <w:bCs/>
                <w:color w:val="auto"/>
                <w:sz w:val="28"/>
                <w:szCs w:val="28"/>
              </w:rPr>
            </w:pPr>
            <w:r w:rsidRPr="00E749AE">
              <w:rPr>
                <w:rFonts w:ascii="Times New Roman" w:eastAsia="Times New Roman" w:hAnsi="Times New Roman" w:cs="Times New Roman"/>
                <w:bCs/>
                <w:color w:val="auto"/>
                <w:sz w:val="28"/>
                <w:szCs w:val="28"/>
              </w:rPr>
              <w:t>Không đáp ứng yêu cầu nêu trên</w:t>
            </w:r>
          </w:p>
        </w:tc>
        <w:tc>
          <w:tcPr>
            <w:tcW w:w="549" w:type="pct"/>
            <w:vAlign w:val="center"/>
          </w:tcPr>
          <w:p w:rsidR="0015753B" w:rsidRPr="00E749AE" w:rsidRDefault="0015753B" w:rsidP="0015753B">
            <w:pPr>
              <w:spacing w:before="40" w:after="40" w:line="32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Không đạt</w:t>
            </w:r>
          </w:p>
        </w:tc>
      </w:tr>
      <w:tr w:rsidR="00E749AE" w:rsidRPr="00E749AE" w:rsidTr="00A75A2C">
        <w:trPr>
          <w:trHeight w:val="699"/>
          <w:jc w:val="center"/>
        </w:trPr>
        <w:tc>
          <w:tcPr>
            <w:tcW w:w="1363" w:type="pct"/>
            <w:vMerge w:val="restart"/>
            <w:vAlign w:val="center"/>
          </w:tcPr>
          <w:p w:rsidR="00DA3F3F" w:rsidRPr="00E749AE" w:rsidRDefault="00DA3F3F" w:rsidP="00311E1B">
            <w:pPr>
              <w:spacing w:before="40" w:after="40" w:line="32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7.</w:t>
            </w:r>
            <w:r w:rsidR="00311E1B" w:rsidRPr="00E749AE">
              <w:rPr>
                <w:rFonts w:ascii="Times New Roman" w:eastAsia="Times New Roman" w:hAnsi="Times New Roman" w:cs="Times New Roman"/>
                <w:color w:val="auto"/>
                <w:sz w:val="28"/>
                <w:szCs w:val="28"/>
              </w:rPr>
              <w:t>4</w:t>
            </w:r>
            <w:r w:rsidRPr="00E749AE">
              <w:rPr>
                <w:rFonts w:ascii="Times New Roman" w:eastAsia="Times New Roman" w:hAnsi="Times New Roman" w:cs="Times New Roman"/>
                <w:color w:val="auto"/>
                <w:sz w:val="28"/>
                <w:szCs w:val="28"/>
              </w:rPr>
              <w:t>. Khả năng thanh toán nợ ngắn hạn</w:t>
            </w:r>
          </w:p>
        </w:tc>
        <w:tc>
          <w:tcPr>
            <w:tcW w:w="3088" w:type="pct"/>
            <w:vAlign w:val="center"/>
          </w:tcPr>
          <w:p w:rsidR="00DA3F3F" w:rsidRPr="00E749AE" w:rsidRDefault="00DA3F3F" w:rsidP="00DA3F3F">
            <w:pPr>
              <w:spacing w:before="40" w:after="40" w:line="240" w:lineRule="auto"/>
              <w:jc w:val="both"/>
              <w:rPr>
                <w:rFonts w:ascii="Times New Roman" w:eastAsia="Times New Roman" w:hAnsi="Times New Roman" w:cs="Times New Roman"/>
                <w:bCs/>
                <w:color w:val="auto"/>
                <w:sz w:val="28"/>
                <w:szCs w:val="28"/>
              </w:rPr>
            </w:pPr>
            <w:r w:rsidRPr="00E749AE">
              <w:rPr>
                <w:rFonts w:ascii="Times New Roman" w:eastAsia="Times New Roman" w:hAnsi="Times New Roman" w:cs="Times New Roman"/>
                <w:bCs/>
                <w:color w:val="auto"/>
                <w:sz w:val="28"/>
                <w:szCs w:val="28"/>
              </w:rPr>
              <w:t>Nhà thầu phải có hệ số khả năng thanh toán nợ ngắn hạn tại thời điểm 31/12/</w:t>
            </w:r>
            <w:proofErr w:type="gramStart"/>
            <w:r w:rsidRPr="00E749AE">
              <w:rPr>
                <w:rFonts w:ascii="Times New Roman" w:eastAsia="Times New Roman" w:hAnsi="Times New Roman" w:cs="Times New Roman"/>
                <w:bCs/>
                <w:color w:val="auto"/>
                <w:sz w:val="28"/>
                <w:szCs w:val="28"/>
              </w:rPr>
              <w:t xml:space="preserve">2025 </w:t>
            </w:r>
            <w:r w:rsidR="00C54F12" w:rsidRPr="00E749AE">
              <w:rPr>
                <w:rFonts w:ascii="Times New Roman" w:eastAsia="Times New Roman" w:hAnsi="Times New Roman" w:cs="Times New Roman"/>
                <w:bCs/>
                <w:color w:val="auto"/>
                <w:sz w:val="28"/>
                <w:szCs w:val="28"/>
              </w:rPr>
              <w:t xml:space="preserve"> </w:t>
            </w:r>
            <w:r w:rsidR="007228F4" w:rsidRPr="00E749AE">
              <w:rPr>
                <w:rFonts w:ascii="Times New Roman" w:eastAsia="Times New Roman" w:hAnsi="Times New Roman" w:cs="Times New Roman"/>
                <w:bCs/>
                <w:color w:val="auto"/>
                <w:sz w:val="28"/>
                <w:szCs w:val="28"/>
              </w:rPr>
              <w:t>≥</w:t>
            </w:r>
            <w:proofErr w:type="gramEnd"/>
            <w:r w:rsidR="00C54F12" w:rsidRPr="00E749AE">
              <w:rPr>
                <w:rFonts w:ascii="Times New Roman" w:eastAsia="Times New Roman" w:hAnsi="Times New Roman" w:cs="Times New Roman"/>
                <w:bCs/>
                <w:color w:val="auto"/>
                <w:sz w:val="28"/>
                <w:szCs w:val="28"/>
              </w:rPr>
              <w:t xml:space="preserve"> </w:t>
            </w:r>
            <w:r w:rsidRPr="00E749AE">
              <w:rPr>
                <w:rFonts w:ascii="Times New Roman" w:eastAsia="Times New Roman" w:hAnsi="Times New Roman" w:cs="Times New Roman"/>
                <w:bCs/>
                <w:color w:val="auto"/>
                <w:sz w:val="28"/>
                <w:szCs w:val="28"/>
              </w:rPr>
              <w:t>1</w:t>
            </w:r>
            <w:r w:rsidR="007228F4" w:rsidRPr="00E749AE">
              <w:rPr>
                <w:rFonts w:ascii="Times New Roman" w:eastAsia="Times New Roman" w:hAnsi="Times New Roman" w:cs="Times New Roman"/>
                <w:bCs/>
                <w:color w:val="auto"/>
                <w:sz w:val="28"/>
                <w:szCs w:val="28"/>
              </w:rPr>
              <w:t>.</w:t>
            </w:r>
            <w:r w:rsidRPr="00E749AE">
              <w:rPr>
                <w:rFonts w:ascii="Times New Roman" w:eastAsia="Times New Roman" w:hAnsi="Times New Roman" w:cs="Times New Roman"/>
                <w:bCs/>
                <w:color w:val="auto"/>
                <w:sz w:val="28"/>
                <w:szCs w:val="28"/>
              </w:rPr>
              <w:t xml:space="preserve"> </w:t>
            </w:r>
          </w:p>
          <w:p w:rsidR="00DA3F3F" w:rsidRPr="00E749AE" w:rsidRDefault="00DA3F3F" w:rsidP="00DA3F3F">
            <w:pPr>
              <w:spacing w:before="40" w:after="40" w:line="240" w:lineRule="auto"/>
              <w:jc w:val="both"/>
              <w:rPr>
                <w:rFonts w:ascii="Times New Roman" w:eastAsia="Times New Roman" w:hAnsi="Times New Roman" w:cs="Times New Roman"/>
                <w:bCs/>
                <w:color w:val="auto"/>
                <w:sz w:val="28"/>
                <w:szCs w:val="28"/>
              </w:rPr>
            </w:pPr>
            <w:r w:rsidRPr="00E749AE">
              <w:rPr>
                <w:rFonts w:ascii="Times New Roman" w:eastAsia="Times New Roman" w:hAnsi="Times New Roman" w:cs="Times New Roman"/>
                <w:bCs/>
                <w:color w:val="auto"/>
                <w:sz w:val="28"/>
                <w:szCs w:val="28"/>
              </w:rPr>
              <w:t>(Hệ số thanh toán nợ ngắn hạn = Tổng tài sản ngắn hạn/ Tổng nợ ngắn hạn)</w:t>
            </w:r>
          </w:p>
          <w:p w:rsidR="00DA3F3F" w:rsidRPr="00E749AE" w:rsidRDefault="00DA3F3F" w:rsidP="00DA3F3F">
            <w:pPr>
              <w:spacing w:before="40" w:after="40" w:line="240" w:lineRule="auto"/>
              <w:jc w:val="both"/>
              <w:rPr>
                <w:rFonts w:ascii="Times New Roman" w:eastAsia="Times New Roman" w:hAnsi="Times New Roman" w:cs="Times New Roman"/>
                <w:bCs/>
                <w:color w:val="auto"/>
                <w:sz w:val="28"/>
                <w:szCs w:val="28"/>
              </w:rPr>
            </w:pPr>
            <w:r w:rsidRPr="00E749AE">
              <w:rPr>
                <w:rFonts w:ascii="Times New Roman" w:eastAsia="Times New Roman" w:hAnsi="Times New Roman" w:cs="Times New Roman"/>
                <w:i/>
                <w:color w:val="auto"/>
                <w:sz w:val="28"/>
                <w:szCs w:val="28"/>
              </w:rPr>
              <w:t xml:space="preserve">(Trường hợp liên danh từng thành viên trong liên danh phải thoả mãn yêu cầu này).   </w:t>
            </w:r>
          </w:p>
        </w:tc>
        <w:tc>
          <w:tcPr>
            <w:tcW w:w="549" w:type="pct"/>
            <w:vAlign w:val="center"/>
          </w:tcPr>
          <w:p w:rsidR="00DA3F3F" w:rsidRPr="00E749AE" w:rsidRDefault="00DA3F3F" w:rsidP="00DA3F3F">
            <w:pPr>
              <w:spacing w:before="40" w:after="40" w:line="32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Đạt</w:t>
            </w:r>
          </w:p>
        </w:tc>
      </w:tr>
      <w:tr w:rsidR="00E749AE" w:rsidRPr="00E749AE" w:rsidTr="00A75A2C">
        <w:trPr>
          <w:trHeight w:val="699"/>
          <w:jc w:val="center"/>
        </w:trPr>
        <w:tc>
          <w:tcPr>
            <w:tcW w:w="1363" w:type="pct"/>
            <w:vMerge/>
            <w:vAlign w:val="center"/>
          </w:tcPr>
          <w:p w:rsidR="00DA3F3F" w:rsidRPr="00E749AE" w:rsidRDefault="00DA3F3F" w:rsidP="00DA3F3F">
            <w:pPr>
              <w:spacing w:before="40" w:after="40" w:line="320" w:lineRule="exact"/>
              <w:jc w:val="both"/>
              <w:rPr>
                <w:rFonts w:ascii="Times New Roman" w:eastAsia="Times New Roman" w:hAnsi="Times New Roman" w:cs="Times New Roman"/>
                <w:color w:val="auto"/>
                <w:sz w:val="28"/>
                <w:szCs w:val="28"/>
              </w:rPr>
            </w:pPr>
          </w:p>
        </w:tc>
        <w:tc>
          <w:tcPr>
            <w:tcW w:w="3088" w:type="pct"/>
            <w:vAlign w:val="center"/>
          </w:tcPr>
          <w:p w:rsidR="00DA3F3F" w:rsidRPr="00E749AE" w:rsidRDefault="00DA3F3F" w:rsidP="00DA3F3F">
            <w:pPr>
              <w:spacing w:before="40" w:after="40" w:line="240" w:lineRule="auto"/>
              <w:jc w:val="both"/>
              <w:rPr>
                <w:rFonts w:ascii="Times New Roman" w:eastAsia="Times New Roman" w:hAnsi="Times New Roman" w:cs="Times New Roman"/>
                <w:bCs/>
                <w:color w:val="auto"/>
                <w:sz w:val="28"/>
                <w:szCs w:val="28"/>
              </w:rPr>
            </w:pPr>
            <w:r w:rsidRPr="00E749AE">
              <w:rPr>
                <w:rFonts w:ascii="Times New Roman" w:eastAsia="Times New Roman" w:hAnsi="Times New Roman" w:cs="Times New Roman"/>
                <w:bCs/>
                <w:color w:val="auto"/>
                <w:sz w:val="28"/>
                <w:szCs w:val="28"/>
              </w:rPr>
              <w:t>Không đáp ứng yêu cầu nêu trên</w:t>
            </w:r>
          </w:p>
        </w:tc>
        <w:tc>
          <w:tcPr>
            <w:tcW w:w="549" w:type="pct"/>
            <w:vAlign w:val="center"/>
          </w:tcPr>
          <w:p w:rsidR="00DA3F3F" w:rsidRPr="00E749AE" w:rsidRDefault="00DA3F3F" w:rsidP="00DA3F3F">
            <w:pPr>
              <w:spacing w:before="40" w:after="40" w:line="32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Không đạt</w:t>
            </w:r>
          </w:p>
        </w:tc>
      </w:tr>
      <w:tr w:rsidR="00E749AE" w:rsidRPr="00E749AE" w:rsidTr="00212AC7">
        <w:trPr>
          <w:trHeight w:val="416"/>
          <w:jc w:val="center"/>
        </w:trPr>
        <w:tc>
          <w:tcPr>
            <w:tcW w:w="1363" w:type="pct"/>
            <w:vMerge w:val="restart"/>
            <w:vAlign w:val="center"/>
          </w:tcPr>
          <w:p w:rsidR="00311E1B" w:rsidRPr="00E749AE" w:rsidRDefault="00311E1B" w:rsidP="00311E1B">
            <w:pPr>
              <w:spacing w:before="40" w:after="40" w:line="32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7.5. Kinh nghiệm giải quyết bồi thường.</w:t>
            </w:r>
          </w:p>
        </w:tc>
        <w:tc>
          <w:tcPr>
            <w:tcW w:w="3088" w:type="pct"/>
            <w:vAlign w:val="center"/>
          </w:tcPr>
          <w:p w:rsidR="00311E1B" w:rsidRPr="00E749AE" w:rsidRDefault="00311E1B" w:rsidP="00212AC7">
            <w:pPr>
              <w:spacing w:before="40" w:after="40" w:line="32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Giải quyết tổn thất, bồi thường trong lĩnh vực bảo hiểm xây dựng công trình: Từ năm 2021 đến nay, Nhà thầu có tối thiểu 01 vụ việc giải quyết tổn thất và bồi thường trong lĩnh vực bảo hiểm xây dựng công trình.</w:t>
            </w:r>
          </w:p>
          <w:p w:rsidR="00311E1B" w:rsidRPr="00E749AE" w:rsidRDefault="00311E1B" w:rsidP="00212AC7">
            <w:pPr>
              <w:spacing w:before="40" w:after="40" w:line="320" w:lineRule="exact"/>
              <w:jc w:val="both"/>
              <w:rPr>
                <w:rFonts w:ascii="Times New Roman" w:eastAsia="Times New Roman" w:hAnsi="Times New Roman" w:cs="Times New Roman"/>
                <w:i/>
                <w:color w:val="auto"/>
                <w:sz w:val="28"/>
                <w:szCs w:val="28"/>
              </w:rPr>
            </w:pPr>
            <w:r w:rsidRPr="00E749AE">
              <w:rPr>
                <w:rFonts w:ascii="Times New Roman" w:eastAsia="Times New Roman" w:hAnsi="Times New Roman" w:cs="Times New Roman"/>
                <w:i/>
                <w:color w:val="auto"/>
                <w:sz w:val="28"/>
                <w:szCs w:val="28"/>
              </w:rPr>
              <w:t xml:space="preserve">(Trường hợp liên danh phải có nhất ít nhất một thành viên trong liên danh phải thoả mãn yêu cầu này).   </w:t>
            </w:r>
          </w:p>
        </w:tc>
        <w:tc>
          <w:tcPr>
            <w:tcW w:w="549" w:type="pct"/>
            <w:vAlign w:val="center"/>
          </w:tcPr>
          <w:p w:rsidR="00311E1B" w:rsidRPr="00E749AE" w:rsidRDefault="00311E1B" w:rsidP="00212AC7">
            <w:pPr>
              <w:spacing w:before="40" w:after="40" w:line="32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Đạt</w:t>
            </w:r>
          </w:p>
        </w:tc>
      </w:tr>
      <w:tr w:rsidR="00E749AE" w:rsidRPr="00E749AE" w:rsidTr="00212AC7">
        <w:trPr>
          <w:trHeight w:val="488"/>
          <w:jc w:val="center"/>
        </w:trPr>
        <w:tc>
          <w:tcPr>
            <w:tcW w:w="1363" w:type="pct"/>
            <w:vMerge/>
            <w:vAlign w:val="center"/>
          </w:tcPr>
          <w:p w:rsidR="00311E1B" w:rsidRPr="00E749AE" w:rsidRDefault="00311E1B" w:rsidP="00212AC7">
            <w:pPr>
              <w:spacing w:before="40" w:after="40" w:line="320" w:lineRule="exact"/>
              <w:jc w:val="both"/>
              <w:rPr>
                <w:rFonts w:ascii="Times New Roman" w:eastAsia="Times New Roman" w:hAnsi="Times New Roman" w:cs="Times New Roman"/>
                <w:color w:val="auto"/>
                <w:sz w:val="28"/>
                <w:szCs w:val="28"/>
              </w:rPr>
            </w:pPr>
          </w:p>
        </w:tc>
        <w:tc>
          <w:tcPr>
            <w:tcW w:w="3088" w:type="pct"/>
            <w:vAlign w:val="center"/>
          </w:tcPr>
          <w:p w:rsidR="00311E1B" w:rsidRPr="00E749AE" w:rsidRDefault="00311E1B" w:rsidP="00212AC7">
            <w:pPr>
              <w:spacing w:before="40" w:after="40" w:line="32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Giải quyết tổn thất, bồi thường trong lĩnh vực bảo hiểm xây dựng công trình: Từ năm 2021 đến nay, Nhà thầu không có vụ việc giải quyết tổn thất và bồi thường trong lĩnh vực bảo hiểm xây dựng công trình.</w:t>
            </w:r>
          </w:p>
        </w:tc>
        <w:tc>
          <w:tcPr>
            <w:tcW w:w="549" w:type="pct"/>
            <w:vAlign w:val="center"/>
          </w:tcPr>
          <w:p w:rsidR="00311E1B" w:rsidRPr="00E749AE" w:rsidRDefault="00311E1B" w:rsidP="00212AC7">
            <w:pPr>
              <w:spacing w:before="40" w:after="40" w:line="32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Chấp nhận được</w:t>
            </w:r>
          </w:p>
        </w:tc>
      </w:tr>
      <w:tr w:rsidR="00E749AE" w:rsidRPr="00E749AE" w:rsidTr="00A75A2C">
        <w:trPr>
          <w:trHeight w:val="630"/>
          <w:jc w:val="center"/>
        </w:trPr>
        <w:tc>
          <w:tcPr>
            <w:tcW w:w="1363" w:type="pct"/>
            <w:vMerge w:val="restart"/>
            <w:vAlign w:val="center"/>
          </w:tcPr>
          <w:p w:rsidR="00A75A2C" w:rsidRPr="00E749AE" w:rsidRDefault="00A75A2C" w:rsidP="00A75A2C">
            <w:pPr>
              <w:spacing w:before="40" w:after="40" w:line="32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Kết luận</w:t>
            </w:r>
          </w:p>
        </w:tc>
        <w:tc>
          <w:tcPr>
            <w:tcW w:w="3088" w:type="pct"/>
            <w:vAlign w:val="center"/>
          </w:tcPr>
          <w:p w:rsidR="00A75A2C" w:rsidRPr="00E749AE" w:rsidRDefault="00D1661C" w:rsidP="00B35D6C">
            <w:pPr>
              <w:spacing w:before="40" w:after="40" w:line="32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Tất c</w:t>
            </w:r>
            <w:r w:rsidR="00A75A2C" w:rsidRPr="00E749AE">
              <w:rPr>
                <w:rFonts w:ascii="Times New Roman" w:eastAsia="Times New Roman" w:hAnsi="Times New Roman" w:cs="Times New Roman"/>
                <w:color w:val="auto"/>
                <w:sz w:val="28"/>
                <w:szCs w:val="28"/>
              </w:rPr>
              <w:t xml:space="preserve">ả </w:t>
            </w:r>
            <w:r w:rsidRPr="00E749AE">
              <w:rPr>
                <w:rFonts w:ascii="Times New Roman" w:eastAsia="Times New Roman" w:hAnsi="Times New Roman" w:cs="Times New Roman"/>
                <w:color w:val="auto"/>
                <w:sz w:val="28"/>
                <w:szCs w:val="28"/>
              </w:rPr>
              <w:t>các</w:t>
            </w:r>
            <w:r w:rsidR="00A75A2C" w:rsidRPr="00E749AE">
              <w:rPr>
                <w:rFonts w:ascii="Times New Roman" w:eastAsia="Times New Roman" w:hAnsi="Times New Roman" w:cs="Times New Roman"/>
                <w:color w:val="auto"/>
                <w:sz w:val="28"/>
                <w:szCs w:val="28"/>
              </w:rPr>
              <w:t xml:space="preserve"> tiêu chí chi tiết</w:t>
            </w:r>
            <w:r w:rsidRPr="00E749AE">
              <w:rPr>
                <w:rFonts w:ascii="Times New Roman" w:eastAsia="Times New Roman" w:hAnsi="Times New Roman" w:cs="Times New Roman"/>
                <w:color w:val="auto"/>
                <w:sz w:val="28"/>
                <w:szCs w:val="28"/>
              </w:rPr>
              <w:t>:</w:t>
            </w:r>
            <w:r w:rsidR="00A75A2C" w:rsidRPr="00E749AE">
              <w:rPr>
                <w:rFonts w:ascii="Times New Roman" w:eastAsia="Times New Roman" w:hAnsi="Times New Roman" w:cs="Times New Roman"/>
                <w:color w:val="auto"/>
                <w:sz w:val="28"/>
                <w:szCs w:val="28"/>
              </w:rPr>
              <w:t xml:space="preserve"> </w:t>
            </w:r>
            <w:r w:rsidR="00DA3F3F" w:rsidRPr="00E749AE">
              <w:rPr>
                <w:rFonts w:ascii="Times New Roman" w:eastAsia="Times New Roman" w:hAnsi="Times New Roman" w:cs="Times New Roman"/>
                <w:color w:val="auto"/>
                <w:sz w:val="28"/>
                <w:szCs w:val="28"/>
              </w:rPr>
              <w:t>7</w:t>
            </w:r>
            <w:r w:rsidR="00A75A2C" w:rsidRPr="00E749AE">
              <w:rPr>
                <w:rFonts w:ascii="Times New Roman" w:eastAsia="Times New Roman" w:hAnsi="Times New Roman" w:cs="Times New Roman"/>
                <w:color w:val="auto"/>
                <w:sz w:val="28"/>
                <w:szCs w:val="28"/>
              </w:rPr>
              <w:t>.1</w:t>
            </w:r>
            <w:r w:rsidR="00DA3F3F" w:rsidRPr="00E749AE">
              <w:rPr>
                <w:rFonts w:ascii="Times New Roman" w:eastAsia="Times New Roman" w:hAnsi="Times New Roman" w:cs="Times New Roman"/>
                <w:color w:val="auto"/>
                <w:sz w:val="28"/>
                <w:szCs w:val="28"/>
              </w:rPr>
              <w:t>, 7.</w:t>
            </w:r>
            <w:r w:rsidR="00311E1B" w:rsidRPr="00E749AE">
              <w:rPr>
                <w:rFonts w:ascii="Times New Roman" w:eastAsia="Times New Roman" w:hAnsi="Times New Roman" w:cs="Times New Roman"/>
                <w:color w:val="auto"/>
                <w:sz w:val="28"/>
                <w:szCs w:val="28"/>
              </w:rPr>
              <w:t>2</w:t>
            </w:r>
            <w:r w:rsidR="00DA3F3F" w:rsidRPr="00E749AE">
              <w:rPr>
                <w:rFonts w:ascii="Times New Roman" w:eastAsia="Times New Roman" w:hAnsi="Times New Roman" w:cs="Times New Roman"/>
                <w:color w:val="auto"/>
                <w:sz w:val="28"/>
                <w:szCs w:val="28"/>
              </w:rPr>
              <w:t>, 7.</w:t>
            </w:r>
            <w:r w:rsidR="00311E1B" w:rsidRPr="00E749AE">
              <w:rPr>
                <w:rFonts w:ascii="Times New Roman" w:eastAsia="Times New Roman" w:hAnsi="Times New Roman" w:cs="Times New Roman"/>
                <w:color w:val="auto"/>
                <w:sz w:val="28"/>
                <w:szCs w:val="28"/>
              </w:rPr>
              <w:t>3, 7.4</w:t>
            </w:r>
            <w:r w:rsidR="00B35D6C" w:rsidRPr="00E749AE">
              <w:rPr>
                <w:rFonts w:ascii="Times New Roman" w:eastAsia="Times New Roman" w:hAnsi="Times New Roman" w:cs="Times New Roman"/>
                <w:color w:val="auto"/>
                <w:sz w:val="28"/>
                <w:szCs w:val="28"/>
              </w:rPr>
              <w:t xml:space="preserve">, </w:t>
            </w:r>
            <w:r w:rsidR="00DA3F3F" w:rsidRPr="00E749AE">
              <w:rPr>
                <w:rFonts w:ascii="Times New Roman" w:eastAsia="Times New Roman" w:hAnsi="Times New Roman" w:cs="Times New Roman"/>
                <w:color w:val="auto"/>
                <w:sz w:val="28"/>
                <w:szCs w:val="28"/>
              </w:rPr>
              <w:t>7</w:t>
            </w:r>
            <w:r w:rsidR="00A75A2C" w:rsidRPr="00E749AE">
              <w:rPr>
                <w:rFonts w:ascii="Times New Roman" w:eastAsia="Times New Roman" w:hAnsi="Times New Roman" w:cs="Times New Roman"/>
                <w:color w:val="auto"/>
                <w:sz w:val="28"/>
                <w:szCs w:val="28"/>
              </w:rPr>
              <w:t>.</w:t>
            </w:r>
            <w:r w:rsidR="00DA3F3F" w:rsidRPr="00E749AE">
              <w:rPr>
                <w:rFonts w:ascii="Times New Roman" w:eastAsia="Times New Roman" w:hAnsi="Times New Roman" w:cs="Times New Roman"/>
                <w:color w:val="auto"/>
                <w:sz w:val="28"/>
                <w:szCs w:val="28"/>
              </w:rPr>
              <w:t>5</w:t>
            </w:r>
            <w:r w:rsidR="00A75A2C" w:rsidRPr="00E749AE">
              <w:rPr>
                <w:rFonts w:ascii="Times New Roman" w:eastAsia="Times New Roman" w:hAnsi="Times New Roman" w:cs="Times New Roman"/>
                <w:color w:val="auto"/>
                <w:sz w:val="28"/>
                <w:szCs w:val="28"/>
              </w:rPr>
              <w:t xml:space="preserve"> </w:t>
            </w:r>
            <w:r w:rsidR="00311E1B" w:rsidRPr="00E749AE">
              <w:rPr>
                <w:rFonts w:ascii="Times New Roman" w:eastAsia="Times New Roman" w:hAnsi="Times New Roman" w:cs="Times New Roman"/>
                <w:color w:val="auto"/>
                <w:sz w:val="28"/>
                <w:szCs w:val="28"/>
              </w:rPr>
              <w:t>được đánh giá là Đạt hoặc Chấp nhận được.</w:t>
            </w:r>
          </w:p>
        </w:tc>
        <w:tc>
          <w:tcPr>
            <w:tcW w:w="549" w:type="pct"/>
            <w:vAlign w:val="center"/>
          </w:tcPr>
          <w:p w:rsidR="00A75A2C" w:rsidRPr="00E749AE" w:rsidRDefault="00A75A2C" w:rsidP="00A75A2C">
            <w:pPr>
              <w:spacing w:before="40" w:after="40" w:line="32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Đạt</w:t>
            </w:r>
          </w:p>
        </w:tc>
      </w:tr>
      <w:tr w:rsidR="00A75A2C" w:rsidRPr="00E749AE" w:rsidTr="00A75A2C">
        <w:trPr>
          <w:trHeight w:val="630"/>
          <w:jc w:val="center"/>
        </w:trPr>
        <w:tc>
          <w:tcPr>
            <w:tcW w:w="1363" w:type="pct"/>
            <w:vMerge/>
            <w:tcBorders>
              <w:bottom w:val="single" w:sz="4" w:space="0" w:color="auto"/>
            </w:tcBorders>
            <w:vAlign w:val="center"/>
          </w:tcPr>
          <w:p w:rsidR="00A75A2C" w:rsidRPr="00E749AE" w:rsidRDefault="00A75A2C" w:rsidP="00A75A2C">
            <w:pPr>
              <w:spacing w:before="40" w:after="40" w:line="320" w:lineRule="exact"/>
              <w:jc w:val="both"/>
              <w:rPr>
                <w:rFonts w:ascii="Times New Roman" w:eastAsia="Times New Roman" w:hAnsi="Times New Roman" w:cs="Times New Roman"/>
                <w:b/>
                <w:bCs/>
                <w:color w:val="auto"/>
                <w:sz w:val="28"/>
                <w:szCs w:val="28"/>
              </w:rPr>
            </w:pPr>
          </w:p>
        </w:tc>
        <w:tc>
          <w:tcPr>
            <w:tcW w:w="3088" w:type="pct"/>
            <w:tcBorders>
              <w:bottom w:val="single" w:sz="4" w:space="0" w:color="auto"/>
            </w:tcBorders>
            <w:vAlign w:val="center"/>
          </w:tcPr>
          <w:p w:rsidR="00A75A2C" w:rsidRPr="00E749AE" w:rsidRDefault="00A75A2C" w:rsidP="00A75A2C">
            <w:pPr>
              <w:spacing w:before="40" w:after="40" w:line="320" w:lineRule="exact"/>
              <w:jc w:val="both"/>
              <w:rPr>
                <w:rFonts w:ascii="Times New Roman" w:eastAsia="Times New Roman" w:hAnsi="Times New Roman" w:cs="Times New Roman"/>
                <w:color w:val="auto"/>
                <w:sz w:val="28"/>
                <w:szCs w:val="28"/>
              </w:rPr>
            </w:pPr>
            <w:r w:rsidRPr="00E749AE">
              <w:rPr>
                <w:rFonts w:ascii="Times New Roman" w:eastAsia="Times New Roman" w:hAnsi="Times New Roman" w:cs="Times New Roman"/>
                <w:color w:val="auto"/>
                <w:sz w:val="28"/>
                <w:szCs w:val="28"/>
              </w:rPr>
              <w:t>Có ≥ 1 tiêu chí chi tiết được đánh giá là Không đạt.</w:t>
            </w:r>
          </w:p>
        </w:tc>
        <w:tc>
          <w:tcPr>
            <w:tcW w:w="549" w:type="pct"/>
            <w:tcBorders>
              <w:bottom w:val="single" w:sz="4" w:space="0" w:color="auto"/>
            </w:tcBorders>
            <w:vAlign w:val="center"/>
          </w:tcPr>
          <w:p w:rsidR="00A75A2C" w:rsidRPr="00E749AE" w:rsidRDefault="00A75A2C" w:rsidP="00A75A2C">
            <w:pPr>
              <w:spacing w:before="40" w:after="40" w:line="320" w:lineRule="exact"/>
              <w:jc w:val="center"/>
              <w:rPr>
                <w:rFonts w:ascii="Times New Roman" w:eastAsia="Times New Roman" w:hAnsi="Times New Roman" w:cs="Times New Roman"/>
                <w:b/>
                <w:bCs/>
                <w:color w:val="auto"/>
                <w:sz w:val="28"/>
                <w:szCs w:val="28"/>
              </w:rPr>
            </w:pPr>
            <w:r w:rsidRPr="00E749AE">
              <w:rPr>
                <w:rFonts w:ascii="Times New Roman" w:eastAsia="Times New Roman" w:hAnsi="Times New Roman" w:cs="Times New Roman"/>
                <w:b/>
                <w:bCs/>
                <w:color w:val="auto"/>
                <w:sz w:val="28"/>
                <w:szCs w:val="28"/>
              </w:rPr>
              <w:t>Không đạt</w:t>
            </w:r>
          </w:p>
        </w:tc>
      </w:tr>
    </w:tbl>
    <w:p w:rsidR="00133E2B" w:rsidRPr="00E749AE" w:rsidRDefault="00133E2B" w:rsidP="00D33123">
      <w:pPr>
        <w:spacing w:before="40" w:after="40" w:line="340" w:lineRule="exact"/>
        <w:rPr>
          <w:rFonts w:ascii="Times New Roman" w:hAnsi="Times New Roman" w:cs="Times New Roman"/>
          <w:color w:val="auto"/>
          <w:sz w:val="26"/>
          <w:szCs w:val="26"/>
        </w:rPr>
      </w:pPr>
    </w:p>
    <w:sectPr w:rsidR="00133E2B" w:rsidRPr="00E749AE" w:rsidSect="003330AF">
      <w:pgSz w:w="11907" w:h="16840" w:code="9"/>
      <w:pgMar w:top="1134"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219EF"/>
    <w:multiLevelType w:val="hybridMultilevel"/>
    <w:tmpl w:val="2E224A4A"/>
    <w:lvl w:ilvl="0" w:tplc="74FA302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092D020">
      <w:start w:val="1"/>
      <w:numFmt w:val="bullet"/>
      <w:lvlText w:val="o"/>
      <w:lvlJc w:val="left"/>
      <w:pPr>
        <w:ind w:left="12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665114">
      <w:start w:val="1"/>
      <w:numFmt w:val="bullet"/>
      <w:lvlText w:val="▪"/>
      <w:lvlJc w:val="left"/>
      <w:pPr>
        <w:ind w:left="19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FED6FA">
      <w:start w:val="1"/>
      <w:numFmt w:val="bullet"/>
      <w:lvlText w:val="•"/>
      <w:lvlJc w:val="left"/>
      <w:pPr>
        <w:ind w:left="2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76C1C8A">
      <w:start w:val="1"/>
      <w:numFmt w:val="bullet"/>
      <w:lvlText w:val="o"/>
      <w:lvlJc w:val="left"/>
      <w:pPr>
        <w:ind w:left="3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DAB4A0">
      <w:start w:val="1"/>
      <w:numFmt w:val="bullet"/>
      <w:lvlText w:val="▪"/>
      <w:lvlJc w:val="left"/>
      <w:pPr>
        <w:ind w:left="4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3BA1824">
      <w:start w:val="1"/>
      <w:numFmt w:val="bullet"/>
      <w:lvlText w:val="•"/>
      <w:lvlJc w:val="left"/>
      <w:pPr>
        <w:ind w:left="4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8CBE40">
      <w:start w:val="1"/>
      <w:numFmt w:val="bullet"/>
      <w:lvlText w:val="o"/>
      <w:lvlJc w:val="left"/>
      <w:pPr>
        <w:ind w:left="5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E6ABA7A">
      <w:start w:val="1"/>
      <w:numFmt w:val="bullet"/>
      <w:lvlText w:val="▪"/>
      <w:lvlJc w:val="left"/>
      <w:pPr>
        <w:ind w:left="6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3971394"/>
    <w:multiLevelType w:val="hybridMultilevel"/>
    <w:tmpl w:val="6EE823BC"/>
    <w:lvl w:ilvl="0" w:tplc="5D6EA0AA">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392B390">
      <w:start w:val="1"/>
      <w:numFmt w:val="bullet"/>
      <w:lvlText w:val="o"/>
      <w:lvlJc w:val="left"/>
      <w:pPr>
        <w:ind w:left="12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B0A748">
      <w:start w:val="1"/>
      <w:numFmt w:val="bullet"/>
      <w:lvlText w:val="▪"/>
      <w:lvlJc w:val="left"/>
      <w:pPr>
        <w:ind w:left="19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AD4B7D4">
      <w:start w:val="1"/>
      <w:numFmt w:val="bullet"/>
      <w:lvlText w:val="•"/>
      <w:lvlJc w:val="left"/>
      <w:pPr>
        <w:ind w:left="2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F1E95A8">
      <w:start w:val="1"/>
      <w:numFmt w:val="bullet"/>
      <w:lvlText w:val="o"/>
      <w:lvlJc w:val="left"/>
      <w:pPr>
        <w:ind w:left="3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82F27E">
      <w:start w:val="1"/>
      <w:numFmt w:val="bullet"/>
      <w:lvlText w:val="▪"/>
      <w:lvlJc w:val="left"/>
      <w:pPr>
        <w:ind w:left="4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9205868">
      <w:start w:val="1"/>
      <w:numFmt w:val="bullet"/>
      <w:lvlText w:val="•"/>
      <w:lvlJc w:val="left"/>
      <w:pPr>
        <w:ind w:left="4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C232E0">
      <w:start w:val="1"/>
      <w:numFmt w:val="bullet"/>
      <w:lvlText w:val="o"/>
      <w:lvlJc w:val="left"/>
      <w:pPr>
        <w:ind w:left="5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EA2364">
      <w:start w:val="1"/>
      <w:numFmt w:val="bullet"/>
      <w:lvlText w:val="▪"/>
      <w:lvlJc w:val="left"/>
      <w:pPr>
        <w:ind w:left="6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48E0394"/>
    <w:multiLevelType w:val="hybridMultilevel"/>
    <w:tmpl w:val="C638E7BC"/>
    <w:lvl w:ilvl="0" w:tplc="A042AFC0">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CE22252">
      <w:start w:val="1"/>
      <w:numFmt w:val="bullet"/>
      <w:lvlText w:val="o"/>
      <w:lvlJc w:val="left"/>
      <w:pPr>
        <w:ind w:left="12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E60C1C2">
      <w:start w:val="1"/>
      <w:numFmt w:val="bullet"/>
      <w:lvlText w:val="▪"/>
      <w:lvlJc w:val="left"/>
      <w:pPr>
        <w:ind w:left="19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1D850CC">
      <w:start w:val="1"/>
      <w:numFmt w:val="bullet"/>
      <w:lvlText w:val="•"/>
      <w:lvlJc w:val="left"/>
      <w:pPr>
        <w:ind w:left="2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4063D7C">
      <w:start w:val="1"/>
      <w:numFmt w:val="bullet"/>
      <w:lvlText w:val="o"/>
      <w:lvlJc w:val="left"/>
      <w:pPr>
        <w:ind w:left="3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BC1338">
      <w:start w:val="1"/>
      <w:numFmt w:val="bullet"/>
      <w:lvlText w:val="▪"/>
      <w:lvlJc w:val="left"/>
      <w:pPr>
        <w:ind w:left="4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878B6DC">
      <w:start w:val="1"/>
      <w:numFmt w:val="bullet"/>
      <w:lvlText w:val="•"/>
      <w:lvlJc w:val="left"/>
      <w:pPr>
        <w:ind w:left="4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2042E0">
      <w:start w:val="1"/>
      <w:numFmt w:val="bullet"/>
      <w:lvlText w:val="o"/>
      <w:lvlJc w:val="left"/>
      <w:pPr>
        <w:ind w:left="5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7244CA">
      <w:start w:val="1"/>
      <w:numFmt w:val="bullet"/>
      <w:lvlText w:val="▪"/>
      <w:lvlJc w:val="left"/>
      <w:pPr>
        <w:ind w:left="6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30E5DB3"/>
    <w:multiLevelType w:val="hybridMultilevel"/>
    <w:tmpl w:val="D2022D7E"/>
    <w:lvl w:ilvl="0" w:tplc="A0380B98">
      <w:start w:val="1"/>
      <w:numFmt w:val="bullet"/>
      <w:lvlText w:val="-"/>
      <w:lvlJc w:val="left"/>
      <w:pPr>
        <w:ind w:left="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5A0526">
      <w:start w:val="1"/>
      <w:numFmt w:val="bullet"/>
      <w:lvlText w:val="o"/>
      <w:lvlJc w:val="left"/>
      <w:pPr>
        <w:ind w:left="12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B7A819C">
      <w:start w:val="1"/>
      <w:numFmt w:val="bullet"/>
      <w:lvlText w:val="▪"/>
      <w:lvlJc w:val="left"/>
      <w:pPr>
        <w:ind w:left="19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32EFF2">
      <w:start w:val="1"/>
      <w:numFmt w:val="bullet"/>
      <w:lvlText w:val="•"/>
      <w:lvlJc w:val="left"/>
      <w:pPr>
        <w:ind w:left="2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5FAE688">
      <w:start w:val="1"/>
      <w:numFmt w:val="bullet"/>
      <w:lvlText w:val="o"/>
      <w:lvlJc w:val="left"/>
      <w:pPr>
        <w:ind w:left="3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AC481DE">
      <w:start w:val="1"/>
      <w:numFmt w:val="bullet"/>
      <w:lvlText w:val="▪"/>
      <w:lvlJc w:val="left"/>
      <w:pPr>
        <w:ind w:left="4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F5E3102">
      <w:start w:val="1"/>
      <w:numFmt w:val="bullet"/>
      <w:lvlText w:val="•"/>
      <w:lvlJc w:val="left"/>
      <w:pPr>
        <w:ind w:left="4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88D274">
      <w:start w:val="1"/>
      <w:numFmt w:val="bullet"/>
      <w:lvlText w:val="o"/>
      <w:lvlJc w:val="left"/>
      <w:pPr>
        <w:ind w:left="5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8623B02">
      <w:start w:val="1"/>
      <w:numFmt w:val="bullet"/>
      <w:lvlText w:val="▪"/>
      <w:lvlJc w:val="left"/>
      <w:pPr>
        <w:ind w:left="6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7D2"/>
    <w:rsid w:val="0001583E"/>
    <w:rsid w:val="0011614B"/>
    <w:rsid w:val="00133E2B"/>
    <w:rsid w:val="0015753B"/>
    <w:rsid w:val="00183DC2"/>
    <w:rsid w:val="0019439C"/>
    <w:rsid w:val="001F2D8C"/>
    <w:rsid w:val="002457A1"/>
    <w:rsid w:val="002B101A"/>
    <w:rsid w:val="002D5C6C"/>
    <w:rsid w:val="00311E1B"/>
    <w:rsid w:val="003330AF"/>
    <w:rsid w:val="0034589B"/>
    <w:rsid w:val="00360C88"/>
    <w:rsid w:val="00383B90"/>
    <w:rsid w:val="003B6616"/>
    <w:rsid w:val="003C2BBF"/>
    <w:rsid w:val="004407D2"/>
    <w:rsid w:val="00513E7D"/>
    <w:rsid w:val="005244C3"/>
    <w:rsid w:val="00550F37"/>
    <w:rsid w:val="00555627"/>
    <w:rsid w:val="00576AB3"/>
    <w:rsid w:val="00576B57"/>
    <w:rsid w:val="005B7D6B"/>
    <w:rsid w:val="006308F0"/>
    <w:rsid w:val="00641AE1"/>
    <w:rsid w:val="00652555"/>
    <w:rsid w:val="007228F4"/>
    <w:rsid w:val="00737BC5"/>
    <w:rsid w:val="00744F64"/>
    <w:rsid w:val="007D34C7"/>
    <w:rsid w:val="007F53F8"/>
    <w:rsid w:val="00886F39"/>
    <w:rsid w:val="008A5E55"/>
    <w:rsid w:val="0091104D"/>
    <w:rsid w:val="009812C4"/>
    <w:rsid w:val="00A22F40"/>
    <w:rsid w:val="00A705E9"/>
    <w:rsid w:val="00A75A2C"/>
    <w:rsid w:val="00B35D6C"/>
    <w:rsid w:val="00B81497"/>
    <w:rsid w:val="00C23117"/>
    <w:rsid w:val="00C54F12"/>
    <w:rsid w:val="00C75037"/>
    <w:rsid w:val="00C81AF1"/>
    <w:rsid w:val="00CE1D1D"/>
    <w:rsid w:val="00D1661C"/>
    <w:rsid w:val="00D33123"/>
    <w:rsid w:val="00D70288"/>
    <w:rsid w:val="00DA3F3F"/>
    <w:rsid w:val="00DB1BD8"/>
    <w:rsid w:val="00DB6AC0"/>
    <w:rsid w:val="00DF481C"/>
    <w:rsid w:val="00E06710"/>
    <w:rsid w:val="00E72197"/>
    <w:rsid w:val="00E749AE"/>
    <w:rsid w:val="00E8535B"/>
    <w:rsid w:val="00E9130C"/>
    <w:rsid w:val="00ED7EE1"/>
    <w:rsid w:val="00F6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9B389"/>
  <w15:docId w15:val="{E66607BE-54E9-4856-803D-E5BF295B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33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HUU HAU DO</cp:lastModifiedBy>
  <cp:revision>11</cp:revision>
  <dcterms:created xsi:type="dcterms:W3CDTF">2026-05-13T11:01:00Z</dcterms:created>
  <dcterms:modified xsi:type="dcterms:W3CDTF">2026-05-14T08:52:00Z</dcterms:modified>
</cp:coreProperties>
</file>