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D8C5C6">
      <w:pPr>
        <w:jc w:val="center"/>
        <w:outlineLvl w:val="0"/>
        <w:rPr>
          <w:b/>
          <w:sz w:val="28"/>
          <w:szCs w:val="28"/>
          <w:lang w:val="nl-NL"/>
        </w:rPr>
      </w:pPr>
      <w:bookmarkStart w:id="0" w:name="_Toc54248523"/>
      <w:bookmarkStart w:id="1" w:name="_Toc54098540"/>
      <w:r>
        <w:rPr>
          <w:b/>
          <w:sz w:val="28"/>
          <w:szCs w:val="28"/>
          <w:lang w:val="nl-NL"/>
        </w:rPr>
        <w:t>Phần 2. YÊU CẦU VỀ KỸ THUẬT</w:t>
      </w:r>
    </w:p>
    <w:p w14:paraId="7E27ED1B">
      <w:pPr>
        <w:widowControl w:val="0"/>
        <w:spacing w:before="120" w:after="120" w:line="264" w:lineRule="auto"/>
        <w:jc w:val="center"/>
        <w:outlineLvl w:val="1"/>
        <w:rPr>
          <w:sz w:val="28"/>
          <w:szCs w:val="28"/>
          <w:lang w:val="nl-NL"/>
        </w:rPr>
      </w:pPr>
      <w:r>
        <w:rPr>
          <w:b/>
          <w:sz w:val="28"/>
          <w:szCs w:val="28"/>
          <w:lang w:val="nl-NL"/>
        </w:rPr>
        <w:t>Chương V. YÊU CẦU VỀ KỸ THUẬT</w:t>
      </w:r>
    </w:p>
    <w:p w14:paraId="512AE37D">
      <w:pPr>
        <w:pStyle w:val="241"/>
        <w:widowControl w:val="0"/>
        <w:spacing w:after="120" w:line="264" w:lineRule="auto"/>
        <w:ind w:firstLine="709"/>
        <w:jc w:val="both"/>
        <w:rPr>
          <w:sz w:val="28"/>
          <w:szCs w:val="28"/>
          <w:lang w:val="nl-NL"/>
        </w:rPr>
      </w:pPr>
      <w:r>
        <w:rPr>
          <w:sz w:val="28"/>
          <w:szCs w:val="28"/>
          <w:lang w:val="nl-NL"/>
        </w:rPr>
        <w:t>Mục 1. Yêu cầu về kỹ thuật</w:t>
      </w:r>
    </w:p>
    <w:p w14:paraId="75662473">
      <w:pPr>
        <w:widowControl w:val="0"/>
        <w:spacing w:before="120" w:after="120" w:line="264" w:lineRule="auto"/>
        <w:ind w:firstLine="709"/>
        <w:rPr>
          <w:i/>
          <w:sz w:val="28"/>
          <w:szCs w:val="28"/>
          <w:lang w:val="nl-NL"/>
        </w:rPr>
      </w:pPr>
      <w:r>
        <w:rPr>
          <w:i/>
          <w:sz w:val="28"/>
          <w:szCs w:val="28"/>
          <w:lang w:val="nl-NL"/>
        </w:rPr>
        <w:t xml:space="preserve">Yêu cầu về kỹ thuật bao gồm các nội dung cơ bản như sau: </w:t>
      </w:r>
    </w:p>
    <w:p w14:paraId="6A913B26">
      <w:pPr>
        <w:widowControl w:val="0"/>
        <w:spacing w:before="120" w:after="120" w:line="264" w:lineRule="auto"/>
        <w:ind w:firstLine="709"/>
        <w:rPr>
          <w:b/>
          <w:i/>
          <w:sz w:val="28"/>
          <w:szCs w:val="28"/>
          <w:lang w:val="nl-NL"/>
        </w:rPr>
      </w:pPr>
      <w:r>
        <w:rPr>
          <w:b/>
          <w:i/>
          <w:sz w:val="28"/>
          <w:szCs w:val="28"/>
          <w:lang w:val="nl-NL"/>
        </w:rPr>
        <w:t>1.1. Giới thiệu chung về dự án/</w:t>
      </w:r>
      <w:r>
        <w:rPr>
          <w:b/>
          <w:i/>
          <w:sz w:val="28"/>
          <w:szCs w:val="28"/>
        </w:rPr>
        <w:t>dự toán mua sắm</w:t>
      </w:r>
      <w:r>
        <w:rPr>
          <w:b/>
          <w:i/>
          <w:sz w:val="28"/>
          <w:szCs w:val="28"/>
          <w:lang w:val="nl-NL"/>
        </w:rPr>
        <w:t>, gói thầu</w:t>
      </w:r>
    </w:p>
    <w:p w14:paraId="609705E2">
      <w:pPr>
        <w:widowControl w:val="0"/>
        <w:spacing w:before="120" w:after="120" w:line="264" w:lineRule="auto"/>
        <w:ind w:firstLine="709"/>
        <w:rPr>
          <w:i/>
          <w:sz w:val="28"/>
          <w:szCs w:val="28"/>
          <w:lang w:val="nl-NL"/>
        </w:rPr>
      </w:pPr>
      <w:bookmarkStart w:id="2" w:name="_Hlk154743134"/>
      <w:r>
        <w:rPr>
          <w:i/>
          <w:sz w:val="28"/>
          <w:szCs w:val="28"/>
          <w:lang w:val="nl-NL"/>
        </w:rPr>
        <w:t xml:space="preserve">- Tên dự toán: </w:t>
      </w:r>
      <w:r>
        <w:rPr>
          <w:b/>
          <w:sz w:val="28"/>
          <w:szCs w:val="28"/>
        </w:rPr>
        <w:t>Cung cấp Văn phòng phẩm, tạp phẩm; Cung cấp bảng biển, nội thất văn phòng nhà C; Cung cấp xe cứu thương</w:t>
      </w:r>
      <w:r>
        <w:rPr>
          <w:i/>
          <w:sz w:val="28"/>
          <w:szCs w:val="28"/>
          <w:lang w:val="nl-NL"/>
        </w:rPr>
        <w:t>.</w:t>
      </w:r>
    </w:p>
    <w:p w14:paraId="1CC98A38">
      <w:pPr>
        <w:widowControl w:val="0"/>
        <w:spacing w:before="120" w:after="120" w:line="264" w:lineRule="auto"/>
        <w:ind w:firstLine="709"/>
        <w:rPr>
          <w:b/>
          <w:bCs/>
          <w:sz w:val="28"/>
          <w:szCs w:val="28"/>
        </w:rPr>
      </w:pPr>
      <w:r>
        <w:rPr>
          <w:i/>
          <w:sz w:val="28"/>
          <w:szCs w:val="28"/>
          <w:lang w:val="nl-NL"/>
        </w:rPr>
        <w:t xml:space="preserve">- Tên gói thầu: </w:t>
      </w:r>
      <w:r>
        <w:rPr>
          <w:b/>
          <w:bCs/>
          <w:sz w:val="28"/>
          <w:szCs w:val="28"/>
        </w:rPr>
        <w:t>Mua sắm bảng biển, nội thất văn phòng nhà C</w:t>
      </w:r>
    </w:p>
    <w:p w14:paraId="7AC83505">
      <w:pPr>
        <w:widowControl w:val="0"/>
        <w:spacing w:before="120" w:after="120" w:line="264" w:lineRule="auto"/>
        <w:ind w:firstLine="709"/>
        <w:rPr>
          <w:i/>
          <w:sz w:val="28"/>
          <w:szCs w:val="28"/>
          <w:lang w:val="nl-NL"/>
        </w:rPr>
      </w:pPr>
      <w:r>
        <w:rPr>
          <w:i/>
          <w:sz w:val="28"/>
          <w:szCs w:val="28"/>
          <w:lang w:val="nl-NL"/>
        </w:rPr>
        <w:t>- Nguồn vốn để thực hiện gói thầu</w:t>
      </w:r>
      <w:r>
        <w:rPr>
          <w:b/>
          <w:i/>
          <w:sz w:val="28"/>
          <w:szCs w:val="28"/>
          <w:lang w:val="nl-NL"/>
        </w:rPr>
        <w:t xml:space="preserve">: </w:t>
      </w:r>
      <w:r>
        <w:rPr>
          <w:b/>
          <w:sz w:val="28"/>
          <w:szCs w:val="28"/>
          <w:lang w:val="nl-NL"/>
        </w:rPr>
        <w:t>N</w:t>
      </w:r>
      <w:r>
        <w:rPr>
          <w:b/>
          <w:sz w:val="28"/>
          <w:szCs w:val="28"/>
        </w:rPr>
        <w:t>guồn thu dịch vụ khám bệnh, chữa bệnh của Bệnh viện Da liễu Trung ương</w:t>
      </w:r>
      <w:r>
        <w:rPr>
          <w:b/>
          <w:i/>
          <w:sz w:val="28"/>
          <w:szCs w:val="28"/>
          <w:lang w:val="nl-NL"/>
        </w:rPr>
        <w:t>.</w:t>
      </w:r>
    </w:p>
    <w:p w14:paraId="6DA7073C">
      <w:pPr>
        <w:widowControl w:val="0"/>
        <w:spacing w:before="120" w:after="120" w:line="264" w:lineRule="auto"/>
        <w:ind w:firstLine="709"/>
        <w:rPr>
          <w:i/>
          <w:sz w:val="28"/>
          <w:szCs w:val="28"/>
          <w:lang w:val="nl-NL"/>
        </w:rPr>
      </w:pPr>
      <w:r>
        <w:rPr>
          <w:i/>
          <w:sz w:val="28"/>
          <w:szCs w:val="28"/>
          <w:lang w:val="nl-NL"/>
        </w:rPr>
        <w:t>- Thời gian thực hiện hợp đồng: 60 ngày.</w:t>
      </w:r>
    </w:p>
    <w:p w14:paraId="3BCD83E8">
      <w:pPr>
        <w:widowControl w:val="0"/>
        <w:spacing w:before="120" w:after="120" w:line="264" w:lineRule="auto"/>
        <w:ind w:firstLine="709"/>
        <w:rPr>
          <w:i/>
          <w:sz w:val="28"/>
          <w:szCs w:val="28"/>
          <w:lang w:val="nl-NL"/>
        </w:rPr>
      </w:pPr>
      <w:r>
        <w:rPr>
          <w:i/>
          <w:sz w:val="28"/>
          <w:szCs w:val="28"/>
          <w:lang w:val="nl-NL"/>
        </w:rPr>
        <w:t>- Loại hợp đồng: Hợp đồng theo đơn giá cố định.</w:t>
      </w:r>
    </w:p>
    <w:p w14:paraId="564A1F8A">
      <w:pPr>
        <w:widowControl w:val="0"/>
        <w:spacing w:before="120" w:after="120" w:line="264" w:lineRule="auto"/>
        <w:ind w:firstLine="709"/>
        <w:rPr>
          <w:i/>
          <w:sz w:val="28"/>
          <w:szCs w:val="28"/>
          <w:lang w:val="nl-NL"/>
        </w:rPr>
      </w:pPr>
      <w:r>
        <w:rPr>
          <w:i/>
          <w:sz w:val="28"/>
          <w:szCs w:val="28"/>
          <w:lang w:val="nl-NL"/>
        </w:rPr>
        <w:t>- Hình thức đấu thầu: Chào hàng cạnh tranh qua mạng.</w:t>
      </w:r>
    </w:p>
    <w:p w14:paraId="74A8DD2D">
      <w:pPr>
        <w:widowControl w:val="0"/>
        <w:spacing w:before="120" w:after="120" w:line="264" w:lineRule="auto"/>
        <w:ind w:firstLine="709"/>
        <w:rPr>
          <w:i/>
          <w:sz w:val="28"/>
          <w:szCs w:val="28"/>
          <w:lang w:val="nl-NL"/>
        </w:rPr>
      </w:pPr>
      <w:r>
        <w:rPr>
          <w:i/>
          <w:sz w:val="28"/>
          <w:szCs w:val="28"/>
          <w:lang w:val="nl-NL"/>
        </w:rPr>
        <w:t>- Phương thức đấu thầu: Một giai đoạn, (01) túi hồ sơ.</w:t>
      </w:r>
    </w:p>
    <w:bookmarkEnd w:id="2"/>
    <w:p w14:paraId="0D3A04B5">
      <w:pPr>
        <w:widowControl w:val="0"/>
        <w:spacing w:before="120" w:after="120" w:line="264" w:lineRule="auto"/>
        <w:ind w:firstLine="709"/>
        <w:rPr>
          <w:b/>
          <w:i/>
          <w:sz w:val="28"/>
          <w:szCs w:val="28"/>
          <w:lang w:val="nl-NL"/>
        </w:rPr>
      </w:pPr>
      <w:r>
        <w:rPr>
          <w:b/>
          <w:i/>
          <w:sz w:val="28"/>
          <w:szCs w:val="28"/>
          <w:lang w:val="nl-NL"/>
        </w:rPr>
        <w:t>1.2. Yêu cầu về kỹ thuật</w:t>
      </w:r>
    </w:p>
    <w:p w14:paraId="05D342E3">
      <w:pPr>
        <w:spacing w:before="80" w:after="80" w:line="288" w:lineRule="auto"/>
        <w:ind w:firstLine="709"/>
        <w:rPr>
          <w:spacing w:val="-2"/>
          <w:sz w:val="28"/>
          <w:szCs w:val="28"/>
          <w:lang w:val="nl-NL"/>
        </w:rPr>
      </w:pPr>
      <w:r>
        <w:rPr>
          <w:spacing w:val="-2"/>
          <w:sz w:val="28"/>
          <w:szCs w:val="28"/>
          <w:lang w:val="nl-NL"/>
        </w:rPr>
        <w:t>Hàng hóa phải đáp ứng tất cả các yêu cầu quy định tại mục này, bao gồm yêu cầu về kỹ thuật chung, yêu cầu về kỹ thuật chi tiết đối với hàng hóa thuộc phạm vi cung cấp của gói thầu, cụ thể:</w:t>
      </w:r>
    </w:p>
    <w:p w14:paraId="14B9BB9C">
      <w:pPr>
        <w:pStyle w:val="304"/>
        <w:widowControl w:val="0"/>
        <w:tabs>
          <w:tab w:val="right" w:pos="7272"/>
        </w:tabs>
        <w:spacing w:before="120" w:line="360" w:lineRule="exact"/>
        <w:ind w:left="450" w:firstLine="259"/>
        <w:rPr>
          <w:bCs/>
          <w:sz w:val="28"/>
          <w:szCs w:val="28"/>
        </w:rPr>
      </w:pPr>
      <w:r>
        <w:rPr>
          <w:bCs/>
          <w:sz w:val="28"/>
          <w:szCs w:val="28"/>
        </w:rPr>
        <w:t>- Phần 1: Cung cấp bảng biển nhà C;</w:t>
      </w:r>
    </w:p>
    <w:p w14:paraId="345F0B8A">
      <w:pPr>
        <w:pStyle w:val="304"/>
        <w:widowControl w:val="0"/>
        <w:tabs>
          <w:tab w:val="right" w:pos="7272"/>
        </w:tabs>
        <w:spacing w:before="120" w:line="360" w:lineRule="exact"/>
        <w:ind w:left="450" w:firstLine="259"/>
        <w:rPr>
          <w:spacing w:val="-4"/>
          <w:sz w:val="28"/>
          <w:szCs w:val="28"/>
        </w:rPr>
      </w:pPr>
      <w:r>
        <w:rPr>
          <w:bCs/>
          <w:sz w:val="28"/>
          <w:szCs w:val="28"/>
        </w:rPr>
        <w:t>- Phần 2: Cung cấp nội thất văn phòng nhà C.</w:t>
      </w:r>
    </w:p>
    <w:p w14:paraId="3D4A8BFE">
      <w:pPr>
        <w:spacing w:before="80" w:after="80" w:line="288" w:lineRule="auto"/>
        <w:ind w:left="709"/>
        <w:rPr>
          <w:i/>
          <w:spacing w:val="-2"/>
          <w:sz w:val="28"/>
          <w:szCs w:val="28"/>
          <w:lang w:val="nl-NL"/>
        </w:rPr>
      </w:pPr>
      <w:r>
        <w:rPr>
          <w:i/>
          <w:spacing w:val="-2"/>
          <w:sz w:val="28"/>
          <w:szCs w:val="28"/>
          <w:lang w:val="nl-NL"/>
        </w:rPr>
        <w:t>a) Yêu cầu kỹ thuật chung</w:t>
      </w:r>
    </w:p>
    <w:p w14:paraId="6FE96776">
      <w:pPr>
        <w:spacing w:before="80" w:after="80" w:line="288" w:lineRule="auto"/>
        <w:ind w:firstLine="709"/>
        <w:rPr>
          <w:iCs/>
          <w:sz w:val="28"/>
          <w:szCs w:val="28"/>
          <w:lang w:val="nl-NL"/>
        </w:rPr>
      </w:pPr>
      <w:r>
        <w:rPr>
          <w:iCs/>
          <w:sz w:val="28"/>
          <w:szCs w:val="28"/>
          <w:lang w:val="nl-NL"/>
        </w:rPr>
        <w:t xml:space="preserve">Hàng hóa tham dự thầu phải đáp ứng tất </w:t>
      </w:r>
      <w:r>
        <w:rPr>
          <w:iCs/>
          <w:sz w:val="28"/>
          <w:szCs w:val="28"/>
          <w:lang w:val="vi-VN"/>
        </w:rPr>
        <w:t xml:space="preserve">cả </w:t>
      </w:r>
      <w:r>
        <w:rPr>
          <w:iCs/>
          <w:sz w:val="28"/>
          <w:szCs w:val="28"/>
          <w:lang w:val="nl-NL"/>
        </w:rPr>
        <w:t>các yêu cầu tại mục 3, chương III của E-HSMT này.</w:t>
      </w:r>
    </w:p>
    <w:p w14:paraId="6833120D">
      <w:pPr>
        <w:spacing w:before="80" w:after="80" w:line="288" w:lineRule="auto"/>
        <w:ind w:firstLine="709"/>
        <w:rPr>
          <w:i/>
          <w:spacing w:val="-2"/>
          <w:sz w:val="28"/>
          <w:szCs w:val="28"/>
          <w:lang w:val="nl-NL"/>
        </w:rPr>
      </w:pPr>
      <w:r>
        <w:rPr>
          <w:i/>
          <w:iCs/>
          <w:sz w:val="28"/>
          <w:szCs w:val="28"/>
          <w:lang w:val="nl-NL"/>
        </w:rPr>
        <w:t>b) Yêu cầu kỹ thuật chi tiết</w:t>
      </w:r>
    </w:p>
    <w:p w14:paraId="0A48640D">
      <w:pPr>
        <w:pStyle w:val="304"/>
        <w:widowControl w:val="0"/>
        <w:tabs>
          <w:tab w:val="left" w:pos="709"/>
        </w:tabs>
        <w:spacing w:before="120" w:line="360" w:lineRule="exact"/>
        <w:ind w:left="0" w:firstLine="426"/>
        <w:rPr>
          <w:bCs/>
          <w:i/>
          <w:sz w:val="28"/>
          <w:szCs w:val="28"/>
          <w:lang w:val="es-ES"/>
        </w:rPr>
      </w:pPr>
      <w:r>
        <w:rPr>
          <w:bCs/>
          <w:i/>
          <w:sz w:val="28"/>
          <w:szCs w:val="28"/>
          <w:lang w:val="es-ES"/>
        </w:rPr>
        <w:tab/>
      </w:r>
      <w:r>
        <w:rPr>
          <w:bCs/>
          <w:i/>
          <w:sz w:val="28"/>
          <w:szCs w:val="28"/>
          <w:lang w:val="es-ES"/>
        </w:rPr>
        <w:t xml:space="preserve">Yêu cầu kỹ thuật của hàng hoá mô tả dưới đây là tối thiểu, chỉ nhằm mục đích mô tả và không nhằm mục đích hạn chế nhà thầu. Nhà thầu có thể đưa ra các tiêu chuẩn chất lượng, nhãn hiệu hàng hoá, catalogue khác miễn là nhà thầu chứng minh cho </w:t>
      </w:r>
      <w:r>
        <w:rPr>
          <w:bCs/>
          <w:i/>
          <w:color w:val="000000"/>
          <w:sz w:val="28"/>
          <w:szCs w:val="28"/>
          <w:lang w:val="vi-VN"/>
        </w:rPr>
        <w:t>Chủ đầu tư</w:t>
      </w:r>
      <w:r>
        <w:rPr>
          <w:bCs/>
          <w:i/>
          <w:color w:val="000000"/>
          <w:sz w:val="28"/>
          <w:szCs w:val="28"/>
          <w:lang w:val="es-ES"/>
        </w:rPr>
        <w:t xml:space="preserve"> thấy rằng những thay thế đó vẫn đảm bảo sự tương đương (tương đương được hiểu là tương đương về đặc tính kỹ thuật, tiêu chuẩn công nghệ, tính năng sử dụng</w:t>
      </w:r>
      <w:r>
        <w:rPr>
          <w:bCs/>
          <w:i/>
          <w:sz w:val="28"/>
          <w:szCs w:val="28"/>
          <w:lang w:val="es-ES"/>
        </w:rPr>
        <w:t>) hoặc tốt hơn so với yêu cầu của hồ sơ mời thầu (tốt hơn được hiểu là hàng hóa đáp ứng yêu cầu về kỹ thuật và khi sử dụng thì đạt hiệu quả cao hơn mục tiêu của bên mời thầu).</w:t>
      </w:r>
    </w:p>
    <w:p w14:paraId="16330CB5">
      <w:pPr>
        <w:pStyle w:val="304"/>
        <w:widowControl w:val="0"/>
        <w:tabs>
          <w:tab w:val="left" w:pos="1134"/>
        </w:tabs>
        <w:spacing w:before="120" w:line="360" w:lineRule="exact"/>
        <w:ind w:left="0" w:firstLine="709"/>
        <w:rPr>
          <w:bCs/>
          <w:i/>
          <w:sz w:val="28"/>
          <w:szCs w:val="28"/>
          <w:lang w:val="es-ES"/>
        </w:rPr>
      </w:pPr>
      <w:r>
        <w:rPr>
          <w:bCs/>
          <w:i/>
          <w:sz w:val="28"/>
          <w:szCs w:val="28"/>
          <w:lang w:val="es-ES"/>
        </w:rPr>
        <w:t>Hồ sơ dự thầu của nhà thầu phải cung cấp các tài liệu để chứng minh hàng hóa mà nhà thầu cung cấp đáp ứng các yêu cầu về kỹ thuật theo quy định của HSMT, Tài liệu chứng minh sự phù hợp của hàng hóa có thể là hồ sơ, giấy tờ, bản vẽ, số liệu được mô tả chi tiết theo từng khoản mục về đặc tính kỹ thuật, tính năng sử dụng cơ bản của hàng hóa và dịch vụ liên quan, qua đó chứng minh sự đáp ứng cơ bản của hàng hóa, dịch vụ so với các yêu cầu của E-HSMT và một bảng kê những điểm sai khác và ngoại lệ (nếu có) so với quy định tại HSMT (Tài liệu chứng minh sự phù hợp của hàng hóa có bản dịch Tiếng Việt nếu tài liệu là ngôn ngữ khác). Tài liệu chứng minh sự phù hợp của hàng hóa phải thể hiện đầy đủ các thông số kỹ thuật của hàng hoá chào thầu.</w:t>
      </w:r>
    </w:p>
    <w:p w14:paraId="3F7B4842">
      <w:pPr>
        <w:spacing w:before="80" w:after="80" w:line="288" w:lineRule="auto"/>
        <w:ind w:firstLine="709"/>
        <w:rPr>
          <w:spacing w:val="-2"/>
          <w:sz w:val="28"/>
          <w:szCs w:val="28"/>
          <w:lang w:val="nl-NL"/>
        </w:rPr>
      </w:pPr>
      <w:r>
        <w:rPr>
          <w:spacing w:val="-2"/>
          <w:sz w:val="28"/>
          <w:szCs w:val="28"/>
          <w:lang w:val="nl-NL"/>
        </w:rPr>
        <w:t>- Hàng hóa cung cấp là hàng hoá mới 100% nguyên đai, nguyên kiện, đóng gói theo tiêu chuẩn của nhà sản xuất và được sản xuất từ năm 2025 trở lại đây, có nguồn gốc xuất xứ rõ ràng và hợp pháp.</w:t>
      </w:r>
    </w:p>
    <w:p w14:paraId="778FD0E8">
      <w:pPr>
        <w:spacing w:before="80" w:after="80" w:line="288" w:lineRule="auto"/>
        <w:ind w:firstLine="709"/>
        <w:rPr>
          <w:spacing w:val="-2"/>
          <w:sz w:val="28"/>
          <w:szCs w:val="28"/>
          <w:lang w:val="nl-NL"/>
        </w:rPr>
      </w:pPr>
      <w:r>
        <w:rPr>
          <w:spacing w:val="-2"/>
          <w:sz w:val="28"/>
          <w:szCs w:val="28"/>
          <w:lang w:val="nl-NL"/>
        </w:rPr>
        <w:t xml:space="preserve">- Nhà thầu cung cấp và lắp đặt hàng hóa theo đúng thông số kỹ thuật quy định hoặc tương đương (giống nhau về chức năng, công dụng, chỉ số chất lượng, tính năng kỹ thuật và các thuộc tính cơ bản khác) hoặc tốt hơn. </w:t>
      </w:r>
    </w:p>
    <w:p w14:paraId="634E58AD">
      <w:pPr>
        <w:spacing w:before="80" w:after="80" w:line="288" w:lineRule="auto"/>
        <w:ind w:firstLine="709"/>
        <w:rPr>
          <w:spacing w:val="-2"/>
          <w:sz w:val="28"/>
          <w:szCs w:val="28"/>
          <w:lang w:val="nl-NL"/>
        </w:rPr>
      </w:pPr>
      <w:r>
        <w:rPr>
          <w:spacing w:val="-2"/>
          <w:sz w:val="28"/>
          <w:szCs w:val="28"/>
          <w:lang w:val="nl-NL"/>
        </w:rPr>
        <w:t>- Hàng hóa phải được đo đạc kỹ lưỡng theo hiện trạng công trình của Bệnh viện trước khi sản xuất.</w:t>
      </w:r>
    </w:p>
    <w:p w14:paraId="4FACE38D">
      <w:pPr>
        <w:spacing w:before="80" w:after="80" w:line="288" w:lineRule="auto"/>
        <w:ind w:firstLine="709"/>
        <w:rPr>
          <w:rStyle w:val="313"/>
          <w:rFonts w:ascii="Times New Roman" w:hAnsi="Times New Roman"/>
          <w:sz w:val="28"/>
          <w:szCs w:val="28"/>
        </w:rPr>
      </w:pPr>
      <w:r>
        <w:rPr>
          <w:rStyle w:val="313"/>
          <w:rFonts w:ascii="Times New Roman" w:hAnsi="Times New Roman"/>
          <w:sz w:val="28"/>
          <w:szCs w:val="28"/>
        </w:rPr>
        <w:t xml:space="preserve">- Hàng hóa </w:t>
      </w:r>
      <w:r>
        <w:rPr>
          <w:spacing w:val="-2"/>
          <w:sz w:val="28"/>
          <w:szCs w:val="28"/>
          <w:lang w:val="nl-NL"/>
        </w:rPr>
        <w:t xml:space="preserve">đáp ứng đầy đủ danh mục, số lượng và </w:t>
      </w:r>
      <w:r>
        <w:rPr>
          <w:rStyle w:val="313"/>
          <w:rFonts w:ascii="Times New Roman" w:hAnsi="Times New Roman"/>
          <w:sz w:val="28"/>
          <w:szCs w:val="28"/>
        </w:rPr>
        <w:t>nêu rõ xuất xứ của hàng hóa, ký mã hiệu, nhãn mác và các nội dung đáp ứng về kỹ thuật.</w:t>
      </w:r>
    </w:p>
    <w:p w14:paraId="36A277FB">
      <w:pPr>
        <w:spacing w:before="80" w:after="80" w:line="288" w:lineRule="auto"/>
        <w:ind w:firstLine="709"/>
        <w:rPr>
          <w:spacing w:val="-2"/>
          <w:sz w:val="28"/>
          <w:szCs w:val="28"/>
          <w:lang w:val="nl-NL"/>
        </w:rPr>
      </w:pPr>
      <w:r>
        <w:rPr>
          <w:spacing w:val="-2"/>
          <w:sz w:val="28"/>
          <w:szCs w:val="28"/>
          <w:lang w:val="nl-NL"/>
        </w:rPr>
        <w:t>- Hàng hóa phải vận chuyển và lắp đặt tại Bệnh viện da liễu Trung ương theo đúng vị trí, yêu cầu của Chủ đầu tư.</w:t>
      </w:r>
    </w:p>
    <w:p w14:paraId="11E1B745">
      <w:pPr>
        <w:spacing w:before="80" w:after="80" w:line="288" w:lineRule="auto"/>
        <w:ind w:firstLine="709"/>
        <w:rPr>
          <w:spacing w:val="-2"/>
          <w:sz w:val="28"/>
          <w:szCs w:val="28"/>
          <w:lang w:val="nl-NL"/>
        </w:rPr>
      </w:pPr>
      <w:r>
        <w:rPr>
          <w:spacing w:val="-2"/>
          <w:sz w:val="28"/>
          <w:szCs w:val="28"/>
          <w:lang w:val="nl-NL"/>
        </w:rPr>
        <w:t>- Thời gian bảo hành sản phẩm hàng hóa tối thiểu 12 tháng.</w:t>
      </w:r>
    </w:p>
    <w:p w14:paraId="1B4098CD">
      <w:pPr>
        <w:spacing w:before="80" w:after="80" w:line="288" w:lineRule="auto"/>
        <w:ind w:firstLine="709"/>
        <w:rPr>
          <w:spacing w:val="-2"/>
          <w:sz w:val="28"/>
          <w:szCs w:val="28"/>
          <w:lang w:val="nl-NL"/>
        </w:rPr>
      </w:pPr>
      <w:r>
        <w:rPr>
          <w:spacing w:val="-2"/>
          <w:sz w:val="28"/>
          <w:szCs w:val="28"/>
          <w:lang w:val="nl-NL"/>
        </w:rPr>
        <w:t>- Cam kết cung cấp dịch vụ sửa chữa, vật tư tiêu hao và phụ tùng thay thế trong vòng 05 năm, tại Bệnh viện, kể từ ngày hết thời hạn bảo hành.</w:t>
      </w:r>
    </w:p>
    <w:p w14:paraId="1832B5EF">
      <w:pPr>
        <w:spacing w:before="80" w:after="80" w:line="288" w:lineRule="auto"/>
        <w:ind w:firstLine="709"/>
        <w:rPr>
          <w:spacing w:val="-2"/>
          <w:sz w:val="28"/>
          <w:szCs w:val="28"/>
          <w:lang w:val="nl-NL"/>
        </w:rPr>
      </w:pPr>
      <w:r>
        <w:rPr>
          <w:spacing w:val="-2"/>
          <w:sz w:val="28"/>
          <w:szCs w:val="28"/>
          <w:lang w:val="nl-NL"/>
        </w:rPr>
        <w:t>- Giá chào bao gồm giá hàng hóa, các phụ kiện và chi phí lắp đặt hoàn thiện, bảo hành theo hợp đồng, thuế phí theo quy định đến khi hoàn thành bàn giao cho Chủ đầu tư.</w:t>
      </w:r>
    </w:p>
    <w:p w14:paraId="6C7A53E9">
      <w:pPr>
        <w:spacing w:before="80" w:after="80" w:line="288" w:lineRule="auto"/>
        <w:ind w:firstLine="709"/>
        <w:rPr>
          <w:spacing w:val="-2"/>
          <w:sz w:val="28"/>
          <w:szCs w:val="28"/>
          <w:lang w:val="nl-NL"/>
        </w:rPr>
      </w:pPr>
      <w:r>
        <w:rPr>
          <w:spacing w:val="-2"/>
          <w:sz w:val="28"/>
          <w:szCs w:val="28"/>
          <w:lang w:val="nl-NL"/>
        </w:rPr>
        <w:t>Yêu cầu nhà thầu tóm tắt thông số kỹ thuật của hàng hóa và các dịch vụ liên quan chứng minh hàng hóa do nhà thầu chào tuân thủ các thông số kỹ thuật và các tiêu chuẩn dưới đây hoặc có thông số kỹ thuật tương đương. Bất kỳ thương hiệu, nhãn hiệu nào nếu có trong bảng yêu cầu kỹ thuật đều mang tính chất minh họa các tiêu chuẩn chất lượng, tính năng kỹ thuật yêu cầu. Nhà thầu có thể lựa chọn dự thầu hàng hóa có nguồn gốc, xuất xứ, nhà sản xuất, thương hiệu phù hợp với điều kiện cung cấp nhưng phải đảm bảo yêu cầu có thông số kỹ thuật, tính năng sử dụng, tiêu chuẩn công nghệ “tương đương” hoặc tốt hơn so với các yêu cầu cụ thể ở dưới và cung cấp tài liệu chứng minh sự đáp ứng tốt hơn của hàng hóa chào thầu so với yêu cầu của E-HSMT.</w:t>
      </w:r>
    </w:p>
    <w:p w14:paraId="2BF1F36D">
      <w:pPr>
        <w:spacing w:before="80" w:after="80" w:line="288" w:lineRule="auto"/>
        <w:ind w:firstLine="709"/>
        <w:rPr>
          <w:spacing w:val="-2"/>
          <w:sz w:val="28"/>
          <w:szCs w:val="28"/>
          <w:lang w:val="nl-NL"/>
        </w:rPr>
      </w:pPr>
      <w:r>
        <w:rPr>
          <w:spacing w:val="-2"/>
          <w:sz w:val="28"/>
          <w:szCs w:val="28"/>
          <w:lang w:val="nl-NL"/>
        </w:rPr>
        <w:t>Thông số kỹ thuật của hàng hóa, dịch vụ liên quan: Hàng hóa, dịch vụ liên quan phải tuân thủ các thông số kỹ thuật và tiêu chuẩn sau đây:</w:t>
      </w:r>
    </w:p>
    <w:p w14:paraId="7C147815">
      <w:pPr>
        <w:spacing w:after="160" w:line="259" w:lineRule="auto"/>
        <w:ind w:firstLine="709"/>
        <w:rPr>
          <w:i/>
          <w:spacing w:val="-2"/>
          <w:sz w:val="28"/>
          <w:szCs w:val="28"/>
          <w:lang w:val="nl-NL"/>
        </w:rPr>
      </w:pPr>
      <w:r>
        <w:rPr>
          <w:i/>
          <w:spacing w:val="-2"/>
          <w:sz w:val="28"/>
          <w:szCs w:val="28"/>
          <w:lang w:val="nl-NL"/>
        </w:rPr>
        <w:t xml:space="preserve">[Nếu yêu cầu cung cấp bản tóm tắt thông số kỹ thuật thì Chủ đầu tư phải ghi thông tin vào bảng dưới đây. Nhà thầu sẽ soạn một bảng tương tự để chứng minh hàng hóa do nhà thầu chào tuân thủ với các yêu cầu đó]. </w:t>
      </w:r>
    </w:p>
    <w:p w14:paraId="384FB584">
      <w:pPr>
        <w:ind w:firstLine="567"/>
        <w:rPr>
          <w:b/>
          <w:color w:val="000000" w:themeColor="text1"/>
          <w:spacing w:val="-2"/>
          <w:sz w:val="28"/>
          <w:szCs w:val="28"/>
          <w:lang w:val="nl-NL"/>
          <w14:textFill>
            <w14:solidFill>
              <w14:schemeClr w14:val="tx1"/>
            </w14:solidFill>
          </w14:textFill>
        </w:rPr>
      </w:pPr>
      <w:r>
        <w:rPr>
          <w:b/>
          <w:color w:val="000000" w:themeColor="text1"/>
          <w:spacing w:val="-2"/>
          <w:sz w:val="28"/>
          <w:szCs w:val="28"/>
          <w:lang w:val="nl-NL"/>
          <w14:textFill>
            <w14:solidFill>
              <w14:schemeClr w14:val="tx1"/>
            </w14:solidFill>
          </w14:textFill>
        </w:rPr>
        <w:t>1.2.1. Yêu cầu về đặc tính, thông số kỹ thuật hàng hóa</w:t>
      </w:r>
    </w:p>
    <w:p w14:paraId="64F35467">
      <w:pPr>
        <w:widowControl w:val="0"/>
        <w:spacing w:before="120" w:after="120" w:line="264" w:lineRule="auto"/>
        <w:ind w:firstLine="709"/>
        <w:rPr>
          <w:i/>
          <w:spacing w:val="-2"/>
          <w:sz w:val="28"/>
          <w:szCs w:val="28"/>
          <w:lang w:val="nl-NL"/>
        </w:rPr>
      </w:pPr>
      <w:r>
        <w:rPr>
          <w:iCs/>
          <w:color w:val="000000" w:themeColor="text1"/>
          <w:sz w:val="28"/>
          <w:szCs w:val="28"/>
          <w:lang w:val="nl-NL"/>
          <w14:textFill>
            <w14:solidFill>
              <w14:schemeClr w14:val="tx1"/>
            </w14:solidFill>
          </w14:textFill>
        </w:rPr>
        <w:t>Hàng hóa chào thầu phải đáp ứng các thông số kỹ thuật và các tiêu chuẩn tối thiểu sau đây:</w:t>
      </w:r>
      <w:r>
        <w:rPr>
          <w:i/>
          <w:spacing w:val="-2"/>
          <w:sz w:val="28"/>
          <w:szCs w:val="28"/>
          <w:lang w:val="nl-NL"/>
        </w:rPr>
        <w:t xml:space="preserve"> </w:t>
      </w:r>
    </w:p>
    <w:p w14:paraId="65F9F03F">
      <w:pPr>
        <w:spacing w:after="160" w:line="259" w:lineRule="auto"/>
        <w:jc w:val="left"/>
        <w:rPr>
          <w:i/>
          <w:spacing w:val="-2"/>
          <w:sz w:val="28"/>
          <w:szCs w:val="28"/>
          <w:lang w:val="nl-NL"/>
        </w:rPr>
      </w:pPr>
      <w:r>
        <w:rPr>
          <w:i/>
          <w:spacing w:val="-2"/>
          <w:sz w:val="28"/>
          <w:szCs w:val="28"/>
          <w:lang w:val="nl-NL"/>
        </w:rPr>
        <w:t>Phần 1: Bảng biển nhà C</w:t>
      </w:r>
    </w:p>
    <w:tbl>
      <w:tblPr>
        <w:tblStyle w:val="12"/>
        <w:tblW w:w="9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487"/>
        <w:gridCol w:w="5760"/>
      </w:tblGrid>
      <w:tr w14:paraId="7383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1838" w:type="dxa"/>
            <w:shd w:val="clear" w:color="auto" w:fill="E2EFD9" w:themeFill="accent6" w:themeFillTint="33"/>
            <w:vAlign w:val="center"/>
          </w:tcPr>
          <w:p w14:paraId="40829241">
            <w:pPr>
              <w:spacing w:before="120" w:after="120"/>
              <w:jc w:val="center"/>
              <w:rPr>
                <w:rFonts w:hint="default" w:ascii="Times New Roman" w:hAnsi="Times New Roman" w:cs="Times New Roman"/>
                <w:b/>
                <w:iCs/>
              </w:rPr>
            </w:pPr>
            <w:r>
              <w:rPr>
                <w:rFonts w:hint="default" w:ascii="Times New Roman" w:hAnsi="Times New Roman" w:cs="Times New Roman"/>
                <w:b/>
                <w:iCs/>
              </w:rPr>
              <w:t>Hạng mục số</w:t>
            </w:r>
          </w:p>
        </w:tc>
        <w:tc>
          <w:tcPr>
            <w:tcW w:w="1487" w:type="dxa"/>
            <w:shd w:val="clear" w:color="auto" w:fill="E2EFD9" w:themeFill="accent6" w:themeFillTint="33"/>
            <w:vAlign w:val="center"/>
          </w:tcPr>
          <w:p w14:paraId="6C319AA2">
            <w:pPr>
              <w:spacing w:before="120" w:after="120"/>
              <w:jc w:val="center"/>
              <w:rPr>
                <w:rFonts w:hint="default" w:ascii="Times New Roman" w:hAnsi="Times New Roman" w:cs="Times New Roman"/>
                <w:b/>
                <w:iCs/>
              </w:rPr>
            </w:pPr>
            <w:r>
              <w:rPr>
                <w:rFonts w:hint="default" w:ascii="Times New Roman" w:hAnsi="Times New Roman" w:cs="Times New Roman"/>
                <w:b/>
                <w:iCs/>
              </w:rPr>
              <w:t>Tên hàng hóa/dịch vụ liên quan</w:t>
            </w:r>
          </w:p>
        </w:tc>
        <w:tc>
          <w:tcPr>
            <w:tcW w:w="5760" w:type="dxa"/>
            <w:shd w:val="clear" w:color="auto" w:fill="E2EFD9" w:themeFill="accent6" w:themeFillTint="33"/>
            <w:vAlign w:val="center"/>
          </w:tcPr>
          <w:p w14:paraId="46061C95">
            <w:pPr>
              <w:spacing w:before="120" w:after="120"/>
              <w:jc w:val="center"/>
              <w:rPr>
                <w:rFonts w:hint="default" w:ascii="Times New Roman" w:hAnsi="Times New Roman" w:cs="Times New Roman"/>
                <w:b/>
                <w:iCs/>
              </w:rPr>
            </w:pPr>
            <w:r>
              <w:rPr>
                <w:rFonts w:hint="default" w:ascii="Times New Roman" w:hAnsi="Times New Roman" w:cs="Times New Roman"/>
                <w:b/>
                <w:iCs/>
              </w:rPr>
              <w:t>Thông số kỹ thuật và các tiêu chuẩn</w:t>
            </w:r>
          </w:p>
        </w:tc>
      </w:tr>
      <w:tr w14:paraId="03EB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blHeader/>
        </w:trPr>
        <w:tc>
          <w:tcPr>
            <w:tcW w:w="1838" w:type="dxa"/>
          </w:tcPr>
          <w:p w14:paraId="0FC6604A">
            <w:pPr>
              <w:spacing w:before="120" w:after="120"/>
              <w:jc w:val="center"/>
              <w:rPr>
                <w:rFonts w:hint="default" w:ascii="Times New Roman" w:hAnsi="Times New Roman" w:cs="Times New Roman"/>
                <w:i/>
                <w:iCs/>
              </w:rPr>
            </w:pPr>
            <w:r>
              <w:rPr>
                <w:rFonts w:hint="default" w:ascii="Times New Roman" w:hAnsi="Times New Roman" w:cs="Times New Roman"/>
                <w:i/>
                <w:iCs/>
              </w:rPr>
              <w:t>[ghi số hiệu hạng mục]</w:t>
            </w:r>
          </w:p>
        </w:tc>
        <w:tc>
          <w:tcPr>
            <w:tcW w:w="1487" w:type="dxa"/>
          </w:tcPr>
          <w:p w14:paraId="4868A5DD">
            <w:pPr>
              <w:spacing w:before="120" w:after="120"/>
              <w:jc w:val="center"/>
              <w:rPr>
                <w:rFonts w:hint="default" w:ascii="Times New Roman" w:hAnsi="Times New Roman" w:cs="Times New Roman"/>
                <w:i/>
                <w:iCs/>
              </w:rPr>
            </w:pPr>
            <w:r>
              <w:rPr>
                <w:rFonts w:hint="default" w:ascii="Times New Roman" w:hAnsi="Times New Roman" w:cs="Times New Roman"/>
                <w:i/>
                <w:iCs/>
              </w:rPr>
              <w:t>[ghi tên]</w:t>
            </w:r>
          </w:p>
        </w:tc>
        <w:tc>
          <w:tcPr>
            <w:tcW w:w="5760" w:type="dxa"/>
          </w:tcPr>
          <w:p w14:paraId="71AFE4DA">
            <w:pPr>
              <w:spacing w:before="120" w:after="120"/>
              <w:jc w:val="center"/>
              <w:rPr>
                <w:rFonts w:hint="default" w:ascii="Times New Roman" w:hAnsi="Times New Roman" w:cs="Times New Roman"/>
                <w:i/>
                <w:iCs/>
              </w:rPr>
            </w:pPr>
            <w:r>
              <w:rPr>
                <w:rFonts w:hint="default" w:ascii="Times New Roman" w:hAnsi="Times New Roman" w:cs="Times New Roman"/>
                <w:i/>
                <w:iCs/>
              </w:rPr>
              <w:t>[ghi thông số kỹ thuật và các tiêu chuẩn]</w:t>
            </w:r>
          </w:p>
        </w:tc>
      </w:tr>
      <w:tr w14:paraId="6EED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1838" w:type="dxa"/>
            <w:vAlign w:val="center"/>
          </w:tcPr>
          <w:p w14:paraId="7941A34E">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w:t>
            </w:r>
          </w:p>
        </w:tc>
        <w:tc>
          <w:tcPr>
            <w:tcW w:w="1487" w:type="dxa"/>
            <w:vAlign w:val="center"/>
          </w:tcPr>
          <w:p w14:paraId="6622CD89">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khoa</w:t>
            </w:r>
          </w:p>
        </w:tc>
        <w:tc>
          <w:tcPr>
            <w:tcW w:w="5760" w:type="dxa"/>
            <w:vAlign w:val="center"/>
          </w:tcPr>
          <w:p w14:paraId="6033F7AE">
            <w:pPr>
              <w:spacing w:before="40" w:after="40"/>
              <w:jc w:val="left"/>
              <w:rPr>
                <w:rFonts w:hint="default" w:ascii="Times New Roman" w:hAnsi="Times New Roman" w:cs="Times New Roman"/>
                <w:szCs w:val="24"/>
              </w:rPr>
            </w:pPr>
            <w:r>
              <w:rPr>
                <w:rFonts w:hint="default" w:ascii="Times New Roman" w:hAnsi="Times New Roman" w:cs="Times New Roman"/>
                <w:szCs w:val="24"/>
              </w:rPr>
              <w:t>- Nội dung in decal UV 3 lớp màu dán bồi Formex trắng trong dày 10mm, theo mẫu thiết kế.</w:t>
            </w:r>
          </w:p>
          <w:p w14:paraId="44B1B22A">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Đóng khung nhôm định hình màu vàng sơn tĩnh điện R4.0 xC 3.0cm. Bên ngoài có lớp phủ Decal trắng bảo vệ. </w:t>
            </w:r>
          </w:p>
          <w:p w14:paraId="700CDAEF">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116mm, tiếng anh cao 22mm); Logo phi 115mm</w:t>
            </w:r>
          </w:p>
          <w:p w14:paraId="3837EF52">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310x40cm (±5cm).</w:t>
            </w:r>
          </w:p>
          <w:p w14:paraId="54E4F73A">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4DC7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21015D69">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2</w:t>
            </w:r>
          </w:p>
        </w:tc>
        <w:tc>
          <w:tcPr>
            <w:tcW w:w="1487" w:type="dxa"/>
            <w:vAlign w:val="center"/>
          </w:tcPr>
          <w:p w14:paraId="4C695671">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thả chỉ dẫn</w:t>
            </w:r>
          </w:p>
        </w:tc>
        <w:tc>
          <w:tcPr>
            <w:tcW w:w="5760" w:type="dxa"/>
            <w:vAlign w:val="center"/>
          </w:tcPr>
          <w:p w14:paraId="002609F7">
            <w:pPr>
              <w:spacing w:before="40" w:after="40"/>
              <w:jc w:val="left"/>
              <w:rPr>
                <w:rFonts w:hint="default" w:ascii="Times New Roman" w:hAnsi="Times New Roman" w:cs="Times New Roman"/>
                <w:szCs w:val="24"/>
              </w:rPr>
            </w:pPr>
            <w:r>
              <w:rPr>
                <w:rFonts w:hint="default" w:ascii="Times New Roman" w:hAnsi="Times New Roman" w:cs="Times New Roman"/>
                <w:szCs w:val="24"/>
              </w:rPr>
              <w:t>- Nội dung in UV 3 lớp ngược lên mặt mica trắng trong 2 mặt theo mẫu thiết kế.</w:t>
            </w:r>
          </w:p>
          <w:p w14:paraId="4E590532">
            <w:pPr>
              <w:spacing w:before="40" w:after="40"/>
              <w:jc w:val="left"/>
              <w:rPr>
                <w:rFonts w:hint="default" w:ascii="Times New Roman" w:hAnsi="Times New Roman" w:cs="Times New Roman"/>
                <w:szCs w:val="24"/>
              </w:rPr>
            </w:pPr>
            <w:r>
              <w:rPr>
                <w:rFonts w:hint="default" w:ascii="Times New Roman" w:hAnsi="Times New Roman" w:cs="Times New Roman"/>
                <w:szCs w:val="24"/>
              </w:rPr>
              <w:t>- Biển dầy 0,5-3 cm. Treo thả dây cáp dài 20 cm từ trần xuống. Dán Decal phía sau bảo vệ.</w:t>
            </w:r>
          </w:p>
          <w:p w14:paraId="48293F68">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50x20cm (±3cm).</w:t>
            </w:r>
          </w:p>
          <w:p w14:paraId="717264C0">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30mm, tiếng anh cao 15mm); Logo phi 183mm</w:t>
            </w:r>
          </w:p>
          <w:p w14:paraId="4C901023">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2EE6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0925E1C7">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3</w:t>
            </w:r>
          </w:p>
        </w:tc>
        <w:tc>
          <w:tcPr>
            <w:tcW w:w="1487" w:type="dxa"/>
            <w:vAlign w:val="center"/>
          </w:tcPr>
          <w:p w14:paraId="0D5352CF">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thả khu vực</w:t>
            </w:r>
          </w:p>
        </w:tc>
        <w:tc>
          <w:tcPr>
            <w:tcW w:w="5760" w:type="dxa"/>
            <w:vAlign w:val="center"/>
          </w:tcPr>
          <w:p w14:paraId="509C7590">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Nội dung in UV 3 lớp ngược lên mặt mica trắng trong  1 hoặc 2 mặt ép vào nhau theo mẫu thiết kế. </w:t>
            </w:r>
          </w:p>
          <w:p w14:paraId="1D56EF27">
            <w:pPr>
              <w:spacing w:before="40" w:after="40"/>
              <w:jc w:val="left"/>
              <w:rPr>
                <w:rFonts w:hint="default" w:ascii="Times New Roman" w:hAnsi="Times New Roman" w:cs="Times New Roman"/>
                <w:szCs w:val="24"/>
              </w:rPr>
            </w:pPr>
            <w:r>
              <w:rPr>
                <w:rFonts w:hint="default" w:ascii="Times New Roman" w:hAnsi="Times New Roman" w:cs="Times New Roman"/>
                <w:szCs w:val="24"/>
              </w:rPr>
              <w:t>- Biển dầy 0,5-3cm. Treo thả dây cáp dài 20cm từ trần xuống. Dán Decal phía sau bảo vệ.</w:t>
            </w:r>
          </w:p>
          <w:p w14:paraId="2B217CD7">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50x20cm (±3cm).</w:t>
            </w:r>
          </w:p>
          <w:p w14:paraId="3EBF1D7F">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 tiếng việt 30mm, tiếng anh: 15mm); Logo tròn 133mm</w:t>
            </w:r>
          </w:p>
          <w:p w14:paraId="44DB5F5D">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5CF21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51FA001C">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4</w:t>
            </w:r>
          </w:p>
        </w:tc>
        <w:tc>
          <w:tcPr>
            <w:tcW w:w="1487" w:type="dxa"/>
            <w:vAlign w:val="center"/>
          </w:tcPr>
          <w:p w14:paraId="7EE3130D">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phòng lắp tường</w:t>
            </w:r>
          </w:p>
        </w:tc>
        <w:tc>
          <w:tcPr>
            <w:tcW w:w="5760" w:type="dxa"/>
            <w:vAlign w:val="center"/>
          </w:tcPr>
          <w:p w14:paraId="685ED49A">
            <w:pPr>
              <w:spacing w:before="40" w:after="40"/>
              <w:jc w:val="left"/>
              <w:rPr>
                <w:rFonts w:hint="default" w:ascii="Times New Roman" w:hAnsi="Times New Roman" w:cs="Times New Roman"/>
                <w:szCs w:val="24"/>
              </w:rPr>
            </w:pPr>
            <w:r>
              <w:rPr>
                <w:rFonts w:hint="default" w:ascii="Times New Roman" w:hAnsi="Times New Roman" w:cs="Times New Roman"/>
                <w:szCs w:val="24"/>
              </w:rPr>
              <w:t>- In UV 3 lớp ngược nội dung th</w:t>
            </w:r>
            <w:bookmarkStart w:id="3" w:name="_GoBack"/>
            <w:bookmarkEnd w:id="3"/>
            <w:r>
              <w:rPr>
                <w:rFonts w:hint="default" w:ascii="Times New Roman" w:hAnsi="Times New Roman" w:cs="Times New Roman"/>
                <w:szCs w:val="24"/>
              </w:rPr>
              <w:t>eo thiết kế lên mica trắng trong dầy 0,3cm. Dán Decal phía sau bảo vệ.</w:t>
            </w:r>
          </w:p>
          <w:p w14:paraId="190F13F4">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 Khoan lỗ bắt ốc chân kính sản phẩm vào tường bên ngoài phòng.</w:t>
            </w:r>
          </w:p>
          <w:p w14:paraId="727D42B7">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35x20cm (±3cm).</w:t>
            </w:r>
          </w:p>
          <w:p w14:paraId="4A7566D5">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 tiếng việt cao 30mm, tiếng anh cao: 15mm, số phòng cao 53mm).</w:t>
            </w:r>
          </w:p>
          <w:p w14:paraId="14F6D911">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3024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4DCCFF50">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5</w:t>
            </w:r>
          </w:p>
        </w:tc>
        <w:tc>
          <w:tcPr>
            <w:tcW w:w="1487" w:type="dxa"/>
            <w:vAlign w:val="center"/>
          </w:tcPr>
          <w:p w14:paraId="4C6B8B82">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số giường bệnh</w:t>
            </w:r>
          </w:p>
        </w:tc>
        <w:tc>
          <w:tcPr>
            <w:tcW w:w="5760" w:type="dxa"/>
            <w:vAlign w:val="center"/>
          </w:tcPr>
          <w:p w14:paraId="54D3E633">
            <w:pPr>
              <w:spacing w:before="40" w:after="40"/>
              <w:jc w:val="left"/>
              <w:rPr>
                <w:rFonts w:hint="default" w:ascii="Times New Roman" w:hAnsi="Times New Roman" w:cs="Times New Roman"/>
                <w:szCs w:val="24"/>
              </w:rPr>
            </w:pPr>
            <w:r>
              <w:rPr>
                <w:rFonts w:hint="default" w:ascii="Times New Roman" w:hAnsi="Times New Roman" w:cs="Times New Roman"/>
                <w:szCs w:val="24"/>
              </w:rPr>
              <w:t>- In UV 3 lớp ngược nội dung lên mica trắng trong đường kính 15cm, dầy 3mm. Phông chữ Ari (Arial), số cao: 66mm. Dán Decal phía sau bảo vệ.</w:t>
            </w:r>
          </w:p>
          <w:p w14:paraId="6033028D">
            <w:pPr>
              <w:spacing w:before="40" w:after="40"/>
              <w:jc w:val="left"/>
              <w:rPr>
                <w:rFonts w:hint="default" w:ascii="Times New Roman" w:hAnsi="Times New Roman" w:cs="Times New Roman"/>
                <w:szCs w:val="24"/>
              </w:rPr>
            </w:pPr>
            <w:r>
              <w:rPr>
                <w:rFonts w:hint="default" w:ascii="Times New Roman" w:hAnsi="Times New Roman" w:cs="Times New Roman"/>
                <w:szCs w:val="24"/>
              </w:rPr>
              <w:t>- Dán biển bằng keo chuyên dụng.</w:t>
            </w:r>
          </w:p>
          <w:p w14:paraId="1FF5B4C4">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33BC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0242DEE1">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6</w:t>
            </w:r>
          </w:p>
        </w:tc>
        <w:tc>
          <w:tcPr>
            <w:tcW w:w="1487" w:type="dxa"/>
            <w:vAlign w:val="center"/>
          </w:tcPr>
          <w:p w14:paraId="5A6D041A">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nội quy</w:t>
            </w:r>
          </w:p>
        </w:tc>
        <w:tc>
          <w:tcPr>
            <w:tcW w:w="5760" w:type="dxa"/>
            <w:vAlign w:val="center"/>
          </w:tcPr>
          <w:p w14:paraId="2343334A">
            <w:pPr>
              <w:spacing w:before="40" w:after="40"/>
              <w:jc w:val="left"/>
              <w:rPr>
                <w:rFonts w:hint="default" w:ascii="Times New Roman" w:hAnsi="Times New Roman" w:cs="Times New Roman"/>
                <w:szCs w:val="24"/>
              </w:rPr>
            </w:pPr>
            <w:r>
              <w:rPr>
                <w:rFonts w:hint="default" w:ascii="Times New Roman" w:hAnsi="Times New Roman" w:cs="Times New Roman"/>
                <w:szCs w:val="24"/>
              </w:rPr>
              <w:t>- In UV 3 lớp ngược nội dung lên mica trắng trong  dầy 3mm. Dán Decal phía sau bảo vệ.</w:t>
            </w:r>
          </w:p>
          <w:p w14:paraId="64136031">
            <w:pPr>
              <w:spacing w:before="40" w:after="40"/>
              <w:jc w:val="left"/>
              <w:rPr>
                <w:rFonts w:hint="default" w:ascii="Times New Roman" w:hAnsi="Times New Roman" w:cs="Times New Roman"/>
                <w:szCs w:val="24"/>
              </w:rPr>
            </w:pPr>
            <w:r>
              <w:rPr>
                <w:rFonts w:hint="default" w:ascii="Times New Roman" w:hAnsi="Times New Roman" w:cs="Times New Roman"/>
                <w:szCs w:val="24"/>
              </w:rPr>
              <w:t>- Khoan lỗ bắt ốc chân kính sản phẩm vào tường.</w:t>
            </w:r>
          </w:p>
          <w:p w14:paraId="565E2E7C">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50x60 cm (±3cm).</w:t>
            </w:r>
          </w:p>
          <w:p w14:paraId="762A4075">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chữ in cao 35mm, 17mm, 11mm. Logo phi 46mm</w:t>
            </w:r>
          </w:p>
          <w:p w14:paraId="4DF7BA8B">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67CE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5AA35664">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7</w:t>
            </w:r>
          </w:p>
        </w:tc>
        <w:tc>
          <w:tcPr>
            <w:tcW w:w="1487" w:type="dxa"/>
            <w:vAlign w:val="center"/>
          </w:tcPr>
          <w:p w14:paraId="47362C98">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cảnh báo Toilet</w:t>
            </w:r>
          </w:p>
        </w:tc>
        <w:tc>
          <w:tcPr>
            <w:tcW w:w="5760" w:type="dxa"/>
            <w:vAlign w:val="center"/>
          </w:tcPr>
          <w:p w14:paraId="04599D23">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Dán Decal phía sau bảo vệ.</w:t>
            </w:r>
          </w:p>
          <w:p w14:paraId="7CEDF9FD">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20x15 cm (±3cm).</w:t>
            </w:r>
          </w:p>
          <w:p w14:paraId="509C5A8B">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17mm, tiếng anh cao 6mm. Logo phi 46mm.</w:t>
            </w:r>
          </w:p>
          <w:p w14:paraId="194A5540">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53B5280E">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0FA3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76A7EF44">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8</w:t>
            </w:r>
          </w:p>
        </w:tc>
        <w:tc>
          <w:tcPr>
            <w:tcW w:w="1487" w:type="dxa"/>
            <w:vAlign w:val="center"/>
          </w:tcPr>
          <w:p w14:paraId="23930C4D">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cảnh báo trơn trượt</w:t>
            </w:r>
          </w:p>
        </w:tc>
        <w:tc>
          <w:tcPr>
            <w:tcW w:w="5760" w:type="dxa"/>
            <w:vAlign w:val="center"/>
          </w:tcPr>
          <w:p w14:paraId="5B4B9E8B">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Dán Decal phía sau bảo vệ.</w:t>
            </w:r>
          </w:p>
          <w:p w14:paraId="7F0E19A7">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20x15 cm (±3cm).</w:t>
            </w:r>
          </w:p>
          <w:p w14:paraId="5AFB0FBB">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9mm, tiếng anh cao 6mm. Logo phi 46mm</w:t>
            </w:r>
          </w:p>
          <w:p w14:paraId="6C9760B5">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0665EF8D">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53E1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1470CF2F">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9</w:t>
            </w:r>
          </w:p>
        </w:tc>
        <w:tc>
          <w:tcPr>
            <w:tcW w:w="1487" w:type="dxa"/>
            <w:vAlign w:val="center"/>
          </w:tcPr>
          <w:p w14:paraId="46C906FB">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cấm hút thuốc</w:t>
            </w:r>
          </w:p>
        </w:tc>
        <w:tc>
          <w:tcPr>
            <w:tcW w:w="5760" w:type="dxa"/>
            <w:vAlign w:val="center"/>
          </w:tcPr>
          <w:p w14:paraId="291D9AE9">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khoan lỗ bắt ốc chân kính sản phẩm vào tường.  Dán Decal phía sau bảo vệ.</w:t>
            </w:r>
          </w:p>
          <w:p w14:paraId="6FCC9A4F">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40x18 cm (±3cm).</w:t>
            </w:r>
          </w:p>
          <w:p w14:paraId="1748B559">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Phông chữ Ari (Arial), tiếng việt cao: 39mm, 20mm, tiếng anh cao 10mm. </w:t>
            </w:r>
          </w:p>
          <w:p w14:paraId="5B61D97E">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3AB6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11B1AEF9">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10</w:t>
            </w:r>
          </w:p>
        </w:tc>
        <w:tc>
          <w:tcPr>
            <w:tcW w:w="1487" w:type="dxa"/>
            <w:vAlign w:val="center"/>
          </w:tcPr>
          <w:p w14:paraId="68925162">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cấm hút thuốc nhỏ</w:t>
            </w:r>
          </w:p>
        </w:tc>
        <w:tc>
          <w:tcPr>
            <w:tcW w:w="5760" w:type="dxa"/>
            <w:vAlign w:val="center"/>
          </w:tcPr>
          <w:p w14:paraId="50490F04">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Dán Decal phía sau bảo vệ.</w:t>
            </w:r>
          </w:p>
          <w:p w14:paraId="1DD1F44E">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20x20 cm (±3cm).</w:t>
            </w:r>
          </w:p>
          <w:p w14:paraId="1A9624BD">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0D0C1651">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13mm, tiếng anh cao 12mm</w:t>
            </w:r>
          </w:p>
          <w:p w14:paraId="23C0E8FC">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7497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127A1BF2">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11</w:t>
            </w:r>
          </w:p>
        </w:tc>
        <w:tc>
          <w:tcPr>
            <w:tcW w:w="1487" w:type="dxa"/>
            <w:vAlign w:val="center"/>
          </w:tcPr>
          <w:p w14:paraId="718ED273">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cấm quay phim chụp ảnh</w:t>
            </w:r>
          </w:p>
        </w:tc>
        <w:tc>
          <w:tcPr>
            <w:tcW w:w="5760" w:type="dxa"/>
            <w:vAlign w:val="center"/>
          </w:tcPr>
          <w:p w14:paraId="0F2C872F">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Dán Decal phía sau bảo vệ.</w:t>
            </w:r>
          </w:p>
          <w:p w14:paraId="3A4ABDDD">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20x20 cm (±3cm).</w:t>
            </w:r>
          </w:p>
          <w:p w14:paraId="60628C11">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3FA45EA3">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13mm, tiếng anh cao 12mm</w:t>
            </w:r>
          </w:p>
          <w:p w14:paraId="1FCF73BA">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2D3A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6D215322">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12</w:t>
            </w:r>
          </w:p>
        </w:tc>
        <w:tc>
          <w:tcPr>
            <w:tcW w:w="1487" w:type="dxa"/>
            <w:vAlign w:val="center"/>
          </w:tcPr>
          <w:p w14:paraId="327F2F12">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cảnh báo kẹp tay</w:t>
            </w:r>
          </w:p>
        </w:tc>
        <w:tc>
          <w:tcPr>
            <w:tcW w:w="5760" w:type="dxa"/>
            <w:vAlign w:val="center"/>
          </w:tcPr>
          <w:p w14:paraId="543D98C9">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Dán Decal phía sau bảo vệ.</w:t>
            </w:r>
          </w:p>
          <w:p w14:paraId="5A1B294A">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20x20 cm (±3cm).</w:t>
            </w:r>
          </w:p>
          <w:p w14:paraId="5F0BE6A7">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669C8EA6">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13mm, tiếng anh cao 12mm</w:t>
            </w:r>
          </w:p>
          <w:p w14:paraId="1F196B6C">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2BEE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41995B20">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13</w:t>
            </w:r>
          </w:p>
        </w:tc>
        <w:tc>
          <w:tcPr>
            <w:tcW w:w="1487" w:type="dxa"/>
            <w:vAlign w:val="center"/>
          </w:tcPr>
          <w:p w14:paraId="3349BE22">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cảnh báo ngã cầu thang</w:t>
            </w:r>
          </w:p>
        </w:tc>
        <w:tc>
          <w:tcPr>
            <w:tcW w:w="5760" w:type="dxa"/>
            <w:vAlign w:val="center"/>
          </w:tcPr>
          <w:p w14:paraId="2F0FDA38">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Dán Decal phía sau bảo vệ.</w:t>
            </w:r>
          </w:p>
          <w:p w14:paraId="0E337535">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15x20 cm (±3cm).</w:t>
            </w:r>
          </w:p>
          <w:p w14:paraId="67242414">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70890B73">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13mm, tiếng anh cao 10mm</w:t>
            </w:r>
          </w:p>
          <w:p w14:paraId="5489221A">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01962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6B15B71E">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14</w:t>
            </w:r>
          </w:p>
        </w:tc>
        <w:tc>
          <w:tcPr>
            <w:tcW w:w="1487" w:type="dxa"/>
            <w:vAlign w:val="center"/>
          </w:tcPr>
          <w:p w14:paraId="3B1EE113">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chỉ dẫn số phòng</w:t>
            </w:r>
          </w:p>
        </w:tc>
        <w:tc>
          <w:tcPr>
            <w:tcW w:w="5760" w:type="dxa"/>
            <w:vAlign w:val="center"/>
          </w:tcPr>
          <w:p w14:paraId="2AAD7463">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khoan lỗ bắt ốc chân kính sản phẩm vào tường.  Dán Decal phía sau bảo vệ.</w:t>
            </w:r>
          </w:p>
          <w:p w14:paraId="5B56D5AD">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35x40 cm (±3cm).</w:t>
            </w:r>
          </w:p>
          <w:p w14:paraId="2D503447">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35mm, tiếng anh cao 20mm, số cao 50. Logo phi 46mm</w:t>
            </w:r>
          </w:p>
          <w:p w14:paraId="78F246E1">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0E76B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77E4242D">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15</w:t>
            </w:r>
          </w:p>
        </w:tc>
        <w:tc>
          <w:tcPr>
            <w:tcW w:w="1487" w:type="dxa"/>
            <w:vAlign w:val="center"/>
          </w:tcPr>
          <w:p w14:paraId="064CBB41">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hướng dẫn lấy số</w:t>
            </w:r>
          </w:p>
        </w:tc>
        <w:tc>
          <w:tcPr>
            <w:tcW w:w="5760" w:type="dxa"/>
            <w:vAlign w:val="center"/>
          </w:tcPr>
          <w:p w14:paraId="48B850A7">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in 2 miếng, trên đầu đục 2 lỗ treo cáp lên trần nhà.  Dán Decal phía sau bảo vệ.</w:t>
            </w:r>
          </w:p>
          <w:p w14:paraId="61FAFEAB">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30x120 cm (±3cm).</w:t>
            </w:r>
          </w:p>
          <w:p w14:paraId="7508C474">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45mm, tiếng anh cao 20mm. Logo phi 133mm</w:t>
            </w:r>
          </w:p>
          <w:p w14:paraId="6C658A47">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65F6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7AFBB762">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16</w:t>
            </w:r>
          </w:p>
        </w:tc>
        <w:tc>
          <w:tcPr>
            <w:tcW w:w="1487" w:type="dxa"/>
            <w:vAlign w:val="center"/>
          </w:tcPr>
          <w:p w14:paraId="25B72E54">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thả khu WC</w:t>
            </w:r>
          </w:p>
        </w:tc>
        <w:tc>
          <w:tcPr>
            <w:tcW w:w="5760" w:type="dxa"/>
            <w:vAlign w:val="center"/>
          </w:tcPr>
          <w:p w14:paraId="7F790C93">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in 2 miếng, trên đầu đục 2 lỗ treo cáp lên trần nhà.  Dán Decal phía sau bảo vệ.</w:t>
            </w:r>
          </w:p>
          <w:p w14:paraId="61E46F38">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20x40 cm (±3cm).</w:t>
            </w:r>
          </w:p>
          <w:p w14:paraId="138B8F16">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30mm, tiếng anh cao 30mm</w:t>
            </w:r>
          </w:p>
          <w:p w14:paraId="6BFD0D5D">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3DC7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42B803EA">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17</w:t>
            </w:r>
          </w:p>
        </w:tc>
        <w:tc>
          <w:tcPr>
            <w:tcW w:w="1487" w:type="dxa"/>
            <w:vAlign w:val="center"/>
          </w:tcPr>
          <w:p w14:paraId="287B109C">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thang máy nhân viên/ khách/ chở hàng</w:t>
            </w:r>
          </w:p>
        </w:tc>
        <w:tc>
          <w:tcPr>
            <w:tcW w:w="5760" w:type="dxa"/>
            <w:vAlign w:val="center"/>
          </w:tcPr>
          <w:p w14:paraId="1438FA08">
            <w:pPr>
              <w:spacing w:before="40" w:after="40"/>
              <w:jc w:val="left"/>
              <w:rPr>
                <w:rFonts w:hint="default" w:ascii="Times New Roman" w:hAnsi="Times New Roman" w:cs="Times New Roman"/>
                <w:szCs w:val="24"/>
              </w:rPr>
            </w:pPr>
            <w:r>
              <w:rPr>
                <w:rFonts w:hint="default" w:ascii="Times New Roman" w:hAnsi="Times New Roman" w:cs="Times New Roman"/>
                <w:szCs w:val="24"/>
              </w:rPr>
              <w:t>- In UV3 lớp ngược trên mica trắng trong 3mm, khoan lỗ bắt ốc chân kính sản phẩm vào tường.  Dán Decal phía sau bảo vệ.</w:t>
            </w:r>
          </w:p>
          <w:p w14:paraId="68DCB1B6">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20x35 cm (±3cm).</w:t>
            </w:r>
          </w:p>
          <w:p w14:paraId="759A84C8">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23mm, tiếng anh cao 16mm. Logo phi 46mm</w:t>
            </w:r>
          </w:p>
          <w:p w14:paraId="43E4DB8D">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4985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2A0B64DE">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18</w:t>
            </w:r>
          </w:p>
        </w:tc>
        <w:tc>
          <w:tcPr>
            <w:tcW w:w="1487" w:type="dxa"/>
            <w:vAlign w:val="center"/>
          </w:tcPr>
          <w:p w14:paraId="12295D10">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chỉ dẫn các tầng ngoài sảnh</w:t>
            </w:r>
          </w:p>
        </w:tc>
        <w:tc>
          <w:tcPr>
            <w:tcW w:w="5760" w:type="dxa"/>
            <w:vAlign w:val="center"/>
          </w:tcPr>
          <w:p w14:paraId="57E3DC11">
            <w:pPr>
              <w:spacing w:before="40" w:after="40"/>
              <w:jc w:val="left"/>
              <w:rPr>
                <w:rFonts w:hint="default" w:ascii="Times New Roman" w:hAnsi="Times New Roman" w:cs="Times New Roman"/>
                <w:szCs w:val="24"/>
              </w:rPr>
            </w:pPr>
            <w:r>
              <w:rPr>
                <w:rFonts w:hint="default" w:ascii="Times New Roman" w:hAnsi="Times New Roman" w:cs="Times New Roman"/>
                <w:szCs w:val="24"/>
              </w:rPr>
              <w:t>- In UV 3 lớp ngược trên mica trắng trong ≥8 mm, khoan 6 lỗ bắt ốc chân kính. Dán Decal phía sau bảo vệ.</w:t>
            </w:r>
          </w:p>
          <w:p w14:paraId="5B7E6D4A">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120x80 cm (±3cm).</w:t>
            </w:r>
          </w:p>
          <w:p w14:paraId="1C33860E">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40mm, 30mm, tiếng anh cao 15mm. Logo phi 46mm</w:t>
            </w:r>
          </w:p>
          <w:p w14:paraId="7FAA7636">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5D85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34A71A47">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19</w:t>
            </w:r>
          </w:p>
        </w:tc>
        <w:tc>
          <w:tcPr>
            <w:tcW w:w="1487" w:type="dxa"/>
            <w:vAlign w:val="center"/>
          </w:tcPr>
          <w:p w14:paraId="09A7F4A8">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chỉ dẫn các tầng trong thang máy</w:t>
            </w:r>
          </w:p>
        </w:tc>
        <w:tc>
          <w:tcPr>
            <w:tcW w:w="5760" w:type="dxa"/>
            <w:vAlign w:val="center"/>
          </w:tcPr>
          <w:p w14:paraId="0B6182DD">
            <w:pPr>
              <w:spacing w:before="40" w:after="40"/>
              <w:jc w:val="left"/>
              <w:rPr>
                <w:rFonts w:hint="default" w:ascii="Times New Roman" w:hAnsi="Times New Roman" w:cs="Times New Roman"/>
                <w:szCs w:val="24"/>
              </w:rPr>
            </w:pPr>
            <w:r>
              <w:rPr>
                <w:rFonts w:hint="default" w:ascii="Times New Roman" w:hAnsi="Times New Roman" w:cs="Times New Roman"/>
                <w:szCs w:val="24"/>
              </w:rPr>
              <w:t>- Biển dày 1.8cm bo nhôm định hình sơn tĩnh điện. Mặt hít nam châm, in UV trên tấm film backlit, có led 2835 hắt hiên thị nội dung 1 mặt điện áp 12V. Kèm bộ chỉnh lưu 220V-12V, 400W Kingled hoặc tương đương.</w:t>
            </w:r>
          </w:p>
          <w:p w14:paraId="36E603BF">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50x70 cm (±3cm).</w:t>
            </w:r>
          </w:p>
          <w:p w14:paraId="312A775A">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45317DAE">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15mm, tiếng anh cao 10mm. Logo phi 46mm</w:t>
            </w:r>
          </w:p>
          <w:p w14:paraId="16AF48B7">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093A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5FC4158B">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20</w:t>
            </w:r>
          </w:p>
        </w:tc>
        <w:tc>
          <w:tcPr>
            <w:tcW w:w="1487" w:type="dxa"/>
            <w:vAlign w:val="center"/>
          </w:tcPr>
          <w:p w14:paraId="007B4DC4">
            <w:pPr>
              <w:spacing w:before="120" w:after="120"/>
              <w:jc w:val="left"/>
              <w:rPr>
                <w:rFonts w:hint="default" w:ascii="Times New Roman" w:hAnsi="Times New Roman" w:cs="Times New Roman"/>
                <w:iCs/>
                <w:szCs w:val="24"/>
              </w:rPr>
            </w:pPr>
            <w:r>
              <w:rPr>
                <w:rFonts w:hint="default" w:ascii="Times New Roman" w:hAnsi="Times New Roman" w:cs="Times New Roman"/>
                <w:szCs w:val="24"/>
              </w:rPr>
              <w:t>Bảng dán ngoài phòng khám (luồn tên Bác sĩ – Điều dưỡng- Hộ lý)</w:t>
            </w:r>
          </w:p>
        </w:tc>
        <w:tc>
          <w:tcPr>
            <w:tcW w:w="5760" w:type="dxa"/>
            <w:vAlign w:val="center"/>
          </w:tcPr>
          <w:p w14:paraId="15630AA2">
            <w:pPr>
              <w:spacing w:before="40" w:after="40"/>
              <w:jc w:val="left"/>
              <w:rPr>
                <w:rFonts w:hint="default" w:ascii="Times New Roman" w:hAnsi="Times New Roman" w:cs="Times New Roman"/>
                <w:szCs w:val="24"/>
              </w:rPr>
            </w:pPr>
            <w:r>
              <w:rPr>
                <w:rFonts w:hint="default" w:ascii="Times New Roman" w:hAnsi="Times New Roman" w:cs="Times New Roman"/>
                <w:szCs w:val="24"/>
              </w:rPr>
              <w:t>- In UV 3 lớp nội dung lên mica trắng trong dầy 3mm.</w:t>
            </w:r>
          </w:p>
          <w:p w14:paraId="139BA5B3">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 Khoét laser khoảng ô ghi tên Bác sỹ phụ trách, điều dưỡng, hộ lý.</w:t>
            </w:r>
          </w:p>
          <w:p w14:paraId="55306F86">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 Ép mica trắng trong 3 mm in UV 3 lớp, làm lưng bảng cách mặt trước khoảng 5mm tạo khoảng cách để luồn thẻ tên Bác sỹ, điều dưỡng, hộ lý. Dán Decal phía sau bảo vệ.</w:t>
            </w:r>
          </w:p>
          <w:p w14:paraId="3E333F4F">
            <w:pPr>
              <w:spacing w:before="40" w:after="40"/>
              <w:jc w:val="left"/>
              <w:rPr>
                <w:rFonts w:hint="default" w:ascii="Times New Roman" w:hAnsi="Times New Roman" w:cs="Times New Roman"/>
                <w:szCs w:val="24"/>
              </w:rPr>
            </w:pPr>
            <w:r>
              <w:rPr>
                <w:rFonts w:hint="default" w:ascii="Times New Roman" w:hAnsi="Times New Roman" w:cs="Times New Roman"/>
                <w:szCs w:val="24"/>
              </w:rPr>
              <w:t>- Có 3 khe cắm thẻ tên bác sỹ và điều dưỡng làm mica 2mm.</w:t>
            </w:r>
          </w:p>
          <w:p w14:paraId="4F1090C4">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Phông chữ Ari (Arial) (chữ tiếng việt cao 20mm, tiếng anh cao 15mm, số phòng cao 53mm) , Logo phi 46mm. </w:t>
            </w:r>
          </w:p>
          <w:p w14:paraId="498E8B97">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40x60cm (±3cm).</w:t>
            </w:r>
          </w:p>
          <w:p w14:paraId="7C8DF844">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6D7A55CA">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3135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1715182C">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21</w:t>
            </w:r>
          </w:p>
        </w:tc>
        <w:tc>
          <w:tcPr>
            <w:tcW w:w="1487" w:type="dxa"/>
            <w:vAlign w:val="center"/>
          </w:tcPr>
          <w:p w14:paraId="1F4D14C5">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số phòng (2 mặt)</w:t>
            </w:r>
          </w:p>
        </w:tc>
        <w:tc>
          <w:tcPr>
            <w:tcW w:w="5760" w:type="dxa"/>
            <w:vAlign w:val="center"/>
          </w:tcPr>
          <w:p w14:paraId="6B2299AA">
            <w:pPr>
              <w:spacing w:before="40" w:after="40"/>
              <w:jc w:val="left"/>
              <w:rPr>
                <w:rFonts w:hint="default" w:ascii="Times New Roman" w:hAnsi="Times New Roman" w:cs="Times New Roman"/>
                <w:szCs w:val="24"/>
              </w:rPr>
            </w:pPr>
            <w:r>
              <w:rPr>
                <w:rFonts w:hint="default" w:ascii="Times New Roman" w:hAnsi="Times New Roman" w:cs="Times New Roman"/>
                <w:szCs w:val="24"/>
              </w:rPr>
              <w:t>- In UV 3 lớp ngược nội dung theo thiết kế lên mica trắng trong dầy ≥ 0,5 cm, cắt laser theo hình thiết kế.</w:t>
            </w:r>
          </w:p>
          <w:p w14:paraId="296DEF44">
            <w:pPr>
              <w:spacing w:before="40" w:after="40"/>
              <w:jc w:val="left"/>
              <w:rPr>
                <w:rFonts w:hint="default" w:ascii="Times New Roman" w:hAnsi="Times New Roman" w:cs="Times New Roman"/>
                <w:szCs w:val="24"/>
              </w:rPr>
            </w:pPr>
            <w:r>
              <w:rPr>
                <w:rFonts w:hint="default" w:ascii="Times New Roman" w:hAnsi="Times New Roman" w:cs="Times New Roman"/>
                <w:szCs w:val="24"/>
              </w:rPr>
              <w:t>- Chốt định vị cố định vuông góc trên khối mica đặc dầy 2 cm cắt khắc CNC.</w:t>
            </w:r>
          </w:p>
          <w:p w14:paraId="7980DBBE">
            <w:pPr>
              <w:spacing w:before="40" w:after="40"/>
              <w:jc w:val="left"/>
              <w:rPr>
                <w:rFonts w:hint="default" w:ascii="Times New Roman" w:hAnsi="Times New Roman" w:cs="Times New Roman"/>
                <w:szCs w:val="24"/>
              </w:rPr>
            </w:pPr>
            <w:r>
              <w:rPr>
                <w:rFonts w:hint="default" w:ascii="Times New Roman" w:hAnsi="Times New Roman" w:cs="Times New Roman"/>
                <w:szCs w:val="24"/>
              </w:rPr>
              <w:t>- Khoan lỗ bắt vít gắn trực tiếp sản phẩm vào tường bên ngoài phòng khám theo yêu cầu. Dán Decal bảo vệ phía sau.</w:t>
            </w:r>
          </w:p>
          <w:p w14:paraId="5F7AF245">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20x35cm (±1cm)</w:t>
            </w:r>
          </w:p>
          <w:p w14:paraId="0AAD30CA">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703A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6804BD1A">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22</w:t>
            </w:r>
          </w:p>
        </w:tc>
        <w:tc>
          <w:tcPr>
            <w:tcW w:w="1487" w:type="dxa"/>
            <w:vAlign w:val="center"/>
          </w:tcPr>
          <w:p w14:paraId="18D77D58">
            <w:pPr>
              <w:spacing w:before="120" w:after="120"/>
              <w:jc w:val="left"/>
              <w:rPr>
                <w:rFonts w:hint="default" w:ascii="Times New Roman" w:hAnsi="Times New Roman" w:cs="Times New Roman"/>
                <w:iCs/>
                <w:szCs w:val="24"/>
              </w:rPr>
            </w:pPr>
            <w:r>
              <w:rPr>
                <w:rFonts w:hint="default" w:ascii="Times New Roman" w:hAnsi="Times New Roman" w:cs="Times New Roman"/>
                <w:szCs w:val="24"/>
              </w:rPr>
              <w:t>Chữ gắn ngoài tòa nhà (Chữ cái, tên và logo gắn mặt ngoài tòa nhà)</w:t>
            </w:r>
          </w:p>
        </w:tc>
        <w:tc>
          <w:tcPr>
            <w:tcW w:w="5760" w:type="dxa"/>
            <w:vAlign w:val="center"/>
          </w:tcPr>
          <w:p w14:paraId="1DF045DA">
            <w:pPr>
              <w:spacing w:before="40" w:after="40"/>
              <w:jc w:val="left"/>
              <w:rPr>
                <w:rFonts w:hint="default" w:ascii="Times New Roman" w:hAnsi="Times New Roman" w:cs="Times New Roman"/>
                <w:szCs w:val="24"/>
              </w:rPr>
            </w:pPr>
            <w:r>
              <w:rPr>
                <w:rFonts w:hint="default" w:ascii="Times New Roman" w:hAnsi="Times New Roman" w:cs="Times New Roman"/>
                <w:szCs w:val="24"/>
              </w:rPr>
              <w:t>- Logo: In UV 3 lớp ngược nội dung lên mica trắng trong dầy ≥ 0,3 cm, đế sáng chân theo thiết kế, đường kính 80 Cm (±5cm).</w:t>
            </w:r>
          </w:p>
          <w:p w14:paraId="25B48E78">
            <w:pPr>
              <w:spacing w:before="40" w:after="40"/>
              <w:jc w:val="left"/>
              <w:rPr>
                <w:rFonts w:hint="default" w:ascii="Times New Roman" w:hAnsi="Times New Roman" w:cs="Times New Roman"/>
                <w:szCs w:val="24"/>
              </w:rPr>
            </w:pPr>
            <w:r>
              <w:rPr>
                <w:rFonts w:hint="default" w:ascii="Times New Roman" w:hAnsi="Times New Roman" w:cs="Times New Roman"/>
                <w:szCs w:val="24"/>
              </w:rPr>
              <w:t>- Chữ tòa nhà: Mica màu cắt chữ, chân chữ inox theo màu thương hiệu. Kích thước chữ: Cao 40 cm (±5cm).</w:t>
            </w:r>
          </w:p>
          <w:p w14:paraId="1ACA5602">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5F5237FB">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4B57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114B72C8">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23</w:t>
            </w:r>
          </w:p>
        </w:tc>
        <w:tc>
          <w:tcPr>
            <w:tcW w:w="1487" w:type="dxa"/>
            <w:vAlign w:val="center"/>
          </w:tcPr>
          <w:p w14:paraId="167F11F0">
            <w:pPr>
              <w:spacing w:before="120" w:after="120"/>
              <w:jc w:val="left"/>
              <w:rPr>
                <w:rFonts w:hint="default" w:ascii="Times New Roman" w:hAnsi="Times New Roman" w:cs="Times New Roman"/>
                <w:iCs/>
                <w:szCs w:val="24"/>
              </w:rPr>
            </w:pPr>
            <w:r>
              <w:rPr>
                <w:rFonts w:hint="default" w:ascii="Times New Roman" w:hAnsi="Times New Roman" w:cs="Times New Roman"/>
                <w:szCs w:val="24"/>
              </w:rPr>
              <w:t>Số tầng tòa nhà</w:t>
            </w:r>
          </w:p>
        </w:tc>
        <w:tc>
          <w:tcPr>
            <w:tcW w:w="5760" w:type="dxa"/>
            <w:vAlign w:val="center"/>
          </w:tcPr>
          <w:p w14:paraId="23DFEF45">
            <w:pPr>
              <w:spacing w:before="40" w:after="40"/>
              <w:jc w:val="left"/>
              <w:rPr>
                <w:rFonts w:hint="default" w:ascii="Times New Roman" w:hAnsi="Times New Roman" w:cs="Times New Roman"/>
                <w:szCs w:val="24"/>
              </w:rPr>
            </w:pPr>
            <w:r>
              <w:rPr>
                <w:rFonts w:hint="default" w:ascii="Times New Roman" w:hAnsi="Times New Roman" w:cs="Times New Roman"/>
                <w:szCs w:val="24"/>
              </w:rPr>
              <w:t>- Cắt Aluminium ≥ 3 mm phủ nhôm ≥ 0,06 mm mặt trước màu màu thương hiệu.</w:t>
            </w:r>
          </w:p>
          <w:p w14:paraId="60EADDB1">
            <w:pPr>
              <w:spacing w:before="40" w:after="40"/>
              <w:jc w:val="left"/>
              <w:rPr>
                <w:rFonts w:hint="default" w:ascii="Times New Roman" w:hAnsi="Times New Roman" w:cs="Times New Roman"/>
                <w:szCs w:val="24"/>
              </w:rPr>
            </w:pPr>
            <w:r>
              <w:rPr>
                <w:rFonts w:hint="default" w:ascii="Times New Roman" w:hAnsi="Times New Roman" w:cs="Times New Roman"/>
                <w:szCs w:val="24"/>
              </w:rPr>
              <w:t>- Lắp đặt dán tường bằng kéo dính chuyên dụng.</w:t>
            </w:r>
          </w:p>
          <w:p w14:paraId="2D47AEE9">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Số cao 35 x Rộng 16cm (±3cm), chữ cao 20 cm.</w:t>
            </w:r>
          </w:p>
          <w:p w14:paraId="320DF1CB">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5C01C7B8">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5CEA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01C3A881">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24</w:t>
            </w:r>
          </w:p>
        </w:tc>
        <w:tc>
          <w:tcPr>
            <w:tcW w:w="1487" w:type="dxa"/>
            <w:vAlign w:val="center"/>
          </w:tcPr>
          <w:p w14:paraId="4A241B21">
            <w:pPr>
              <w:spacing w:before="120" w:after="120"/>
              <w:jc w:val="left"/>
              <w:rPr>
                <w:rFonts w:hint="default" w:ascii="Times New Roman" w:hAnsi="Times New Roman" w:cs="Times New Roman"/>
                <w:iCs/>
                <w:szCs w:val="24"/>
              </w:rPr>
            </w:pPr>
            <w:r>
              <w:rPr>
                <w:rFonts w:hint="default" w:ascii="Times New Roman" w:hAnsi="Times New Roman" w:cs="Times New Roman"/>
                <w:szCs w:val="24"/>
              </w:rPr>
              <w:t>Sơ đồ thoát hiểm</w:t>
            </w:r>
          </w:p>
        </w:tc>
        <w:tc>
          <w:tcPr>
            <w:tcW w:w="5760" w:type="dxa"/>
            <w:vAlign w:val="center"/>
          </w:tcPr>
          <w:p w14:paraId="663198A8">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In UV3 lớp ngược trên mica trong 3mm, khoan 4 lỗ bắt ốc chân kính. </w:t>
            </w:r>
          </w:p>
          <w:p w14:paraId="17BA4372">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30x45cm (±3cm)</w:t>
            </w:r>
          </w:p>
          <w:p w14:paraId="5FBA1ACB">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25mm, 15mm, số cao 40mm. Logo phi 46mm</w:t>
            </w:r>
          </w:p>
          <w:p w14:paraId="01A2C84C">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3B76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3660AD44">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25</w:t>
            </w:r>
          </w:p>
        </w:tc>
        <w:tc>
          <w:tcPr>
            <w:tcW w:w="1487" w:type="dxa"/>
            <w:vAlign w:val="center"/>
          </w:tcPr>
          <w:p w14:paraId="35E3EA36">
            <w:pPr>
              <w:spacing w:before="120" w:after="120"/>
              <w:jc w:val="left"/>
              <w:rPr>
                <w:rFonts w:hint="default" w:ascii="Times New Roman" w:hAnsi="Times New Roman" w:cs="Times New Roman"/>
                <w:iCs/>
                <w:szCs w:val="24"/>
              </w:rPr>
            </w:pPr>
            <w:r>
              <w:rPr>
                <w:rFonts w:hint="default" w:ascii="Times New Roman" w:hAnsi="Times New Roman" w:cs="Times New Roman"/>
                <w:szCs w:val="24"/>
              </w:rPr>
              <w:t>Sơ đồ tầng</w:t>
            </w:r>
          </w:p>
        </w:tc>
        <w:tc>
          <w:tcPr>
            <w:tcW w:w="5760" w:type="dxa"/>
            <w:vAlign w:val="center"/>
          </w:tcPr>
          <w:p w14:paraId="039CF1A9">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In UV3 lớp ngược trên mica trong 3mm, đục 4 lỗ bắt ốc chân kính. </w:t>
            </w:r>
          </w:p>
          <w:p w14:paraId="36EFA448">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30x45cm (±3cm)</w:t>
            </w:r>
          </w:p>
          <w:p w14:paraId="227E275D">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25mm, 15mm. Logo phi 46mm</w:t>
            </w:r>
          </w:p>
          <w:p w14:paraId="5CB8E004">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100B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5D62FE91">
            <w:pPr>
              <w:spacing w:before="120" w:after="120"/>
              <w:ind w:firstLine="22"/>
              <w:jc w:val="center"/>
              <w:rPr>
                <w:rFonts w:hint="default" w:ascii="Times New Roman" w:hAnsi="Times New Roman" w:cs="Times New Roman"/>
                <w:iCs/>
              </w:rPr>
            </w:pPr>
            <w:r>
              <w:rPr>
                <w:rFonts w:hint="default" w:ascii="Times New Roman" w:hAnsi="Times New Roman" w:cs="Times New Roman"/>
                <w:color w:val="000000"/>
              </w:rPr>
              <w:t>26</w:t>
            </w:r>
          </w:p>
        </w:tc>
        <w:tc>
          <w:tcPr>
            <w:tcW w:w="1487" w:type="dxa"/>
            <w:vAlign w:val="center"/>
          </w:tcPr>
          <w:p w14:paraId="39CCDAF7">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phòng trưởng khoa</w:t>
            </w:r>
          </w:p>
        </w:tc>
        <w:tc>
          <w:tcPr>
            <w:tcW w:w="5760" w:type="dxa"/>
            <w:vAlign w:val="center"/>
          </w:tcPr>
          <w:p w14:paraId="02F90ADA">
            <w:pPr>
              <w:spacing w:before="40" w:after="40"/>
              <w:jc w:val="left"/>
              <w:rPr>
                <w:rFonts w:hint="default" w:ascii="Times New Roman" w:hAnsi="Times New Roman" w:cs="Times New Roman"/>
                <w:szCs w:val="24"/>
              </w:rPr>
            </w:pPr>
            <w:r>
              <w:rPr>
                <w:rFonts w:hint="default" w:ascii="Times New Roman" w:hAnsi="Times New Roman" w:cs="Times New Roman"/>
                <w:szCs w:val="24"/>
              </w:rPr>
              <w:t>- In UV 3 lớp ngược lên mặt mica trắng trong dầy ≥ 0,2 cm. Dưới được ghép 1 để Mica sữa dầy ≥ 0,5 cm, khoan lỗ 4 góc bắt ốc chân kính. Dán Decal bảo vệ phía sau.</w:t>
            </w:r>
          </w:p>
          <w:p w14:paraId="27220DDC">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(±1cm);</w:t>
            </w:r>
          </w:p>
          <w:p w14:paraId="607A8165">
            <w:pPr>
              <w:spacing w:before="40" w:after="40"/>
              <w:jc w:val="left"/>
              <w:rPr>
                <w:rFonts w:hint="default" w:ascii="Times New Roman" w:hAnsi="Times New Roman" w:cs="Times New Roman"/>
                <w:szCs w:val="24"/>
              </w:rPr>
            </w:pPr>
            <w:r>
              <w:rPr>
                <w:rFonts w:hint="default" w:ascii="Times New Roman" w:hAnsi="Times New Roman" w:cs="Times New Roman"/>
                <w:szCs w:val="24"/>
              </w:rPr>
              <w:t>Đế: 23x35cm; Mặt: 21x33cm</w:t>
            </w:r>
          </w:p>
          <w:p w14:paraId="56C2F3AE">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350D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19E11C80">
            <w:pPr>
              <w:spacing w:before="120" w:after="120"/>
              <w:ind w:firstLine="22"/>
              <w:jc w:val="center"/>
              <w:rPr>
                <w:rFonts w:hint="default" w:ascii="Times New Roman" w:hAnsi="Times New Roman" w:cs="Times New Roman"/>
                <w:color w:val="000000"/>
              </w:rPr>
            </w:pPr>
            <w:r>
              <w:rPr>
                <w:rFonts w:hint="default" w:ascii="Times New Roman" w:hAnsi="Times New Roman" w:cs="Times New Roman"/>
                <w:color w:val="000000"/>
              </w:rPr>
              <w:t>27</w:t>
            </w:r>
          </w:p>
        </w:tc>
        <w:tc>
          <w:tcPr>
            <w:tcW w:w="1487" w:type="dxa"/>
            <w:vAlign w:val="center"/>
          </w:tcPr>
          <w:p w14:paraId="6C0F1205">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cầu thang bộ</w:t>
            </w:r>
          </w:p>
        </w:tc>
        <w:tc>
          <w:tcPr>
            <w:tcW w:w="5760" w:type="dxa"/>
            <w:vAlign w:val="center"/>
          </w:tcPr>
          <w:p w14:paraId="19333A83">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In UV3 lớp ngược trên mica trong 3mm, khoan 4 lỗ bắt ốc chân kính. </w:t>
            </w:r>
          </w:p>
          <w:p w14:paraId="5D586E42">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20x30cm (±3cm);</w:t>
            </w:r>
          </w:p>
          <w:p w14:paraId="248ABC6F">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25mm, tiếng anh 15mm.  Logo phi 46mm</w:t>
            </w:r>
          </w:p>
          <w:p w14:paraId="796BBBB9">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1C14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65E90E00">
            <w:pPr>
              <w:spacing w:before="120" w:after="120"/>
              <w:ind w:firstLine="22"/>
              <w:jc w:val="center"/>
              <w:rPr>
                <w:rFonts w:hint="default" w:ascii="Times New Roman" w:hAnsi="Times New Roman" w:cs="Times New Roman"/>
                <w:color w:val="000000"/>
              </w:rPr>
            </w:pPr>
            <w:r>
              <w:rPr>
                <w:rFonts w:hint="default" w:ascii="Times New Roman" w:hAnsi="Times New Roman" w:cs="Times New Roman"/>
                <w:color w:val="000000"/>
              </w:rPr>
              <w:t>28</w:t>
            </w:r>
          </w:p>
        </w:tc>
        <w:tc>
          <w:tcPr>
            <w:tcW w:w="1487" w:type="dxa"/>
            <w:vAlign w:val="center"/>
          </w:tcPr>
          <w:p w14:paraId="38CAF2C3">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tầng thang bộ</w:t>
            </w:r>
          </w:p>
        </w:tc>
        <w:tc>
          <w:tcPr>
            <w:tcW w:w="5760" w:type="dxa"/>
            <w:vAlign w:val="center"/>
          </w:tcPr>
          <w:p w14:paraId="5CCFF7BB">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In UV3 lớp ngược trên mica trong 3mm, khoan 4 lỗ bắt ốc chân kính. </w:t>
            </w:r>
          </w:p>
          <w:p w14:paraId="315FB96B">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20x30cm (±3cm);</w:t>
            </w:r>
          </w:p>
          <w:p w14:paraId="40591AB5">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25mm, tiếng anh 15mm.  Logo phi 46mm</w:t>
            </w:r>
          </w:p>
          <w:p w14:paraId="35626D9E">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75B0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495F6A44">
            <w:pPr>
              <w:spacing w:before="120" w:after="120"/>
              <w:ind w:firstLine="22"/>
              <w:jc w:val="center"/>
              <w:rPr>
                <w:rFonts w:hint="default" w:ascii="Times New Roman" w:hAnsi="Times New Roman" w:cs="Times New Roman"/>
                <w:color w:val="000000"/>
              </w:rPr>
            </w:pPr>
            <w:r>
              <w:rPr>
                <w:rFonts w:hint="default" w:ascii="Times New Roman" w:hAnsi="Times New Roman" w:cs="Times New Roman"/>
                <w:color w:val="000000"/>
              </w:rPr>
              <w:t>29</w:t>
            </w:r>
          </w:p>
        </w:tc>
        <w:tc>
          <w:tcPr>
            <w:tcW w:w="1487" w:type="dxa"/>
            <w:vAlign w:val="center"/>
          </w:tcPr>
          <w:p w14:paraId="6C7C8B0B">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hướng tầng thang bộ</w:t>
            </w:r>
          </w:p>
        </w:tc>
        <w:tc>
          <w:tcPr>
            <w:tcW w:w="5760" w:type="dxa"/>
            <w:vAlign w:val="center"/>
          </w:tcPr>
          <w:p w14:paraId="00EF04C2">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In UV3 lớp ngược trên mica trong 3mm, khoan 4 lỗ bắt ốc chân kính. </w:t>
            </w:r>
          </w:p>
          <w:p w14:paraId="6C963F58">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20x30cm (±3cm);</w:t>
            </w:r>
          </w:p>
          <w:p w14:paraId="5B090E00">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25mm, tiếng anh 15mm.  Logo phi 46mm</w:t>
            </w:r>
          </w:p>
          <w:p w14:paraId="056B051F">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3923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046310A2">
            <w:pPr>
              <w:spacing w:before="120" w:after="120"/>
              <w:ind w:firstLine="22"/>
              <w:jc w:val="center"/>
              <w:rPr>
                <w:rFonts w:hint="default" w:ascii="Times New Roman" w:hAnsi="Times New Roman" w:cs="Times New Roman"/>
                <w:color w:val="000000"/>
              </w:rPr>
            </w:pPr>
            <w:r>
              <w:rPr>
                <w:rFonts w:hint="default" w:ascii="Times New Roman" w:hAnsi="Times New Roman" w:cs="Times New Roman"/>
                <w:color w:val="000000"/>
              </w:rPr>
              <w:t>30</w:t>
            </w:r>
          </w:p>
        </w:tc>
        <w:tc>
          <w:tcPr>
            <w:tcW w:w="1487" w:type="dxa"/>
            <w:vAlign w:val="center"/>
          </w:tcPr>
          <w:p w14:paraId="6781DC75">
            <w:pPr>
              <w:spacing w:before="120" w:after="120"/>
              <w:jc w:val="left"/>
              <w:rPr>
                <w:rFonts w:hint="default" w:ascii="Times New Roman" w:hAnsi="Times New Roman" w:cs="Times New Roman"/>
                <w:iCs/>
                <w:szCs w:val="24"/>
              </w:rPr>
            </w:pPr>
            <w:r>
              <w:rPr>
                <w:rFonts w:hint="default" w:ascii="Times New Roman" w:hAnsi="Times New Roman" w:cs="Times New Roman"/>
                <w:szCs w:val="24"/>
              </w:rPr>
              <w:t>Biển số thang máy</w:t>
            </w:r>
          </w:p>
        </w:tc>
        <w:tc>
          <w:tcPr>
            <w:tcW w:w="5760" w:type="dxa"/>
            <w:vAlign w:val="center"/>
          </w:tcPr>
          <w:p w14:paraId="7BF36AE3">
            <w:pPr>
              <w:spacing w:before="40" w:after="40"/>
              <w:jc w:val="left"/>
              <w:rPr>
                <w:rFonts w:hint="default" w:ascii="Times New Roman" w:hAnsi="Times New Roman" w:cs="Times New Roman"/>
                <w:szCs w:val="24"/>
              </w:rPr>
            </w:pPr>
            <w:r>
              <w:rPr>
                <w:rFonts w:hint="default" w:ascii="Times New Roman" w:hAnsi="Times New Roman" w:cs="Times New Roman"/>
                <w:szCs w:val="24"/>
              </w:rPr>
              <w:t xml:space="preserve">- In UV3 lớp ngược trên mica trong 3mm, khoan 4 lỗ bắt ốc chân kính. </w:t>
            </w:r>
          </w:p>
          <w:p w14:paraId="4458865E">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15x20cm (±3cm);</w:t>
            </w:r>
          </w:p>
          <w:p w14:paraId="1327A063">
            <w:pPr>
              <w:spacing w:before="40" w:after="40"/>
              <w:jc w:val="left"/>
              <w:rPr>
                <w:rFonts w:hint="default" w:ascii="Times New Roman" w:hAnsi="Times New Roman" w:cs="Times New Roman"/>
                <w:szCs w:val="24"/>
              </w:rPr>
            </w:pPr>
            <w:r>
              <w:rPr>
                <w:rFonts w:hint="default" w:ascii="Times New Roman" w:hAnsi="Times New Roman" w:cs="Times New Roman"/>
                <w:szCs w:val="24"/>
              </w:rPr>
              <w:t>- Phông chữ Ari (Arial), tiếng việt cao: 71mm.  Logo phi 46mm</w:t>
            </w:r>
          </w:p>
          <w:p w14:paraId="7240C071">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r w14:paraId="24BE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838" w:type="dxa"/>
            <w:vAlign w:val="center"/>
          </w:tcPr>
          <w:p w14:paraId="2672001B">
            <w:pPr>
              <w:spacing w:before="120" w:after="120"/>
              <w:ind w:firstLine="22"/>
              <w:jc w:val="center"/>
              <w:rPr>
                <w:rFonts w:hint="default" w:ascii="Times New Roman" w:hAnsi="Times New Roman" w:cs="Times New Roman"/>
                <w:color w:val="000000"/>
              </w:rPr>
            </w:pPr>
            <w:r>
              <w:rPr>
                <w:rFonts w:hint="default" w:ascii="Times New Roman" w:hAnsi="Times New Roman" w:cs="Times New Roman"/>
                <w:color w:val="000000"/>
              </w:rPr>
              <w:t>31</w:t>
            </w:r>
          </w:p>
        </w:tc>
        <w:tc>
          <w:tcPr>
            <w:tcW w:w="1487" w:type="dxa"/>
            <w:vAlign w:val="center"/>
          </w:tcPr>
          <w:p w14:paraId="7E7AE0EC">
            <w:pPr>
              <w:spacing w:before="120" w:after="120"/>
              <w:jc w:val="left"/>
              <w:rPr>
                <w:rFonts w:hint="default" w:ascii="Times New Roman" w:hAnsi="Times New Roman" w:cs="Times New Roman"/>
                <w:iCs/>
                <w:szCs w:val="24"/>
              </w:rPr>
            </w:pPr>
            <w:r>
              <w:rPr>
                <w:rFonts w:hint="default" w:ascii="Times New Roman" w:hAnsi="Times New Roman" w:cs="Times New Roman"/>
                <w:szCs w:val="24"/>
              </w:rPr>
              <w:t xml:space="preserve">Biển hiệu tại quầy tiếp đón </w:t>
            </w:r>
          </w:p>
        </w:tc>
        <w:tc>
          <w:tcPr>
            <w:tcW w:w="5760" w:type="dxa"/>
            <w:vAlign w:val="center"/>
          </w:tcPr>
          <w:p w14:paraId="4B13CB20">
            <w:pPr>
              <w:spacing w:before="40" w:after="40"/>
              <w:jc w:val="left"/>
              <w:rPr>
                <w:rFonts w:hint="default" w:ascii="Times New Roman" w:hAnsi="Times New Roman" w:cs="Times New Roman"/>
                <w:szCs w:val="24"/>
              </w:rPr>
            </w:pPr>
            <w:r>
              <w:rPr>
                <w:rFonts w:hint="default" w:ascii="Times New Roman" w:hAnsi="Times New Roman" w:cs="Times New Roman"/>
                <w:szCs w:val="24"/>
              </w:rPr>
              <w:t>- Bộ chữ + logo sáng chân &amp; mặt làm bằng mica trắng trong in UV 3 lớp. Bên trong gắn đèn LED module 3 bóng Suntek-6113 hoặc tương đơn sắc dạng thanh, điện áp 12V. Kèm bộ chỉnh lưu STP-12V- 400W Suntek hoặc tương đương.</w:t>
            </w:r>
          </w:p>
          <w:p w14:paraId="51645B2C">
            <w:pPr>
              <w:spacing w:before="40" w:after="40"/>
              <w:jc w:val="left"/>
              <w:rPr>
                <w:rFonts w:hint="default" w:ascii="Times New Roman" w:hAnsi="Times New Roman" w:cs="Times New Roman"/>
                <w:szCs w:val="24"/>
              </w:rPr>
            </w:pPr>
            <w:r>
              <w:rPr>
                <w:rFonts w:hint="default" w:ascii="Times New Roman" w:hAnsi="Times New Roman" w:cs="Times New Roman"/>
                <w:szCs w:val="24"/>
              </w:rPr>
              <w:t>- Treo lắp bằng băng dính kết hợp keo dán chuyên dụng.</w:t>
            </w:r>
          </w:p>
          <w:p w14:paraId="120A8AF1">
            <w:pPr>
              <w:spacing w:before="40" w:after="40"/>
              <w:jc w:val="left"/>
              <w:rPr>
                <w:rFonts w:hint="default" w:ascii="Times New Roman" w:hAnsi="Times New Roman" w:cs="Times New Roman"/>
                <w:szCs w:val="24"/>
              </w:rPr>
            </w:pPr>
            <w:r>
              <w:rPr>
                <w:rFonts w:hint="default" w:ascii="Times New Roman" w:hAnsi="Times New Roman" w:cs="Times New Roman"/>
                <w:szCs w:val="24"/>
              </w:rPr>
              <w:t>- Kích thước: 118x238cm (±3cm).</w:t>
            </w:r>
          </w:p>
          <w:p w14:paraId="3980FEDE">
            <w:pPr>
              <w:spacing w:before="120" w:after="120"/>
              <w:jc w:val="left"/>
              <w:rPr>
                <w:rFonts w:hint="default" w:ascii="Times New Roman" w:hAnsi="Times New Roman" w:cs="Times New Roman"/>
                <w:iCs/>
                <w:szCs w:val="24"/>
              </w:rPr>
            </w:pPr>
            <w:r>
              <w:rPr>
                <w:rFonts w:hint="default" w:ascii="Times New Roman" w:hAnsi="Times New Roman" w:cs="Times New Roman"/>
                <w:szCs w:val="24"/>
              </w:rPr>
              <w:t>- Bao gồm thiết kế và lắp đặt.</w:t>
            </w:r>
          </w:p>
        </w:tc>
      </w:tr>
    </w:tbl>
    <w:p w14:paraId="342DE319">
      <w:pPr>
        <w:spacing w:after="160" w:line="259" w:lineRule="auto"/>
        <w:jc w:val="left"/>
        <w:rPr>
          <w:i/>
          <w:spacing w:val="-2"/>
          <w:sz w:val="28"/>
          <w:szCs w:val="28"/>
          <w:lang w:val="nl-NL"/>
        </w:rPr>
      </w:pPr>
    </w:p>
    <w:p w14:paraId="5F6DF2C6">
      <w:pPr>
        <w:spacing w:after="160" w:line="259" w:lineRule="auto"/>
        <w:jc w:val="left"/>
        <w:rPr>
          <w:i/>
          <w:spacing w:val="-2"/>
          <w:sz w:val="28"/>
          <w:szCs w:val="28"/>
          <w:lang w:val="nl-NL"/>
        </w:rPr>
      </w:pPr>
      <w:r>
        <w:rPr>
          <w:i/>
          <w:spacing w:val="-2"/>
          <w:sz w:val="28"/>
          <w:szCs w:val="28"/>
          <w:lang w:val="nl-NL"/>
        </w:rPr>
        <w:t>Phần 2: Nội thất văn phòng nhà C</w:t>
      </w:r>
    </w:p>
    <w:tbl>
      <w:tblPr>
        <w:tblStyle w:val="12"/>
        <w:tblW w:w="9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629"/>
        <w:gridCol w:w="5760"/>
      </w:tblGrid>
      <w:tr w14:paraId="52AF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696" w:type="dxa"/>
            <w:shd w:val="clear" w:color="auto" w:fill="E2EFD9" w:themeFill="accent6" w:themeFillTint="33"/>
            <w:vAlign w:val="center"/>
          </w:tcPr>
          <w:p w14:paraId="180774B7">
            <w:pPr>
              <w:spacing w:before="120" w:after="120"/>
              <w:jc w:val="center"/>
              <w:rPr>
                <w:b/>
                <w:iCs/>
              </w:rPr>
            </w:pPr>
            <w:r>
              <w:rPr>
                <w:b/>
                <w:iCs/>
              </w:rPr>
              <w:t>Hạng mục số</w:t>
            </w:r>
          </w:p>
        </w:tc>
        <w:tc>
          <w:tcPr>
            <w:tcW w:w="1629" w:type="dxa"/>
            <w:shd w:val="clear" w:color="auto" w:fill="E2EFD9" w:themeFill="accent6" w:themeFillTint="33"/>
            <w:vAlign w:val="center"/>
          </w:tcPr>
          <w:p w14:paraId="711561B3">
            <w:pPr>
              <w:spacing w:before="120" w:after="120"/>
              <w:jc w:val="center"/>
              <w:rPr>
                <w:b/>
                <w:iCs/>
              </w:rPr>
            </w:pPr>
            <w:r>
              <w:rPr>
                <w:b/>
                <w:iCs/>
              </w:rPr>
              <w:t>Tên hàng hóa/dịch vụ liên quan</w:t>
            </w:r>
          </w:p>
        </w:tc>
        <w:tc>
          <w:tcPr>
            <w:tcW w:w="5760" w:type="dxa"/>
            <w:shd w:val="clear" w:color="auto" w:fill="E2EFD9" w:themeFill="accent6" w:themeFillTint="33"/>
            <w:vAlign w:val="center"/>
          </w:tcPr>
          <w:p w14:paraId="5C520C55">
            <w:pPr>
              <w:spacing w:before="120" w:after="120"/>
              <w:jc w:val="center"/>
              <w:rPr>
                <w:b/>
                <w:iCs/>
              </w:rPr>
            </w:pPr>
            <w:r>
              <w:rPr>
                <w:b/>
                <w:iCs/>
              </w:rPr>
              <w:t>Thông số kỹ thuật và các tiêu chuẩn</w:t>
            </w:r>
          </w:p>
        </w:tc>
      </w:tr>
      <w:tr w14:paraId="6E35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696" w:type="dxa"/>
          </w:tcPr>
          <w:p w14:paraId="44F937C1">
            <w:pPr>
              <w:spacing w:before="120" w:after="120"/>
              <w:jc w:val="center"/>
              <w:rPr>
                <w:i/>
                <w:iCs/>
              </w:rPr>
            </w:pPr>
            <w:r>
              <w:rPr>
                <w:i/>
                <w:iCs/>
              </w:rPr>
              <w:t>[ghi số hiệu hạng mục]</w:t>
            </w:r>
          </w:p>
        </w:tc>
        <w:tc>
          <w:tcPr>
            <w:tcW w:w="1629" w:type="dxa"/>
          </w:tcPr>
          <w:p w14:paraId="27DCC41A">
            <w:pPr>
              <w:spacing w:before="120" w:after="120"/>
              <w:jc w:val="center"/>
              <w:rPr>
                <w:i/>
                <w:iCs/>
              </w:rPr>
            </w:pPr>
            <w:r>
              <w:rPr>
                <w:i/>
                <w:iCs/>
              </w:rPr>
              <w:t>[ghi tên]</w:t>
            </w:r>
          </w:p>
        </w:tc>
        <w:tc>
          <w:tcPr>
            <w:tcW w:w="5760" w:type="dxa"/>
          </w:tcPr>
          <w:p w14:paraId="5B5BDCE1">
            <w:pPr>
              <w:spacing w:before="120" w:after="120"/>
              <w:jc w:val="center"/>
              <w:rPr>
                <w:i/>
                <w:iCs/>
              </w:rPr>
            </w:pPr>
            <w:r>
              <w:rPr>
                <w:i/>
                <w:iCs/>
              </w:rPr>
              <w:t>[ghi thông số kỹ thuật và các tiêu chuẩn]</w:t>
            </w:r>
          </w:p>
        </w:tc>
      </w:tr>
      <w:tr w14:paraId="19AA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17DCC8E2">
            <w:pPr>
              <w:spacing w:before="120" w:after="120"/>
              <w:ind w:firstLine="22"/>
              <w:jc w:val="center"/>
              <w:rPr>
                <w:iCs/>
              </w:rPr>
            </w:pPr>
            <w:r>
              <w:rPr>
                <w:color w:val="000000"/>
              </w:rPr>
              <w:t>1</w:t>
            </w:r>
          </w:p>
        </w:tc>
        <w:tc>
          <w:tcPr>
            <w:tcW w:w="1629" w:type="dxa"/>
            <w:vAlign w:val="center"/>
          </w:tcPr>
          <w:p w14:paraId="0C13578D">
            <w:pPr>
              <w:spacing w:before="120" w:after="120"/>
              <w:jc w:val="left"/>
              <w:rPr>
                <w:iCs/>
                <w:szCs w:val="24"/>
              </w:rPr>
            </w:pPr>
            <w:r>
              <w:rPr>
                <w:szCs w:val="24"/>
              </w:rPr>
              <w:t xml:space="preserve">Quầy tiếp đón hành chính </w:t>
            </w:r>
          </w:p>
        </w:tc>
        <w:tc>
          <w:tcPr>
            <w:tcW w:w="5760" w:type="dxa"/>
            <w:vAlign w:val="bottom"/>
          </w:tcPr>
          <w:p w14:paraId="5D1280B5">
            <w:pPr>
              <w:spacing w:before="40" w:after="40"/>
              <w:jc w:val="left"/>
              <w:rPr>
                <w:szCs w:val="24"/>
              </w:rPr>
            </w:pPr>
            <w:r>
              <w:rPr>
                <w:szCs w:val="24"/>
              </w:rPr>
              <w:t xml:space="preserve">- Quầy tiếp đón: Gỗ MDF cốt xanh chống ẩm dày ≥17mm bề mặt phủ Melamine, màu tương đương với màu tại Bệnh viện: Mặt quầy trên rộng 25cm và dưới rộng 55cm, dày ≥25mm; các trong tủ đợt tủ gỗ MDF cốt xanh chống ẩm phủ màu theo mẫu kết hợp lam sóng gỗ nhựa màu tương đồng. Kích thước: D 6.3x R 0.7 xC 1.1m; </w:t>
            </w:r>
          </w:p>
          <w:p w14:paraId="29E07A58">
            <w:pPr>
              <w:spacing w:before="40" w:after="40"/>
              <w:jc w:val="left"/>
              <w:rPr>
                <w:szCs w:val="24"/>
              </w:rPr>
            </w:pPr>
            <w:r>
              <w:rPr>
                <w:szCs w:val="24"/>
              </w:rPr>
              <w:t xml:space="preserve">- Vách kính trên quầy: nhôm hệ 55 màu trắng hàng trong nước dày ≥ 1.2mm, kính an toàn dày 8.38mm màu trắng trong. Kích thước: D6.3xC1.7m </w:t>
            </w:r>
          </w:p>
          <w:p w14:paraId="23C24C99">
            <w:pPr>
              <w:spacing w:before="40" w:after="40"/>
              <w:jc w:val="left"/>
              <w:rPr>
                <w:szCs w:val="24"/>
              </w:rPr>
            </w:pPr>
            <w:r>
              <w:rPr>
                <w:szCs w:val="24"/>
              </w:rPr>
              <w:t>- Vách kính khu cửa đi vào quầy: nhôm hệ 55 màu trắng hàng trong nước dày ≥ 1.2mm, kính an toàn dày tối thiểu 8.38mm màu trắng trong. Kích thước: D2.8xC2.8m</w:t>
            </w:r>
          </w:p>
          <w:p w14:paraId="7001601F">
            <w:pPr>
              <w:spacing w:before="40" w:after="40"/>
              <w:jc w:val="left"/>
              <w:rPr>
                <w:szCs w:val="24"/>
              </w:rPr>
            </w:pPr>
            <w:r>
              <w:rPr>
                <w:szCs w:val="24"/>
              </w:rPr>
              <w:t>- Cửa đi 1 cánh mở quay: nhôm hệ 55 màu trắng hàng trong nước dày 2.0mm, kính an toàn dày tối thiểu 8.38mm màu trắng trong. Phụ kiện: Kinlong hoặc tương đương. Kích thước cửa: R0.9xC2.2m</w:t>
            </w:r>
          </w:p>
          <w:p w14:paraId="7FD17D98">
            <w:pPr>
              <w:spacing w:before="40" w:after="40"/>
              <w:jc w:val="left"/>
              <w:rPr>
                <w:szCs w:val="24"/>
              </w:rPr>
            </w:pPr>
            <w:r>
              <w:rPr>
                <w:szCs w:val="24"/>
              </w:rPr>
              <w:t>- Gia cố khung thép 40x80mm, dày 1.4mm trên trần để lắp vách kính.</w:t>
            </w:r>
          </w:p>
          <w:p w14:paraId="22CC25A2">
            <w:pPr>
              <w:spacing w:before="40" w:after="40"/>
              <w:jc w:val="left"/>
              <w:rPr>
                <w:szCs w:val="24"/>
              </w:rPr>
            </w:pPr>
            <w:r>
              <w:rPr>
                <w:szCs w:val="24"/>
              </w:rPr>
              <w:t>- Kèm hộc tủ gỗ MDF cốt xanh chống ẩm dày ≥17mm bề mặt phủ Melamine phối màu theo mẫu gồm 1 ngăn kéo và 1 tủ cánh mở để tài liệu có khóa. Kích thước: D0.34xC0.65m</w:t>
            </w:r>
          </w:p>
          <w:p w14:paraId="0CCC839C">
            <w:pPr>
              <w:spacing w:before="40" w:after="40"/>
              <w:jc w:val="left"/>
              <w:rPr>
                <w:szCs w:val="24"/>
              </w:rPr>
            </w:pPr>
            <w:r>
              <w:rPr>
                <w:szCs w:val="24"/>
              </w:rPr>
              <w:t>- Phụ kiện: tủ kệ là Ray bi thép mạ kẽm, bản lề Inox 304.</w:t>
            </w:r>
          </w:p>
          <w:p w14:paraId="1CE19D4A">
            <w:pPr>
              <w:spacing w:before="40" w:after="40"/>
              <w:jc w:val="left"/>
              <w:rPr>
                <w:szCs w:val="24"/>
              </w:rPr>
            </w:pPr>
            <w:r>
              <w:rPr>
                <w:szCs w:val="24"/>
              </w:rPr>
              <w:t>- Tủ dưới tường sau quầy gỗ MDF cốt xanh chống ẩm dày ≥17mm bề mặt phủ Melamine phối màu theo mẫu. Kích thước: D6.2xR0.42xC0.8m</w:t>
            </w:r>
          </w:p>
          <w:p w14:paraId="165BDA68">
            <w:pPr>
              <w:spacing w:before="40" w:after="40"/>
              <w:jc w:val="left"/>
              <w:rPr>
                <w:szCs w:val="24"/>
              </w:rPr>
            </w:pPr>
            <w:r>
              <w:rPr>
                <w:szCs w:val="24"/>
              </w:rPr>
              <w:t>- Tủ treo tường sau quầy gỗ MDF cốt xanh chống ẩm dày≥17mm bề mặt phủ Melamine phối màu theo mẫu. Gia cố khung thép hộp 30x60 mm dày 1.4mm treo tủ. Kích thước tủ: D3.6xR0.42xC1.85m</w:t>
            </w:r>
          </w:p>
          <w:p w14:paraId="5CD675F0">
            <w:pPr>
              <w:spacing w:before="40" w:after="40"/>
              <w:jc w:val="left"/>
              <w:rPr>
                <w:szCs w:val="24"/>
              </w:rPr>
            </w:pPr>
            <w:r>
              <w:rPr>
                <w:szCs w:val="24"/>
              </w:rPr>
              <w:t>- Ốp gỗ MDF cốt xanh chống ẩm dày ≥17mm bề mặt phủ Melamine phối màu theo mẫu cột khu vực treo biển. Kích thước: D3.9xC0.4m</w:t>
            </w:r>
          </w:p>
          <w:p w14:paraId="2A774DD5">
            <w:pPr>
              <w:spacing w:before="40" w:after="40"/>
              <w:jc w:val="left"/>
              <w:rPr>
                <w:szCs w:val="24"/>
              </w:rPr>
            </w:pPr>
            <w:r>
              <w:rPr>
                <w:szCs w:val="24"/>
              </w:rPr>
              <w:t>- Ốp gỗ MDF cốt xanh chống ẩm dày ≥17mm bề mặt phủ Melamine phối màu theo mẫu tạo nền treo Logo và slogan. Kích thước: D3.1xC2.8m</w:t>
            </w:r>
          </w:p>
          <w:p w14:paraId="3DF1AF75">
            <w:pPr>
              <w:spacing w:before="40" w:after="40"/>
              <w:jc w:val="left"/>
              <w:rPr>
                <w:szCs w:val="24"/>
              </w:rPr>
            </w:pPr>
            <w:r>
              <w:rPr>
                <w:szCs w:val="24"/>
              </w:rPr>
              <w:t>- Kích thước tổng thể: D6.6xC2.8m (±10cm) (mặt quầy C1.1m)</w:t>
            </w:r>
          </w:p>
          <w:p w14:paraId="7BE4F57D">
            <w:pPr>
              <w:spacing w:before="120" w:after="120"/>
              <w:jc w:val="left"/>
              <w:rPr>
                <w:iCs/>
                <w:szCs w:val="24"/>
              </w:rPr>
            </w:pPr>
            <w:r>
              <w:rPr>
                <w:szCs w:val="24"/>
              </w:rPr>
              <w:t>- Đã bao gồm khảo sát và lắp đặt.</w:t>
            </w:r>
          </w:p>
        </w:tc>
      </w:tr>
      <w:tr w14:paraId="76C5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46EFFAC0">
            <w:pPr>
              <w:spacing w:before="120" w:after="120"/>
              <w:ind w:firstLine="22"/>
              <w:jc w:val="center"/>
              <w:rPr>
                <w:iCs/>
              </w:rPr>
            </w:pPr>
            <w:r>
              <w:rPr>
                <w:color w:val="000000"/>
              </w:rPr>
              <w:t>2</w:t>
            </w:r>
          </w:p>
        </w:tc>
        <w:tc>
          <w:tcPr>
            <w:tcW w:w="1629" w:type="dxa"/>
            <w:vAlign w:val="center"/>
          </w:tcPr>
          <w:p w14:paraId="7F7366B9">
            <w:pPr>
              <w:spacing w:before="120" w:after="120"/>
              <w:jc w:val="left"/>
              <w:rPr>
                <w:iCs/>
                <w:szCs w:val="24"/>
              </w:rPr>
            </w:pPr>
            <w:r>
              <w:rPr>
                <w:szCs w:val="24"/>
              </w:rPr>
              <w:t>Quầy tiếp đón</w:t>
            </w:r>
          </w:p>
        </w:tc>
        <w:tc>
          <w:tcPr>
            <w:tcW w:w="5760" w:type="dxa"/>
            <w:vAlign w:val="bottom"/>
          </w:tcPr>
          <w:p w14:paraId="0938B249">
            <w:pPr>
              <w:spacing w:before="40" w:after="40"/>
              <w:jc w:val="left"/>
              <w:rPr>
                <w:szCs w:val="24"/>
              </w:rPr>
            </w:pPr>
            <w:r>
              <w:rPr>
                <w:szCs w:val="24"/>
              </w:rPr>
              <w:t xml:space="preserve">- Quầy tiếp đón: Gỗ MDF cốt xanh chống ẩm dày ≥17mm bề mặt phủ Melamine, màu tương đương với màu tại Bệnh viện: Mặt quầy trên rộng 25cm và dưới rộng 55cm, dày ≥25mm; các trong tủ đợt tủ gỗ MDF cốt xanh chống ẩm kết hợp lam sóng gỗ nhựa phủ màu tương đồng. Hai đầu quầy bo cong R30độ. Kích thước: D 6.3x R 0.7 xC 1.1m. </w:t>
            </w:r>
          </w:p>
          <w:p w14:paraId="5F1C3D5C">
            <w:pPr>
              <w:spacing w:before="40" w:after="40"/>
              <w:jc w:val="left"/>
              <w:rPr>
                <w:szCs w:val="24"/>
              </w:rPr>
            </w:pPr>
            <w:r>
              <w:rPr>
                <w:szCs w:val="24"/>
              </w:rPr>
              <w:t>- Vách kính trên quầy: nhôm hệ 55 màu trắng hàng trong nước dày ≥ 1.2mm, kính an toàn dày tối thiểu 8.38mm màu trắng trong. Kích thước: D6.3xC1.7m .</w:t>
            </w:r>
          </w:p>
          <w:p w14:paraId="596ADE05">
            <w:pPr>
              <w:spacing w:before="40" w:after="40"/>
              <w:jc w:val="left"/>
              <w:rPr>
                <w:szCs w:val="24"/>
              </w:rPr>
            </w:pPr>
            <w:r>
              <w:rPr>
                <w:szCs w:val="24"/>
              </w:rPr>
              <w:t>- Vách kính khu cửa đi vào quầy: nhôm hệ 55 màu trắng hàng trong nước dày ≥ 1.2mm, kính an toàn dày 8.38mm màu trắng trong. Kích thước: D2.8xC2.8m.</w:t>
            </w:r>
          </w:p>
          <w:p w14:paraId="73D4395C">
            <w:pPr>
              <w:spacing w:before="40" w:after="40"/>
              <w:jc w:val="left"/>
              <w:rPr>
                <w:szCs w:val="24"/>
              </w:rPr>
            </w:pPr>
            <w:r>
              <w:rPr>
                <w:szCs w:val="24"/>
              </w:rPr>
              <w:t>- Cửa đi 1 cánh mở quay: nhôm hệ 55 màu trắng hàng trong nước dày ≥ 2.0mm, kính an toàn dày tối thiểu 8.38 màu trắng trong. Phụ kiện: Kinlong hoặc tương đương. Kích thước: R0.9xC2.2m.</w:t>
            </w:r>
          </w:p>
          <w:p w14:paraId="2FA96C91">
            <w:pPr>
              <w:spacing w:before="40" w:after="40"/>
              <w:jc w:val="left"/>
              <w:rPr>
                <w:szCs w:val="24"/>
              </w:rPr>
            </w:pPr>
            <w:r>
              <w:rPr>
                <w:szCs w:val="24"/>
              </w:rPr>
              <w:t>- Gia cố khung thép 40x80mm dày 1.4mm trên trần để lắp vách kính.</w:t>
            </w:r>
          </w:p>
          <w:p w14:paraId="11B6D11E">
            <w:pPr>
              <w:spacing w:before="40" w:after="40"/>
              <w:jc w:val="left"/>
              <w:rPr>
                <w:szCs w:val="24"/>
              </w:rPr>
            </w:pPr>
            <w:r>
              <w:rPr>
                <w:szCs w:val="24"/>
              </w:rPr>
              <w:t xml:space="preserve">- Kèm hộc tủ gỗ MDF cốt xanh chống ẩm dày ≥17mm bề mặt phủ Melamine phối màu theo mẫu gồm 1 ngăn kéo và 1 tủ cánh mở để tài liệu có khóa. Kích thước: D0.34xC0.65m. </w:t>
            </w:r>
          </w:p>
          <w:p w14:paraId="2D812898">
            <w:pPr>
              <w:spacing w:before="40" w:after="40"/>
              <w:jc w:val="left"/>
              <w:rPr>
                <w:szCs w:val="24"/>
              </w:rPr>
            </w:pPr>
            <w:r>
              <w:rPr>
                <w:szCs w:val="24"/>
              </w:rPr>
              <w:t>- Phụ kiện: tủ kệ là Ray bi thép mạ kẽm, bản lề Inox 304.</w:t>
            </w:r>
          </w:p>
          <w:p w14:paraId="4EFF07A4">
            <w:pPr>
              <w:spacing w:before="40" w:after="40"/>
              <w:jc w:val="left"/>
              <w:rPr>
                <w:szCs w:val="24"/>
              </w:rPr>
            </w:pPr>
            <w:r>
              <w:rPr>
                <w:szCs w:val="24"/>
              </w:rPr>
              <w:t>- Tủ dưới tường sau quầy gỗ MDF cốt xanh chống ẩm dày ≥17mm bề mặt phủ Melamine phối màu theo mẫu. Kích thước: D6.2xR0.42xC0.8m.</w:t>
            </w:r>
          </w:p>
          <w:p w14:paraId="28D4EFCD">
            <w:pPr>
              <w:spacing w:before="40" w:after="40"/>
              <w:jc w:val="left"/>
              <w:rPr>
                <w:szCs w:val="24"/>
              </w:rPr>
            </w:pPr>
            <w:r>
              <w:rPr>
                <w:szCs w:val="24"/>
              </w:rPr>
              <w:t>- Tủ treo tường sau quầy gỗ MDF cốt xanh chống ẩm dày ≥17mm bề mặt phủ Melamine phối màu theo mẫu. Gia cố khung thép 30x60mm dày 1.4mm treo tủ. Kích thước: D6.2xR0.42xC1.85m.</w:t>
            </w:r>
          </w:p>
          <w:p w14:paraId="0C00616B">
            <w:pPr>
              <w:spacing w:before="40" w:after="40"/>
              <w:jc w:val="left"/>
              <w:rPr>
                <w:szCs w:val="24"/>
              </w:rPr>
            </w:pPr>
            <w:r>
              <w:rPr>
                <w:szCs w:val="24"/>
              </w:rPr>
              <w:t>- Ốp gỗ MDF cốt xanh chống ẩm dày ≥17mm bề mặt phủ Melamine phối màu theo mẫu cột khu vực treo biển. Kích thước: D3.9xC0.4m.</w:t>
            </w:r>
          </w:p>
          <w:p w14:paraId="05A60677">
            <w:pPr>
              <w:spacing w:before="40" w:after="40"/>
              <w:jc w:val="left"/>
              <w:rPr>
                <w:szCs w:val="24"/>
              </w:rPr>
            </w:pPr>
            <w:r>
              <w:rPr>
                <w:szCs w:val="24"/>
              </w:rPr>
              <w:t>- Kích thước tổng thể: D6.6xC2.8m (±10cm) (mặt quầy C1.1m).</w:t>
            </w:r>
          </w:p>
          <w:p w14:paraId="4D52A65F">
            <w:pPr>
              <w:spacing w:before="120" w:after="120"/>
              <w:jc w:val="left"/>
              <w:rPr>
                <w:iCs/>
                <w:szCs w:val="24"/>
              </w:rPr>
            </w:pPr>
            <w:r>
              <w:rPr>
                <w:szCs w:val="24"/>
              </w:rPr>
              <w:t>- Đã bao gồm khảo sát và lắp đặt.</w:t>
            </w:r>
          </w:p>
        </w:tc>
      </w:tr>
      <w:tr w14:paraId="7495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0EBE75D3">
            <w:pPr>
              <w:spacing w:before="120" w:after="120"/>
              <w:ind w:firstLine="22"/>
              <w:jc w:val="center"/>
              <w:rPr>
                <w:iCs/>
              </w:rPr>
            </w:pPr>
            <w:r>
              <w:rPr>
                <w:color w:val="000000"/>
              </w:rPr>
              <w:t>3</w:t>
            </w:r>
          </w:p>
        </w:tc>
        <w:tc>
          <w:tcPr>
            <w:tcW w:w="1629" w:type="dxa"/>
            <w:vAlign w:val="center"/>
          </w:tcPr>
          <w:p w14:paraId="3BBAE902">
            <w:pPr>
              <w:spacing w:before="120" w:after="120"/>
              <w:jc w:val="left"/>
              <w:rPr>
                <w:iCs/>
                <w:szCs w:val="24"/>
              </w:rPr>
            </w:pPr>
            <w:r>
              <w:rPr>
                <w:szCs w:val="24"/>
              </w:rPr>
              <w:t>Quầy kệ thuốc</w:t>
            </w:r>
          </w:p>
        </w:tc>
        <w:tc>
          <w:tcPr>
            <w:tcW w:w="5760" w:type="dxa"/>
            <w:vAlign w:val="bottom"/>
          </w:tcPr>
          <w:p w14:paraId="0C89C4E7">
            <w:pPr>
              <w:spacing w:before="40" w:after="40"/>
              <w:jc w:val="left"/>
              <w:rPr>
                <w:szCs w:val="24"/>
              </w:rPr>
            </w:pPr>
            <w:r>
              <w:rPr>
                <w:szCs w:val="24"/>
              </w:rPr>
              <w:t>- Quầy tiếp đón: Gỗ MDF cốt xanh chống ẩm dày ≥17mm bề mặt phủ Melamine màu tương đương với màu tại Bệnh viện: Mặt quầy trên gỗ MDF rộng 25cm dày≥25mm; các trong gỗ MDF cốt xanh chống ẩm phủ màu tương đồng. Kích thước: D 6.6x R 0.7 xC 1.1m.</w:t>
            </w:r>
          </w:p>
          <w:p w14:paraId="1C5376DC">
            <w:pPr>
              <w:spacing w:before="40" w:after="40"/>
              <w:jc w:val="left"/>
              <w:rPr>
                <w:szCs w:val="24"/>
              </w:rPr>
            </w:pPr>
            <w:r>
              <w:rPr>
                <w:szCs w:val="24"/>
              </w:rPr>
              <w:t>- Vách kính trên quầy: nhôm hệ 55 màu trắng hàng trong nước dày ≥ 1.2mm, kính an toàn dày 8.38mm màu trắng trong. Kích thước: D6.3xC1.7m.</w:t>
            </w:r>
          </w:p>
          <w:p w14:paraId="49039E74">
            <w:pPr>
              <w:spacing w:before="40" w:after="40"/>
              <w:jc w:val="left"/>
              <w:rPr>
                <w:szCs w:val="24"/>
              </w:rPr>
            </w:pPr>
            <w:r>
              <w:rPr>
                <w:szCs w:val="24"/>
              </w:rPr>
              <w:t>- Vách kính khu cửa đi vào quầy: nhôm hệ 55 màu trắng hàng trong nước dày ≥ 1.2mm, kính an toàn dày 8.38mm màu trắng trong. Kích thước: D2.8xC2.8m.</w:t>
            </w:r>
          </w:p>
          <w:p w14:paraId="2AE29B63">
            <w:pPr>
              <w:spacing w:before="40" w:after="40"/>
              <w:jc w:val="left"/>
              <w:rPr>
                <w:szCs w:val="24"/>
              </w:rPr>
            </w:pPr>
            <w:r>
              <w:rPr>
                <w:szCs w:val="24"/>
              </w:rPr>
              <w:t>- Cửa đi 1 cánh mở quay: nhôm hệ 55 màu trắng hàng trong nước dày ≥2.0mm, kính an toàn dày 8.38mm màu trắng trong. Phụ kiện: Kinlong hoặc tương đương. Kích thước: R0.9xC2.2m.</w:t>
            </w:r>
          </w:p>
          <w:p w14:paraId="526FF73C">
            <w:pPr>
              <w:spacing w:before="40" w:after="40"/>
              <w:jc w:val="left"/>
              <w:rPr>
                <w:szCs w:val="24"/>
              </w:rPr>
            </w:pPr>
            <w:r>
              <w:rPr>
                <w:szCs w:val="24"/>
              </w:rPr>
              <w:t>- Gia cố khung thép 40x80mm dày 1.4mm trên trần để lắp vách kính.</w:t>
            </w:r>
          </w:p>
          <w:p w14:paraId="2C6CA392">
            <w:pPr>
              <w:spacing w:before="40" w:after="40"/>
              <w:jc w:val="left"/>
              <w:rPr>
                <w:szCs w:val="24"/>
              </w:rPr>
            </w:pPr>
            <w:r>
              <w:rPr>
                <w:szCs w:val="24"/>
              </w:rPr>
              <w:t>- Kèm hộc tủ gỗ MDF cốt xanh chống ẩm dày ≥17mm bề mặt phủ Melamine phối màu theo mẫu gồm 1 ngăn kéo và 1 tủ cánh mở để tài liệu có khóa. Kích thước: D0.34xC0.65m.</w:t>
            </w:r>
          </w:p>
          <w:p w14:paraId="5ECBEBA8">
            <w:pPr>
              <w:spacing w:before="40" w:after="40"/>
              <w:jc w:val="left"/>
              <w:rPr>
                <w:szCs w:val="24"/>
              </w:rPr>
            </w:pPr>
            <w:r>
              <w:rPr>
                <w:szCs w:val="24"/>
              </w:rPr>
              <w:t>- Phụ kiện: tủ kệ là Ray bi thép mạ kẽm, bản lề Inox 304.</w:t>
            </w:r>
          </w:p>
          <w:p w14:paraId="501C8125">
            <w:pPr>
              <w:spacing w:before="40" w:after="40"/>
              <w:jc w:val="left"/>
              <w:rPr>
                <w:szCs w:val="24"/>
              </w:rPr>
            </w:pPr>
            <w:r>
              <w:rPr>
                <w:szCs w:val="24"/>
              </w:rPr>
              <w:t xml:space="preserve">- Tủ trưng bày thuốc kích thước D6.3 x C2.7x S0.3m với các ô đựng là gỗ MDF cốt xanh chống ẩm dày ≥17mm bề mặt phủ Melamine phối màu theo mẫu có kích thước D0.7xC0.5mxS0.3m. </w:t>
            </w:r>
          </w:p>
          <w:p w14:paraId="70933E9B">
            <w:pPr>
              <w:spacing w:before="40" w:after="40"/>
              <w:jc w:val="left"/>
              <w:rPr>
                <w:szCs w:val="24"/>
              </w:rPr>
            </w:pPr>
            <w:r>
              <w:rPr>
                <w:szCs w:val="24"/>
              </w:rPr>
              <w:t>- Ốp gỗ MDF cốt xanh chống ẩm dày ≥17mm bề mặt phủ Melamine phối màu theo mẫu cột khu vực treo biển D3.6xC0.4m.</w:t>
            </w:r>
          </w:p>
          <w:p w14:paraId="5BD5BC2A">
            <w:pPr>
              <w:spacing w:before="40" w:after="40"/>
              <w:jc w:val="left"/>
              <w:rPr>
                <w:szCs w:val="24"/>
              </w:rPr>
            </w:pPr>
            <w:r>
              <w:rPr>
                <w:szCs w:val="24"/>
              </w:rPr>
              <w:t>- Kích thước tổng thể: D6.1xC2.8m (±10cm) (mặt quầy C1.1m)</w:t>
            </w:r>
          </w:p>
          <w:p w14:paraId="31A07AD7">
            <w:pPr>
              <w:spacing w:before="120" w:after="120"/>
              <w:jc w:val="left"/>
              <w:rPr>
                <w:iCs/>
                <w:szCs w:val="24"/>
              </w:rPr>
            </w:pPr>
            <w:r>
              <w:rPr>
                <w:szCs w:val="24"/>
              </w:rPr>
              <w:t>- Đã bao gồm khảo sát và lắp đặt.</w:t>
            </w:r>
          </w:p>
        </w:tc>
      </w:tr>
      <w:tr w14:paraId="1D21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1EB5944B">
            <w:pPr>
              <w:spacing w:before="120" w:after="120"/>
              <w:ind w:firstLine="22"/>
              <w:jc w:val="center"/>
              <w:rPr>
                <w:iCs/>
              </w:rPr>
            </w:pPr>
            <w:r>
              <w:rPr>
                <w:color w:val="000000"/>
              </w:rPr>
              <w:t>4</w:t>
            </w:r>
          </w:p>
        </w:tc>
        <w:tc>
          <w:tcPr>
            <w:tcW w:w="1629" w:type="dxa"/>
            <w:vAlign w:val="center"/>
          </w:tcPr>
          <w:p w14:paraId="3706B386">
            <w:pPr>
              <w:spacing w:before="120" w:after="120"/>
              <w:jc w:val="left"/>
              <w:rPr>
                <w:iCs/>
                <w:szCs w:val="24"/>
              </w:rPr>
            </w:pPr>
            <w:r>
              <w:rPr>
                <w:szCs w:val="24"/>
              </w:rPr>
              <w:t>Tủ văn phòng (treo)</w:t>
            </w:r>
          </w:p>
        </w:tc>
        <w:tc>
          <w:tcPr>
            <w:tcW w:w="5760" w:type="dxa"/>
            <w:vAlign w:val="bottom"/>
          </w:tcPr>
          <w:p w14:paraId="1721F0F3">
            <w:pPr>
              <w:spacing w:before="40" w:after="40"/>
              <w:jc w:val="left"/>
              <w:rPr>
                <w:szCs w:val="24"/>
              </w:rPr>
            </w:pPr>
            <w:r>
              <w:rPr>
                <w:szCs w:val="24"/>
              </w:rPr>
              <w:t>- Gỗ MDF cốt xanh chống ẩm bề mặt phủ Melamine dày ≥17mm, các trong tủ đợt tủ gỗ MDF cốt xanh chống ẩm màu tương đương màu tại Bệnh viện, treo sát trần.</w:t>
            </w:r>
          </w:p>
          <w:p w14:paraId="0C2568E1">
            <w:pPr>
              <w:spacing w:before="40" w:after="40"/>
              <w:jc w:val="left"/>
              <w:rPr>
                <w:szCs w:val="24"/>
              </w:rPr>
            </w:pPr>
            <w:r>
              <w:rPr>
                <w:szCs w:val="24"/>
              </w:rPr>
              <w:t>- Gia cố khung thép hộp 40x80mm, dày 1.4mm treo tủ.</w:t>
            </w:r>
          </w:p>
          <w:p w14:paraId="123547F9">
            <w:pPr>
              <w:spacing w:before="40" w:after="40"/>
              <w:jc w:val="left"/>
              <w:rPr>
                <w:szCs w:val="24"/>
              </w:rPr>
            </w:pPr>
            <w:r>
              <w:rPr>
                <w:szCs w:val="24"/>
              </w:rPr>
              <w:t>- Phụ kiện: Ray bi thép mạ kẽm, bản lề Inox 304.</w:t>
            </w:r>
          </w:p>
          <w:p w14:paraId="2116D2D5">
            <w:pPr>
              <w:spacing w:before="40" w:after="40"/>
              <w:jc w:val="left"/>
              <w:rPr>
                <w:szCs w:val="24"/>
              </w:rPr>
            </w:pPr>
            <w:r>
              <w:rPr>
                <w:szCs w:val="24"/>
              </w:rPr>
              <w:t>- Kích thước: D1.9xR0.45xC1.85m (±10cm)</w:t>
            </w:r>
          </w:p>
          <w:p w14:paraId="03A2F1C6">
            <w:pPr>
              <w:spacing w:before="120" w:after="120"/>
              <w:jc w:val="left"/>
              <w:rPr>
                <w:iCs/>
                <w:szCs w:val="24"/>
              </w:rPr>
            </w:pPr>
            <w:r>
              <w:rPr>
                <w:szCs w:val="24"/>
              </w:rPr>
              <w:t>- Đã bao gồm khảo sát và lắp đặt.</w:t>
            </w:r>
          </w:p>
        </w:tc>
      </w:tr>
      <w:tr w14:paraId="0563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3BC748D0">
            <w:pPr>
              <w:spacing w:before="120" w:after="120"/>
              <w:ind w:firstLine="22"/>
              <w:jc w:val="center"/>
              <w:rPr>
                <w:iCs/>
              </w:rPr>
            </w:pPr>
            <w:r>
              <w:rPr>
                <w:color w:val="000000"/>
              </w:rPr>
              <w:t>5</w:t>
            </w:r>
          </w:p>
        </w:tc>
        <w:tc>
          <w:tcPr>
            <w:tcW w:w="1629" w:type="dxa"/>
            <w:vAlign w:val="center"/>
          </w:tcPr>
          <w:p w14:paraId="67412801">
            <w:pPr>
              <w:spacing w:before="120" w:after="120"/>
              <w:jc w:val="left"/>
              <w:rPr>
                <w:iCs/>
                <w:szCs w:val="24"/>
              </w:rPr>
            </w:pPr>
            <w:r>
              <w:rPr>
                <w:szCs w:val="24"/>
              </w:rPr>
              <w:t>Bàn làm việc</w:t>
            </w:r>
          </w:p>
        </w:tc>
        <w:tc>
          <w:tcPr>
            <w:tcW w:w="5760" w:type="dxa"/>
            <w:vAlign w:val="bottom"/>
          </w:tcPr>
          <w:p w14:paraId="49A8A367">
            <w:pPr>
              <w:spacing w:before="40" w:after="40"/>
              <w:jc w:val="left"/>
              <w:rPr>
                <w:szCs w:val="24"/>
              </w:rPr>
            </w:pPr>
            <w:r>
              <w:rPr>
                <w:szCs w:val="24"/>
              </w:rPr>
              <w:t>- Mặt bàn gỗ MDF cốt xanh chống ẩm bề mặt phủ Laminate màu tương đương màu tại Bệnh viện, bo tròn cạnh dày ≥ 30mm ngoài kết hợp chân sắt hộp 20x40mm dày 1.4mm sơn tĩnh điện màu trắng theo thiết kế. Một bên chân bàn là hộc tủ gồm 1 ngăn kéo và 1 tủ cánh mở để tài liệu.</w:t>
            </w:r>
          </w:p>
          <w:p w14:paraId="6591759D">
            <w:pPr>
              <w:spacing w:before="40" w:after="40"/>
              <w:jc w:val="left"/>
              <w:rPr>
                <w:szCs w:val="24"/>
              </w:rPr>
            </w:pPr>
            <w:r>
              <w:rPr>
                <w:szCs w:val="24"/>
              </w:rPr>
              <w:t>- Hồi, Vách, yếm, hộc tủ là MDF cốt xanh phủ Melamine chống ẩm màu tương đồng dày ≥17mm.</w:t>
            </w:r>
          </w:p>
          <w:p w14:paraId="185A0804">
            <w:pPr>
              <w:spacing w:before="40" w:after="40"/>
              <w:jc w:val="left"/>
              <w:rPr>
                <w:szCs w:val="24"/>
              </w:rPr>
            </w:pPr>
            <w:r>
              <w:rPr>
                <w:szCs w:val="24"/>
              </w:rPr>
              <w:t>- Hộc tủ gồm 1 ngăn kéo và 1 tủ cánh mở để tài liệu. Kích thước: D0.34xC0.65m</w:t>
            </w:r>
          </w:p>
          <w:p w14:paraId="50F23E38">
            <w:pPr>
              <w:spacing w:before="40" w:after="40"/>
              <w:jc w:val="left"/>
              <w:rPr>
                <w:szCs w:val="24"/>
              </w:rPr>
            </w:pPr>
            <w:r>
              <w:rPr>
                <w:szCs w:val="24"/>
              </w:rPr>
              <w:t>- Phụ kiện: Ray bi thép mạ kẽm, bản lề Inox 304.</w:t>
            </w:r>
          </w:p>
          <w:p w14:paraId="7849D018">
            <w:pPr>
              <w:spacing w:before="40" w:after="40"/>
              <w:jc w:val="left"/>
              <w:rPr>
                <w:szCs w:val="24"/>
              </w:rPr>
            </w:pPr>
            <w:r>
              <w:rPr>
                <w:szCs w:val="24"/>
              </w:rPr>
              <w:t>- Kích thước: D1.2xR0.6xC0.750m (±10cm)</w:t>
            </w:r>
          </w:p>
          <w:p w14:paraId="42C11C2F">
            <w:pPr>
              <w:spacing w:before="120" w:after="120"/>
              <w:jc w:val="left"/>
              <w:rPr>
                <w:iCs/>
                <w:szCs w:val="24"/>
              </w:rPr>
            </w:pPr>
            <w:r>
              <w:rPr>
                <w:szCs w:val="24"/>
              </w:rPr>
              <w:t>- Đã bao gồm khảo sát và lắp đặt</w:t>
            </w:r>
          </w:p>
        </w:tc>
      </w:tr>
      <w:tr w14:paraId="5415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440878A1">
            <w:pPr>
              <w:spacing w:before="120" w:after="120"/>
              <w:ind w:firstLine="22"/>
              <w:jc w:val="center"/>
              <w:rPr>
                <w:iCs/>
              </w:rPr>
            </w:pPr>
            <w:r>
              <w:rPr>
                <w:color w:val="000000"/>
              </w:rPr>
              <w:t>6</w:t>
            </w:r>
          </w:p>
        </w:tc>
        <w:tc>
          <w:tcPr>
            <w:tcW w:w="1629" w:type="dxa"/>
            <w:vAlign w:val="center"/>
          </w:tcPr>
          <w:p w14:paraId="14088FA2">
            <w:pPr>
              <w:spacing w:before="120" w:after="120"/>
              <w:jc w:val="left"/>
              <w:rPr>
                <w:iCs/>
                <w:szCs w:val="24"/>
              </w:rPr>
            </w:pPr>
            <w:r>
              <w:rPr>
                <w:szCs w:val="24"/>
              </w:rPr>
              <w:t>Bàn giao ban</w:t>
            </w:r>
          </w:p>
        </w:tc>
        <w:tc>
          <w:tcPr>
            <w:tcW w:w="5760" w:type="dxa"/>
            <w:vAlign w:val="bottom"/>
          </w:tcPr>
          <w:p w14:paraId="277AF6D8">
            <w:pPr>
              <w:spacing w:before="40" w:after="40"/>
              <w:jc w:val="left"/>
              <w:rPr>
                <w:szCs w:val="24"/>
              </w:rPr>
            </w:pPr>
            <w:r>
              <w:rPr>
                <w:szCs w:val="24"/>
              </w:rPr>
              <w:t>- Khung sắt sơn tĩnh điện dày ≥ 0.9mm, mặt bàn gỗ công nghiệp phủ Melamine màu tương đồng màu tại Bệnh viện dày ≥25mm; Viền mặt bàn phủ Melamine màu xanh tương đồng màu thương hiệu Bệnh viện.</w:t>
            </w:r>
          </w:p>
          <w:p w14:paraId="335C90C4">
            <w:pPr>
              <w:spacing w:before="40" w:after="40"/>
              <w:jc w:val="left"/>
              <w:rPr>
                <w:szCs w:val="24"/>
              </w:rPr>
            </w:pPr>
            <w:r>
              <w:rPr>
                <w:szCs w:val="24"/>
              </w:rPr>
              <w:t>- Kích thước: D2.4xR1.2xC0.750m (±10cm)</w:t>
            </w:r>
          </w:p>
          <w:p w14:paraId="012A6FF2">
            <w:pPr>
              <w:spacing w:before="120" w:after="120"/>
              <w:jc w:val="left"/>
              <w:rPr>
                <w:iCs/>
                <w:szCs w:val="24"/>
              </w:rPr>
            </w:pPr>
            <w:r>
              <w:rPr>
                <w:szCs w:val="24"/>
              </w:rPr>
              <w:t>- Đã bao gồm khảo sát và lắp đặt</w:t>
            </w:r>
          </w:p>
        </w:tc>
      </w:tr>
      <w:tr w14:paraId="4AA0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4F77B424">
            <w:pPr>
              <w:spacing w:before="120" w:after="120"/>
              <w:ind w:firstLine="22"/>
              <w:jc w:val="center"/>
              <w:rPr>
                <w:iCs/>
              </w:rPr>
            </w:pPr>
            <w:r>
              <w:rPr>
                <w:color w:val="000000"/>
              </w:rPr>
              <w:t>7</w:t>
            </w:r>
          </w:p>
        </w:tc>
        <w:tc>
          <w:tcPr>
            <w:tcW w:w="1629" w:type="dxa"/>
            <w:vAlign w:val="center"/>
          </w:tcPr>
          <w:p w14:paraId="3E46985A">
            <w:pPr>
              <w:spacing w:before="120" w:after="120"/>
              <w:jc w:val="left"/>
              <w:rPr>
                <w:iCs/>
                <w:szCs w:val="24"/>
              </w:rPr>
            </w:pPr>
            <w:r>
              <w:rPr>
                <w:szCs w:val="24"/>
              </w:rPr>
              <w:t>Ghế văn phòng (trưởng khoa)</w:t>
            </w:r>
          </w:p>
        </w:tc>
        <w:tc>
          <w:tcPr>
            <w:tcW w:w="5760" w:type="dxa"/>
            <w:vAlign w:val="bottom"/>
          </w:tcPr>
          <w:p w14:paraId="354F9547">
            <w:pPr>
              <w:spacing w:before="40" w:after="40"/>
              <w:jc w:val="left"/>
              <w:rPr>
                <w:szCs w:val="24"/>
              </w:rPr>
            </w:pPr>
            <w:r>
              <w:rPr>
                <w:szCs w:val="24"/>
              </w:rPr>
              <w:t xml:space="preserve">- Khung ghế bằng hợp kim kết hợp ván gỗ Plywood ≥ 15mm, </w:t>
            </w:r>
          </w:p>
          <w:p w14:paraId="491EA3CD">
            <w:pPr>
              <w:spacing w:before="40" w:after="40"/>
              <w:jc w:val="left"/>
              <w:rPr>
                <w:szCs w:val="24"/>
              </w:rPr>
            </w:pPr>
            <w:r>
              <w:rPr>
                <w:szCs w:val="24"/>
              </w:rPr>
              <w:t>- Nệm mút định hình Memory foam mật độ cao.</w:t>
            </w:r>
          </w:p>
          <w:p w14:paraId="377ED59A">
            <w:pPr>
              <w:spacing w:before="40" w:after="40"/>
              <w:jc w:val="left"/>
              <w:rPr>
                <w:szCs w:val="24"/>
              </w:rPr>
            </w:pPr>
            <w:r>
              <w:rPr>
                <w:szCs w:val="24"/>
              </w:rPr>
              <w:t>- Tựa tay bằng hợp kim có ôp tì tay chống mài mòn, trầy.</w:t>
            </w:r>
          </w:p>
          <w:p w14:paraId="17D53E87">
            <w:pPr>
              <w:spacing w:before="40" w:after="40"/>
              <w:jc w:val="left"/>
              <w:rPr>
                <w:szCs w:val="24"/>
              </w:rPr>
            </w:pPr>
            <w:r>
              <w:rPr>
                <w:szCs w:val="24"/>
              </w:rPr>
              <w:t>- Đệm và tựa: Da PU cao cấp Màu đen.</w:t>
            </w:r>
          </w:p>
          <w:p w14:paraId="6ACC82C1">
            <w:pPr>
              <w:spacing w:before="40" w:after="40"/>
              <w:jc w:val="left"/>
              <w:rPr>
                <w:szCs w:val="24"/>
              </w:rPr>
            </w:pPr>
            <w:r>
              <w:rPr>
                <w:szCs w:val="24"/>
              </w:rPr>
              <w:t>- Ben hơi: Đạt chứng nhận Gas Lift Class 3 của SGS</w:t>
            </w:r>
          </w:p>
          <w:p w14:paraId="42C10B6B">
            <w:pPr>
              <w:spacing w:before="40" w:after="40"/>
              <w:jc w:val="left"/>
              <w:rPr>
                <w:szCs w:val="24"/>
              </w:rPr>
            </w:pPr>
            <w:r>
              <w:rPr>
                <w:szCs w:val="24"/>
              </w:rPr>
              <w:t>- Mâm ghế đa chức năng dày khoảng 4.0mm, điều chỉnh ngả lưng tới 135 độ, khóa cố định 3 vị trí.</w:t>
            </w:r>
          </w:p>
          <w:p w14:paraId="02DFD188">
            <w:pPr>
              <w:spacing w:before="40" w:after="40"/>
              <w:jc w:val="left"/>
              <w:rPr>
                <w:szCs w:val="24"/>
              </w:rPr>
            </w:pPr>
            <w:r>
              <w:rPr>
                <w:szCs w:val="24"/>
              </w:rPr>
              <w:t>- Chân ghế hợp kim đúc nguyên khối,chịu tải đến 1130Kg, có bánh xe.</w:t>
            </w:r>
          </w:p>
          <w:p w14:paraId="5F75F0B9">
            <w:pPr>
              <w:spacing w:before="120" w:after="120"/>
              <w:jc w:val="left"/>
              <w:rPr>
                <w:iCs/>
                <w:szCs w:val="24"/>
              </w:rPr>
            </w:pPr>
            <w:r>
              <w:rPr>
                <w:szCs w:val="24"/>
              </w:rPr>
              <w:t>- Kích thước: D0.75xR0.65xC (tăng chỉnh khoảng0.9÷1.1)m (±5cm)</w:t>
            </w:r>
          </w:p>
        </w:tc>
      </w:tr>
      <w:tr w14:paraId="20BD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15813F5D">
            <w:pPr>
              <w:spacing w:before="120" w:after="120"/>
              <w:ind w:firstLine="22"/>
              <w:jc w:val="center"/>
              <w:rPr>
                <w:iCs/>
              </w:rPr>
            </w:pPr>
            <w:r>
              <w:rPr>
                <w:color w:val="000000"/>
              </w:rPr>
              <w:t>8</w:t>
            </w:r>
          </w:p>
        </w:tc>
        <w:tc>
          <w:tcPr>
            <w:tcW w:w="1629" w:type="dxa"/>
            <w:vAlign w:val="center"/>
          </w:tcPr>
          <w:p w14:paraId="1A688EE1">
            <w:pPr>
              <w:spacing w:before="120" w:after="120"/>
              <w:jc w:val="left"/>
              <w:rPr>
                <w:iCs/>
                <w:szCs w:val="24"/>
              </w:rPr>
            </w:pPr>
            <w:r>
              <w:rPr>
                <w:szCs w:val="24"/>
              </w:rPr>
              <w:t xml:space="preserve">Ghế văn phòng </w:t>
            </w:r>
          </w:p>
        </w:tc>
        <w:tc>
          <w:tcPr>
            <w:tcW w:w="5760" w:type="dxa"/>
            <w:vAlign w:val="bottom"/>
          </w:tcPr>
          <w:p w14:paraId="383E1B24">
            <w:pPr>
              <w:spacing w:before="40" w:after="40"/>
              <w:jc w:val="left"/>
              <w:rPr>
                <w:szCs w:val="24"/>
              </w:rPr>
            </w:pPr>
            <w:r>
              <w:rPr>
                <w:szCs w:val="24"/>
              </w:rPr>
              <w:t xml:space="preserve">- Khung ghế bằng hợp kim kết hợp ván gỗ Plywood ≥15mm, </w:t>
            </w:r>
          </w:p>
          <w:p w14:paraId="41A3FFE8">
            <w:pPr>
              <w:spacing w:before="40" w:after="40"/>
              <w:jc w:val="left"/>
              <w:rPr>
                <w:szCs w:val="24"/>
              </w:rPr>
            </w:pPr>
            <w:r>
              <w:rPr>
                <w:szCs w:val="24"/>
              </w:rPr>
              <w:t>- Nệm mút định hình mật độ cao.</w:t>
            </w:r>
          </w:p>
          <w:p w14:paraId="4B9D3A3A">
            <w:pPr>
              <w:spacing w:before="40" w:after="40"/>
              <w:jc w:val="left"/>
              <w:rPr>
                <w:szCs w:val="24"/>
              </w:rPr>
            </w:pPr>
            <w:r>
              <w:rPr>
                <w:szCs w:val="24"/>
              </w:rPr>
              <w:t>- Tựa tay bằng hợp kim có ôp tì tay chống mài mòn, trầy.</w:t>
            </w:r>
          </w:p>
          <w:p w14:paraId="69CF9FD4">
            <w:pPr>
              <w:spacing w:before="40" w:after="40"/>
              <w:jc w:val="left"/>
              <w:rPr>
                <w:szCs w:val="24"/>
              </w:rPr>
            </w:pPr>
            <w:r>
              <w:rPr>
                <w:szCs w:val="24"/>
              </w:rPr>
              <w:t>- Đệm và tựa: Da PU cao cấp màu đen.</w:t>
            </w:r>
          </w:p>
          <w:p w14:paraId="5D338345">
            <w:pPr>
              <w:spacing w:before="40" w:after="40"/>
              <w:jc w:val="left"/>
              <w:rPr>
                <w:szCs w:val="24"/>
              </w:rPr>
            </w:pPr>
            <w:r>
              <w:rPr>
                <w:szCs w:val="24"/>
              </w:rPr>
              <w:t>- - Ben hơi: Đạt chứng nhận Gas Lift Class 3 của SGS</w:t>
            </w:r>
          </w:p>
          <w:p w14:paraId="1C3FE68E">
            <w:pPr>
              <w:spacing w:before="40" w:after="40"/>
              <w:jc w:val="left"/>
              <w:rPr>
                <w:szCs w:val="24"/>
              </w:rPr>
            </w:pPr>
            <w:r>
              <w:rPr>
                <w:szCs w:val="24"/>
              </w:rPr>
              <w:t>- Mâm ghế đa chức năng dày khoảng 4.0mm, điều chỉnh ngả lưng lên tới 130 độ.</w:t>
            </w:r>
          </w:p>
          <w:p w14:paraId="5A7C8C0F">
            <w:pPr>
              <w:spacing w:before="40" w:after="40"/>
              <w:jc w:val="left"/>
              <w:rPr>
                <w:szCs w:val="24"/>
              </w:rPr>
            </w:pPr>
            <w:r>
              <w:rPr>
                <w:szCs w:val="24"/>
              </w:rPr>
              <w:t>- Chân ghế hợp kim đúc nguyên khối,chịu tải đến 1130Kg, có bánh xe.</w:t>
            </w:r>
          </w:p>
          <w:p w14:paraId="7715F74F">
            <w:pPr>
              <w:spacing w:before="120" w:after="120"/>
              <w:jc w:val="left"/>
              <w:rPr>
                <w:iCs/>
                <w:szCs w:val="24"/>
              </w:rPr>
            </w:pPr>
            <w:r>
              <w:rPr>
                <w:szCs w:val="24"/>
              </w:rPr>
              <w:t>- Kích thước: D0.65xR0.65xC(tăng chỉnh khoảng 0.8÷1.05)m(±5cm)</w:t>
            </w:r>
          </w:p>
        </w:tc>
      </w:tr>
      <w:tr w14:paraId="6C67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21CCF11A">
            <w:pPr>
              <w:spacing w:before="120" w:after="120"/>
              <w:ind w:firstLine="22"/>
              <w:jc w:val="center"/>
              <w:rPr>
                <w:iCs/>
              </w:rPr>
            </w:pPr>
            <w:r>
              <w:rPr>
                <w:color w:val="000000"/>
              </w:rPr>
              <w:t>9</w:t>
            </w:r>
          </w:p>
        </w:tc>
        <w:tc>
          <w:tcPr>
            <w:tcW w:w="1629" w:type="dxa"/>
            <w:vAlign w:val="center"/>
          </w:tcPr>
          <w:p w14:paraId="4E4A2B64">
            <w:pPr>
              <w:spacing w:before="120" w:after="120"/>
              <w:jc w:val="left"/>
              <w:rPr>
                <w:iCs/>
                <w:szCs w:val="24"/>
              </w:rPr>
            </w:pPr>
            <w:r>
              <w:rPr>
                <w:szCs w:val="24"/>
              </w:rPr>
              <w:t>Ghế chân quỳ (Giao ban)</w:t>
            </w:r>
          </w:p>
        </w:tc>
        <w:tc>
          <w:tcPr>
            <w:tcW w:w="5760" w:type="dxa"/>
            <w:vAlign w:val="bottom"/>
          </w:tcPr>
          <w:p w14:paraId="0E6F76F8">
            <w:pPr>
              <w:spacing w:before="40" w:after="40"/>
              <w:jc w:val="left"/>
              <w:rPr>
                <w:szCs w:val="24"/>
              </w:rPr>
            </w:pPr>
            <w:r>
              <w:rPr>
                <w:szCs w:val="24"/>
              </w:rPr>
              <w:t>- Khung lưng đệm bằng nhựa PP, bên ngoài bọc vải lưới, có đệm lưng.</w:t>
            </w:r>
          </w:p>
          <w:p w14:paraId="6533C130">
            <w:pPr>
              <w:spacing w:before="40" w:after="40"/>
              <w:jc w:val="left"/>
              <w:rPr>
                <w:szCs w:val="24"/>
              </w:rPr>
            </w:pPr>
            <w:r>
              <w:rPr>
                <w:szCs w:val="24"/>
              </w:rPr>
              <w:t>- Khung đệm bằng ván gỗ dày ≥ 12mm; đệm ngồi bằng mút định hình mật độ cao, tựa lưng bọc vải nỉ cao cấp màu xanh tương đồng màu thương hiệu Bệnh viện.</w:t>
            </w:r>
          </w:p>
          <w:p w14:paraId="0D873804">
            <w:pPr>
              <w:spacing w:before="40" w:after="40"/>
              <w:jc w:val="left"/>
              <w:rPr>
                <w:szCs w:val="24"/>
              </w:rPr>
            </w:pPr>
            <w:r>
              <w:rPr>
                <w:szCs w:val="24"/>
              </w:rPr>
              <w:t>- Ghế có thiết kế lỗ tay cầm tiện dụng. Ghế có thể xếp chồng lên nhau tiết kiệm diện tích.</w:t>
            </w:r>
          </w:p>
          <w:p w14:paraId="177CA24F">
            <w:pPr>
              <w:spacing w:before="40" w:after="40"/>
              <w:jc w:val="left"/>
              <w:rPr>
                <w:szCs w:val="24"/>
              </w:rPr>
            </w:pPr>
            <w:r>
              <w:rPr>
                <w:szCs w:val="24"/>
              </w:rPr>
              <w:t>- Chân ghế bằng thép mạ điện dày ≥ 1.2mm, bề mặt nhẵn bóng, độ cứng cao.</w:t>
            </w:r>
          </w:p>
          <w:p w14:paraId="236B74A9">
            <w:pPr>
              <w:spacing w:before="120" w:after="120"/>
              <w:jc w:val="left"/>
              <w:rPr>
                <w:iCs/>
                <w:szCs w:val="24"/>
              </w:rPr>
            </w:pPr>
            <w:r>
              <w:rPr>
                <w:szCs w:val="24"/>
              </w:rPr>
              <w:t>- Kích thước: D0.47xR0.49xC0.93m (±5cm)</w:t>
            </w:r>
          </w:p>
        </w:tc>
      </w:tr>
      <w:tr w14:paraId="4FFB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51316D27">
            <w:pPr>
              <w:spacing w:before="120" w:after="120"/>
              <w:ind w:firstLine="22"/>
              <w:jc w:val="center"/>
              <w:rPr>
                <w:iCs/>
              </w:rPr>
            </w:pPr>
            <w:r>
              <w:rPr>
                <w:color w:val="000000"/>
              </w:rPr>
              <w:t>10</w:t>
            </w:r>
          </w:p>
        </w:tc>
        <w:tc>
          <w:tcPr>
            <w:tcW w:w="1629" w:type="dxa"/>
            <w:vAlign w:val="center"/>
          </w:tcPr>
          <w:p w14:paraId="70354529">
            <w:pPr>
              <w:spacing w:before="120" w:after="120"/>
              <w:jc w:val="left"/>
              <w:rPr>
                <w:iCs/>
                <w:szCs w:val="24"/>
              </w:rPr>
            </w:pPr>
            <w:r>
              <w:rPr>
                <w:szCs w:val="24"/>
              </w:rPr>
              <w:t>Ghế chân quỳ (bệnh nhân)</w:t>
            </w:r>
          </w:p>
        </w:tc>
        <w:tc>
          <w:tcPr>
            <w:tcW w:w="5760" w:type="dxa"/>
            <w:vAlign w:val="bottom"/>
          </w:tcPr>
          <w:p w14:paraId="46AB277C">
            <w:pPr>
              <w:spacing w:before="40" w:after="40"/>
              <w:jc w:val="left"/>
              <w:rPr>
                <w:szCs w:val="24"/>
              </w:rPr>
            </w:pPr>
            <w:r>
              <w:rPr>
                <w:szCs w:val="24"/>
              </w:rPr>
              <w:t>- Khung lưng bằng nhựa PP, Màu xanh tương đồng màu thương hiệu Bệnh viện.</w:t>
            </w:r>
          </w:p>
          <w:p w14:paraId="2F16A7F9">
            <w:pPr>
              <w:spacing w:before="40" w:after="40"/>
              <w:jc w:val="left"/>
              <w:rPr>
                <w:szCs w:val="24"/>
              </w:rPr>
            </w:pPr>
            <w:r>
              <w:rPr>
                <w:szCs w:val="24"/>
              </w:rPr>
              <w:t>- Ghế có thiết kế lỗ tay cầm. Ghế có thể xếp chồng lên nhau tiết kiệm diện tích.</w:t>
            </w:r>
          </w:p>
          <w:p w14:paraId="1336D2D4">
            <w:pPr>
              <w:spacing w:before="40" w:after="40"/>
              <w:jc w:val="left"/>
              <w:rPr>
                <w:szCs w:val="24"/>
              </w:rPr>
            </w:pPr>
            <w:r>
              <w:rPr>
                <w:szCs w:val="24"/>
              </w:rPr>
              <w:t>- Chân ghế bằng thép mạ điện dày  ≥  1.2mm, có độ cứng cao.</w:t>
            </w:r>
          </w:p>
          <w:p w14:paraId="3942BA8D">
            <w:pPr>
              <w:spacing w:before="120" w:after="120"/>
              <w:jc w:val="left"/>
              <w:rPr>
                <w:iCs/>
                <w:szCs w:val="24"/>
              </w:rPr>
            </w:pPr>
            <w:r>
              <w:rPr>
                <w:szCs w:val="24"/>
              </w:rPr>
              <w:t>- Kích thước: D0.44xR0.45xC0.81m (±5cm)</w:t>
            </w:r>
          </w:p>
        </w:tc>
      </w:tr>
      <w:tr w14:paraId="1F06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7DB06F64">
            <w:pPr>
              <w:spacing w:before="120" w:after="120"/>
              <w:ind w:firstLine="22"/>
              <w:jc w:val="center"/>
              <w:rPr>
                <w:iCs/>
              </w:rPr>
            </w:pPr>
            <w:r>
              <w:rPr>
                <w:color w:val="000000"/>
              </w:rPr>
              <w:t>11</w:t>
            </w:r>
          </w:p>
        </w:tc>
        <w:tc>
          <w:tcPr>
            <w:tcW w:w="1629" w:type="dxa"/>
            <w:vAlign w:val="center"/>
          </w:tcPr>
          <w:p w14:paraId="74AE4291">
            <w:pPr>
              <w:spacing w:before="120" w:after="120"/>
              <w:jc w:val="left"/>
              <w:rPr>
                <w:iCs/>
                <w:szCs w:val="24"/>
              </w:rPr>
            </w:pPr>
            <w:r>
              <w:rPr>
                <w:szCs w:val="24"/>
              </w:rPr>
              <w:t>Ghế phòng chức năng (lấy máu)</w:t>
            </w:r>
          </w:p>
        </w:tc>
        <w:tc>
          <w:tcPr>
            <w:tcW w:w="5760" w:type="dxa"/>
            <w:vAlign w:val="bottom"/>
          </w:tcPr>
          <w:p w14:paraId="5C3C9C9A">
            <w:pPr>
              <w:spacing w:before="40" w:after="40"/>
              <w:jc w:val="left"/>
              <w:rPr>
                <w:szCs w:val="24"/>
              </w:rPr>
            </w:pPr>
            <w:r>
              <w:rPr>
                <w:szCs w:val="24"/>
              </w:rPr>
              <w:t>- Chất liệu khung thép mạ tĩnh điện dày ≥ 1.2mm .</w:t>
            </w:r>
          </w:p>
          <w:p w14:paraId="1C509764">
            <w:pPr>
              <w:spacing w:before="40" w:after="40"/>
              <w:jc w:val="left"/>
              <w:rPr>
                <w:szCs w:val="24"/>
              </w:rPr>
            </w:pPr>
            <w:r>
              <w:rPr>
                <w:szCs w:val="24"/>
              </w:rPr>
              <w:t>- Đệm và tựa ghế bọc PVC màu xanh tương đồng màu thương hiệu tại Bệnh viện.</w:t>
            </w:r>
          </w:p>
          <w:p w14:paraId="5ACC89D4">
            <w:pPr>
              <w:spacing w:before="40" w:after="40"/>
              <w:jc w:val="left"/>
              <w:rPr>
                <w:szCs w:val="24"/>
              </w:rPr>
            </w:pPr>
            <w:r>
              <w:rPr>
                <w:szCs w:val="24"/>
              </w:rPr>
              <w:t>- Ghế điều chỉnh cao thấp và xoay được.</w:t>
            </w:r>
          </w:p>
          <w:p w14:paraId="73D07430">
            <w:pPr>
              <w:spacing w:before="120" w:after="120"/>
              <w:jc w:val="left"/>
              <w:rPr>
                <w:iCs/>
                <w:szCs w:val="24"/>
              </w:rPr>
            </w:pPr>
            <w:r>
              <w:rPr>
                <w:szCs w:val="24"/>
              </w:rPr>
              <w:t>- Kích thước: Ø 550 (mm) x chiều cao khi thấp nhất khoảng 725(mm) và khi cao nhất khoảng 845 (mm)</w:t>
            </w:r>
          </w:p>
        </w:tc>
      </w:tr>
      <w:tr w14:paraId="14B2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4D86CEFD">
            <w:pPr>
              <w:spacing w:before="120" w:after="120"/>
              <w:ind w:firstLine="22"/>
              <w:jc w:val="center"/>
              <w:rPr>
                <w:iCs/>
              </w:rPr>
            </w:pPr>
            <w:r>
              <w:rPr>
                <w:color w:val="000000"/>
              </w:rPr>
              <w:t>12</w:t>
            </w:r>
          </w:p>
        </w:tc>
        <w:tc>
          <w:tcPr>
            <w:tcW w:w="1629" w:type="dxa"/>
            <w:vAlign w:val="center"/>
          </w:tcPr>
          <w:p w14:paraId="47BF9315">
            <w:pPr>
              <w:spacing w:before="40" w:after="40"/>
              <w:jc w:val="left"/>
              <w:rPr>
                <w:szCs w:val="24"/>
              </w:rPr>
            </w:pPr>
            <w:r>
              <w:rPr>
                <w:szCs w:val="24"/>
              </w:rPr>
              <w:t xml:space="preserve">Ghế bệnh nhân </w:t>
            </w:r>
          </w:p>
          <w:p w14:paraId="1B7A57EF">
            <w:pPr>
              <w:spacing w:before="120" w:after="120"/>
              <w:jc w:val="left"/>
              <w:rPr>
                <w:iCs/>
                <w:szCs w:val="24"/>
              </w:rPr>
            </w:pPr>
            <w:r>
              <w:rPr>
                <w:szCs w:val="24"/>
              </w:rPr>
              <w:t>(lấy mẫu)</w:t>
            </w:r>
          </w:p>
        </w:tc>
        <w:tc>
          <w:tcPr>
            <w:tcW w:w="5760" w:type="dxa"/>
            <w:vAlign w:val="bottom"/>
          </w:tcPr>
          <w:p w14:paraId="3F8C345B">
            <w:pPr>
              <w:spacing w:before="40" w:after="40"/>
              <w:jc w:val="left"/>
              <w:rPr>
                <w:szCs w:val="24"/>
              </w:rPr>
            </w:pPr>
            <w:r>
              <w:rPr>
                <w:szCs w:val="24"/>
              </w:rPr>
              <w:t>- Chất liệu: Khung thép sơn tĩnh điện màu đen dày  ≥ 1.2mm , lưng nhựa bọc lưới màu xanh tương đồng màu thương hiệu, đệm ngồi bọc da PVC màu ghi xám. Tay ốp vịn nhựa PP cong cứng 1 chiều.</w:t>
            </w:r>
          </w:p>
          <w:p w14:paraId="00C15A4F">
            <w:pPr>
              <w:spacing w:before="120" w:after="120"/>
              <w:jc w:val="left"/>
              <w:rPr>
                <w:iCs/>
                <w:szCs w:val="24"/>
              </w:rPr>
            </w:pPr>
            <w:r>
              <w:rPr>
                <w:szCs w:val="24"/>
              </w:rPr>
              <w:t>- Kích thước (DxRxC): 540x540x890 mm  (±5cm)</w:t>
            </w:r>
          </w:p>
        </w:tc>
      </w:tr>
      <w:tr w14:paraId="69B5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13990916">
            <w:pPr>
              <w:spacing w:before="120" w:after="120"/>
              <w:ind w:firstLine="22"/>
              <w:jc w:val="center"/>
              <w:rPr>
                <w:iCs/>
              </w:rPr>
            </w:pPr>
            <w:r>
              <w:rPr>
                <w:color w:val="000000"/>
              </w:rPr>
              <w:t>13</w:t>
            </w:r>
          </w:p>
        </w:tc>
        <w:tc>
          <w:tcPr>
            <w:tcW w:w="1629" w:type="dxa"/>
            <w:vAlign w:val="center"/>
          </w:tcPr>
          <w:p w14:paraId="70FE49BF">
            <w:pPr>
              <w:spacing w:before="120" w:after="120"/>
              <w:jc w:val="left"/>
              <w:rPr>
                <w:iCs/>
                <w:szCs w:val="24"/>
              </w:rPr>
            </w:pPr>
            <w:r>
              <w:rPr>
                <w:szCs w:val="24"/>
              </w:rPr>
              <w:t>Tủ hồ sơ sắt 3 khoang kính</w:t>
            </w:r>
          </w:p>
        </w:tc>
        <w:tc>
          <w:tcPr>
            <w:tcW w:w="5760" w:type="dxa"/>
            <w:vAlign w:val="bottom"/>
          </w:tcPr>
          <w:p w14:paraId="66602825">
            <w:pPr>
              <w:spacing w:before="40" w:after="40"/>
              <w:jc w:val="left"/>
              <w:rPr>
                <w:szCs w:val="24"/>
              </w:rPr>
            </w:pPr>
            <w:r>
              <w:rPr>
                <w:szCs w:val="24"/>
              </w:rPr>
              <w:t>- Chất liệu: Sắt sơn tĩnh điện dày  ≥0.4mm + kính an toàn. Màu ghi sáng.</w:t>
            </w:r>
          </w:p>
          <w:p w14:paraId="11F11080">
            <w:pPr>
              <w:spacing w:before="40" w:after="40"/>
              <w:jc w:val="left"/>
              <w:rPr>
                <w:szCs w:val="24"/>
              </w:rPr>
            </w:pPr>
            <w:r>
              <w:rPr>
                <w:szCs w:val="24"/>
              </w:rPr>
              <w:t>- Mỗi đợt tối đa 30kg.</w:t>
            </w:r>
          </w:p>
          <w:p w14:paraId="6812B80B">
            <w:pPr>
              <w:spacing w:before="40" w:after="40"/>
              <w:jc w:val="left"/>
              <w:rPr>
                <w:szCs w:val="24"/>
              </w:rPr>
            </w:pPr>
            <w:r>
              <w:rPr>
                <w:szCs w:val="24"/>
              </w:rPr>
              <w:t xml:space="preserve">- Kiểu dáng: Tủ sắt dạng thẳng đứng gồm 3 khoang với 3 cánh kính mở, trong lòng mỗi khoang có 3 đợt di động chia thành 4 ngăn để lưu trữ. </w:t>
            </w:r>
          </w:p>
          <w:p w14:paraId="312B6B05">
            <w:pPr>
              <w:spacing w:before="120" w:after="120"/>
              <w:jc w:val="left"/>
              <w:rPr>
                <w:iCs/>
                <w:szCs w:val="24"/>
              </w:rPr>
            </w:pPr>
            <w:r>
              <w:rPr>
                <w:szCs w:val="24"/>
              </w:rPr>
              <w:t>- Kích thước: D1.35xR0.45xC1.83m (±10cm)</w:t>
            </w:r>
          </w:p>
        </w:tc>
      </w:tr>
      <w:tr w14:paraId="3CB5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6DC965E8">
            <w:pPr>
              <w:spacing w:before="120" w:after="120"/>
              <w:ind w:firstLine="22"/>
              <w:jc w:val="center"/>
              <w:rPr>
                <w:iCs/>
              </w:rPr>
            </w:pPr>
            <w:r>
              <w:rPr>
                <w:color w:val="000000"/>
              </w:rPr>
              <w:t>14</w:t>
            </w:r>
          </w:p>
        </w:tc>
        <w:tc>
          <w:tcPr>
            <w:tcW w:w="1629" w:type="dxa"/>
            <w:vAlign w:val="center"/>
          </w:tcPr>
          <w:p w14:paraId="625756B0">
            <w:pPr>
              <w:spacing w:before="120" w:after="120"/>
              <w:jc w:val="left"/>
              <w:rPr>
                <w:iCs/>
                <w:szCs w:val="24"/>
              </w:rPr>
            </w:pPr>
            <w:r>
              <w:rPr>
                <w:szCs w:val="24"/>
              </w:rPr>
              <w:t>Tủ tài liệu cánh lùa</w:t>
            </w:r>
          </w:p>
        </w:tc>
        <w:tc>
          <w:tcPr>
            <w:tcW w:w="5760" w:type="dxa"/>
            <w:vAlign w:val="center"/>
          </w:tcPr>
          <w:p w14:paraId="4BA57CDF">
            <w:pPr>
              <w:spacing w:before="40" w:after="40"/>
              <w:jc w:val="left"/>
              <w:rPr>
                <w:szCs w:val="24"/>
              </w:rPr>
            </w:pPr>
            <w:r>
              <w:rPr>
                <w:szCs w:val="24"/>
              </w:rPr>
              <w:t>- Chất liệu: Sắt sơn tĩnh điện dày ≥0.4mm + kính an toàn. Màu ghi sáng.</w:t>
            </w:r>
          </w:p>
          <w:p w14:paraId="26B4562C">
            <w:pPr>
              <w:spacing w:before="40" w:after="40"/>
              <w:jc w:val="left"/>
              <w:rPr>
                <w:szCs w:val="24"/>
              </w:rPr>
            </w:pPr>
            <w:r>
              <w:rPr>
                <w:szCs w:val="24"/>
              </w:rPr>
              <w:t>- Mỗi đợt tối đa 30kg.</w:t>
            </w:r>
          </w:p>
          <w:p w14:paraId="6F5AA3AF">
            <w:pPr>
              <w:spacing w:before="40" w:after="40"/>
              <w:jc w:val="left"/>
              <w:rPr>
                <w:szCs w:val="24"/>
              </w:rPr>
            </w:pPr>
            <w:r>
              <w:rPr>
                <w:szCs w:val="24"/>
              </w:rPr>
              <w:t>- Kiểu dáng: Tủ hồ sơ để tài liệu, 2 khoang. Khoang trên có 2 đợt di động, cánh kính lùa. Khoang dưới có 2 cánh sắt lùa</w:t>
            </w:r>
          </w:p>
          <w:p w14:paraId="03465847">
            <w:pPr>
              <w:spacing w:before="120" w:after="120"/>
              <w:jc w:val="left"/>
              <w:rPr>
                <w:iCs/>
                <w:szCs w:val="24"/>
              </w:rPr>
            </w:pPr>
            <w:r>
              <w:rPr>
                <w:szCs w:val="24"/>
              </w:rPr>
              <w:t>- Kích thước: D1.0xR0.45xC1.83m (±10cm)</w:t>
            </w:r>
          </w:p>
        </w:tc>
      </w:tr>
      <w:tr w14:paraId="2376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14EDC1E1">
            <w:pPr>
              <w:spacing w:before="120" w:after="120"/>
              <w:ind w:firstLine="22"/>
              <w:jc w:val="center"/>
              <w:rPr>
                <w:iCs/>
              </w:rPr>
            </w:pPr>
            <w:r>
              <w:rPr>
                <w:color w:val="000000"/>
              </w:rPr>
              <w:t>15</w:t>
            </w:r>
          </w:p>
        </w:tc>
        <w:tc>
          <w:tcPr>
            <w:tcW w:w="1629" w:type="dxa"/>
            <w:vAlign w:val="center"/>
          </w:tcPr>
          <w:p w14:paraId="00338C30">
            <w:pPr>
              <w:spacing w:before="120" w:after="120"/>
              <w:jc w:val="left"/>
              <w:rPr>
                <w:iCs/>
                <w:szCs w:val="24"/>
              </w:rPr>
            </w:pPr>
            <w:r>
              <w:rPr>
                <w:szCs w:val="24"/>
              </w:rPr>
              <w:t>Tủ locker 2 ngăn</w:t>
            </w:r>
          </w:p>
        </w:tc>
        <w:tc>
          <w:tcPr>
            <w:tcW w:w="5760" w:type="dxa"/>
            <w:vAlign w:val="center"/>
          </w:tcPr>
          <w:p w14:paraId="5495D0CC">
            <w:pPr>
              <w:spacing w:before="40" w:after="40"/>
              <w:jc w:val="left"/>
              <w:rPr>
                <w:szCs w:val="24"/>
              </w:rPr>
            </w:pPr>
            <w:r>
              <w:rPr>
                <w:szCs w:val="24"/>
              </w:rPr>
              <w:t>- Chất liệu: Sắt sơn tĩnh điện dày ≥0.4mm; Màu ghi sáng.</w:t>
            </w:r>
          </w:p>
          <w:p w14:paraId="12780744">
            <w:pPr>
              <w:spacing w:before="40" w:after="40"/>
              <w:jc w:val="left"/>
              <w:rPr>
                <w:szCs w:val="24"/>
              </w:rPr>
            </w:pPr>
            <w:r>
              <w:rPr>
                <w:szCs w:val="24"/>
              </w:rPr>
              <w:t>- Kiểu dáng: Tủ có thiết kế gồm 2 khoang cánh mở, bên trong mỗi khoang có 1 đợt cố định và 1 suốt treo quần áo.Trên mỗi cánh có 1 khóa Locker, núm tay nắm và tai khóa móc.</w:t>
            </w:r>
          </w:p>
          <w:p w14:paraId="21BB85CF">
            <w:pPr>
              <w:spacing w:before="40" w:after="40"/>
              <w:jc w:val="left"/>
              <w:rPr>
                <w:szCs w:val="24"/>
              </w:rPr>
            </w:pPr>
            <w:r>
              <w:rPr>
                <w:szCs w:val="24"/>
              </w:rPr>
              <w:t>- Mỗi đợt tối đa 30kg.</w:t>
            </w:r>
          </w:p>
          <w:p w14:paraId="32092254">
            <w:pPr>
              <w:spacing w:before="120" w:after="120"/>
              <w:jc w:val="left"/>
              <w:rPr>
                <w:iCs/>
                <w:szCs w:val="24"/>
              </w:rPr>
            </w:pPr>
            <w:r>
              <w:rPr>
                <w:szCs w:val="24"/>
              </w:rPr>
              <w:t>- Kích thước: D0.38xR0.45xC1.93m (±10cm)</w:t>
            </w:r>
          </w:p>
        </w:tc>
      </w:tr>
      <w:tr w14:paraId="256C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1CA2F4BD">
            <w:pPr>
              <w:spacing w:before="120" w:after="120"/>
              <w:ind w:firstLine="22"/>
              <w:jc w:val="center"/>
              <w:rPr>
                <w:iCs/>
              </w:rPr>
            </w:pPr>
            <w:r>
              <w:rPr>
                <w:color w:val="000000"/>
              </w:rPr>
              <w:t>16</w:t>
            </w:r>
          </w:p>
        </w:tc>
        <w:tc>
          <w:tcPr>
            <w:tcW w:w="1629" w:type="dxa"/>
            <w:vAlign w:val="center"/>
          </w:tcPr>
          <w:p w14:paraId="3293A6B1">
            <w:pPr>
              <w:spacing w:before="120" w:after="120"/>
              <w:jc w:val="left"/>
              <w:rPr>
                <w:iCs/>
                <w:szCs w:val="24"/>
              </w:rPr>
            </w:pPr>
            <w:r>
              <w:rPr>
                <w:szCs w:val="24"/>
              </w:rPr>
              <w:t>Tủ ghép đựng hồ sơ</w:t>
            </w:r>
          </w:p>
        </w:tc>
        <w:tc>
          <w:tcPr>
            <w:tcW w:w="5760" w:type="dxa"/>
            <w:vAlign w:val="center"/>
          </w:tcPr>
          <w:p w14:paraId="656E9855">
            <w:pPr>
              <w:spacing w:before="40" w:after="40"/>
              <w:jc w:val="left"/>
              <w:rPr>
                <w:szCs w:val="24"/>
              </w:rPr>
            </w:pPr>
            <w:r>
              <w:rPr>
                <w:szCs w:val="24"/>
              </w:rPr>
              <w:t>- Chất liệu: Sắt sơn tĩnh điện dày ≥0.4mm; Màu ghi sáng.</w:t>
            </w:r>
          </w:p>
          <w:p w14:paraId="5ED6F262">
            <w:pPr>
              <w:spacing w:before="40" w:after="40"/>
              <w:jc w:val="left"/>
              <w:rPr>
                <w:szCs w:val="24"/>
              </w:rPr>
            </w:pPr>
            <w:r>
              <w:rPr>
                <w:szCs w:val="24"/>
              </w:rPr>
              <w:t>- Kiểu dáng: Gồm 3 khoang với mỗi khoang có 7 ngăn kéo, tạo nên tổng cộng 21 ngăn kéo tiện lợi. Những ngăn kéo này được sử dụng chung 1 thanh khóa dàn. Màu ghi sáng.</w:t>
            </w:r>
          </w:p>
          <w:p w14:paraId="771D7CF4">
            <w:pPr>
              <w:spacing w:before="40" w:after="40"/>
              <w:jc w:val="left"/>
              <w:rPr>
                <w:szCs w:val="24"/>
              </w:rPr>
            </w:pPr>
            <w:r>
              <w:rPr>
                <w:szCs w:val="24"/>
              </w:rPr>
              <w:t>- Mỗi đợt tối đa 30kg.</w:t>
            </w:r>
          </w:p>
          <w:p w14:paraId="414F974C">
            <w:pPr>
              <w:spacing w:before="120" w:after="120"/>
              <w:jc w:val="left"/>
              <w:rPr>
                <w:iCs/>
                <w:szCs w:val="24"/>
              </w:rPr>
            </w:pPr>
            <w:r>
              <w:rPr>
                <w:szCs w:val="24"/>
              </w:rPr>
              <w:t>- Kích thước: D1.18xR0.41xC0.92m (±10cm)</w:t>
            </w:r>
          </w:p>
        </w:tc>
      </w:tr>
      <w:tr w14:paraId="0CA7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40F26E6E">
            <w:pPr>
              <w:spacing w:before="120" w:after="120"/>
              <w:ind w:firstLine="22"/>
              <w:jc w:val="center"/>
              <w:rPr>
                <w:iCs/>
              </w:rPr>
            </w:pPr>
            <w:r>
              <w:rPr>
                <w:color w:val="000000"/>
              </w:rPr>
              <w:t>17</w:t>
            </w:r>
          </w:p>
        </w:tc>
        <w:tc>
          <w:tcPr>
            <w:tcW w:w="1629" w:type="dxa"/>
            <w:vAlign w:val="center"/>
          </w:tcPr>
          <w:p w14:paraId="2F8346B5">
            <w:pPr>
              <w:spacing w:before="120" w:after="120"/>
              <w:jc w:val="left"/>
              <w:rPr>
                <w:iCs/>
                <w:szCs w:val="24"/>
              </w:rPr>
            </w:pPr>
            <w:r>
              <w:rPr>
                <w:szCs w:val="24"/>
              </w:rPr>
              <w:t>Giường nhân viên</w:t>
            </w:r>
          </w:p>
        </w:tc>
        <w:tc>
          <w:tcPr>
            <w:tcW w:w="5760" w:type="dxa"/>
            <w:vAlign w:val="center"/>
          </w:tcPr>
          <w:p w14:paraId="5A3C51F0">
            <w:pPr>
              <w:spacing w:before="40" w:after="40"/>
              <w:jc w:val="left"/>
              <w:rPr>
                <w:szCs w:val="24"/>
              </w:rPr>
            </w:pPr>
            <w:r>
              <w:rPr>
                <w:szCs w:val="24"/>
              </w:rPr>
              <w:t>- Sắt sơn tĩnh điện dày ≥0.8mm, dát giường bằng thép hộp dày ≥1.1mm. Màu đen.</w:t>
            </w:r>
          </w:p>
          <w:p w14:paraId="57204944">
            <w:pPr>
              <w:spacing w:before="120" w:after="120"/>
              <w:jc w:val="left"/>
              <w:rPr>
                <w:iCs/>
                <w:szCs w:val="24"/>
              </w:rPr>
            </w:pPr>
            <w:r>
              <w:rPr>
                <w:szCs w:val="24"/>
              </w:rPr>
              <w:t>- Kích thước: D2.0xR1.2xC1.65m (±10cm)</w:t>
            </w:r>
          </w:p>
        </w:tc>
      </w:tr>
      <w:tr w14:paraId="1068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136B76F9">
            <w:pPr>
              <w:spacing w:before="120" w:after="120"/>
              <w:ind w:firstLine="22"/>
              <w:jc w:val="center"/>
              <w:rPr>
                <w:iCs/>
              </w:rPr>
            </w:pPr>
            <w:r>
              <w:rPr>
                <w:color w:val="000000"/>
              </w:rPr>
              <w:t>18</w:t>
            </w:r>
          </w:p>
        </w:tc>
        <w:tc>
          <w:tcPr>
            <w:tcW w:w="1629" w:type="dxa"/>
            <w:vAlign w:val="center"/>
          </w:tcPr>
          <w:p w14:paraId="1CBFE828">
            <w:pPr>
              <w:spacing w:before="120" w:after="120"/>
              <w:jc w:val="left"/>
              <w:rPr>
                <w:iCs/>
                <w:szCs w:val="24"/>
              </w:rPr>
            </w:pPr>
            <w:r>
              <w:rPr>
                <w:szCs w:val="24"/>
              </w:rPr>
              <w:t>Bàn lục giác</w:t>
            </w:r>
          </w:p>
        </w:tc>
        <w:tc>
          <w:tcPr>
            <w:tcW w:w="5760" w:type="dxa"/>
            <w:vAlign w:val="center"/>
          </w:tcPr>
          <w:p w14:paraId="0939F4C4">
            <w:pPr>
              <w:spacing w:before="40" w:after="40"/>
              <w:jc w:val="left"/>
              <w:rPr>
                <w:szCs w:val="24"/>
              </w:rPr>
            </w:pPr>
            <w:r>
              <w:rPr>
                <w:szCs w:val="24"/>
              </w:rPr>
              <w:t>- Mặt bàn gỗ MDF cốt xanh chống ẩm bề mặt phủ Laminate màu tương đương màu tại Bệnh viện bo tròn cạnh dày ≥25mm ngoài kết hợp chân sắt hộp 20x40mm dày 1.4mm sơn tĩnh điện màu trắng theo thiết kế (Mỗi bộ 6 cái bàn ghép);</w:t>
            </w:r>
          </w:p>
          <w:p w14:paraId="0F6FB974">
            <w:pPr>
              <w:spacing w:before="40" w:after="40"/>
              <w:jc w:val="left"/>
              <w:rPr>
                <w:szCs w:val="24"/>
              </w:rPr>
            </w:pPr>
            <w:r>
              <w:rPr>
                <w:szCs w:val="24"/>
              </w:rPr>
              <w:t>- Kích thước: D2.0xR1.75xC0.75m (±10cm)</w:t>
            </w:r>
          </w:p>
          <w:p w14:paraId="4C2A5E19">
            <w:pPr>
              <w:spacing w:before="120" w:after="120"/>
              <w:jc w:val="left"/>
              <w:rPr>
                <w:iCs/>
                <w:szCs w:val="24"/>
              </w:rPr>
            </w:pPr>
            <w:r>
              <w:rPr>
                <w:szCs w:val="24"/>
              </w:rPr>
              <w:t>- Đã bao gồm khảo sát và lắp đặt.</w:t>
            </w:r>
          </w:p>
        </w:tc>
      </w:tr>
      <w:tr w14:paraId="5698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1D855481">
            <w:pPr>
              <w:spacing w:before="120" w:after="120"/>
              <w:ind w:firstLine="22"/>
              <w:jc w:val="center"/>
              <w:rPr>
                <w:iCs/>
              </w:rPr>
            </w:pPr>
            <w:r>
              <w:rPr>
                <w:color w:val="000000"/>
              </w:rPr>
              <w:t>19</w:t>
            </w:r>
          </w:p>
        </w:tc>
        <w:tc>
          <w:tcPr>
            <w:tcW w:w="1629" w:type="dxa"/>
            <w:vAlign w:val="center"/>
          </w:tcPr>
          <w:p w14:paraId="1F079568">
            <w:pPr>
              <w:spacing w:before="120" w:after="120"/>
              <w:jc w:val="left"/>
              <w:rPr>
                <w:iCs/>
                <w:szCs w:val="24"/>
              </w:rPr>
            </w:pPr>
            <w:r>
              <w:rPr>
                <w:szCs w:val="24"/>
              </w:rPr>
              <w:t>Tủ lavabo</w:t>
            </w:r>
          </w:p>
        </w:tc>
        <w:tc>
          <w:tcPr>
            <w:tcW w:w="5760" w:type="dxa"/>
            <w:vAlign w:val="center"/>
          </w:tcPr>
          <w:p w14:paraId="00FB87A2">
            <w:pPr>
              <w:spacing w:before="40" w:after="40"/>
              <w:jc w:val="left"/>
              <w:rPr>
                <w:szCs w:val="24"/>
              </w:rPr>
            </w:pPr>
            <w:r>
              <w:rPr>
                <w:szCs w:val="24"/>
              </w:rPr>
              <w:t>- Gỗ nhựa chống nước bề mặt phủ PVC đồng màu với màu gỗ tủ theo thiết kế dày ≥17mm.</w:t>
            </w:r>
          </w:p>
          <w:p w14:paraId="4C8F04F4">
            <w:pPr>
              <w:spacing w:before="40" w:after="40"/>
              <w:jc w:val="left"/>
              <w:rPr>
                <w:szCs w:val="24"/>
              </w:rPr>
            </w:pPr>
            <w:r>
              <w:rPr>
                <w:szCs w:val="24"/>
              </w:rPr>
              <w:t>- Phụ kiện: Ray bi thép mạ kẽm, bản lề Inox 304.</w:t>
            </w:r>
          </w:p>
          <w:p w14:paraId="25BDD9D6">
            <w:pPr>
              <w:spacing w:before="40" w:after="40"/>
              <w:jc w:val="left"/>
              <w:rPr>
                <w:szCs w:val="24"/>
              </w:rPr>
            </w:pPr>
            <w:r>
              <w:rPr>
                <w:szCs w:val="24"/>
              </w:rPr>
              <w:t>- Kích thước: D1.0xR0.55xC1.0m (±10cm)</w:t>
            </w:r>
          </w:p>
          <w:p w14:paraId="7F5AB9D6">
            <w:pPr>
              <w:spacing w:before="120" w:after="120"/>
              <w:jc w:val="left"/>
              <w:rPr>
                <w:iCs/>
                <w:szCs w:val="24"/>
              </w:rPr>
            </w:pPr>
            <w:r>
              <w:rPr>
                <w:szCs w:val="24"/>
              </w:rPr>
              <w:t>- Đã bao gồm khảo sát và lắp đặt.</w:t>
            </w:r>
          </w:p>
        </w:tc>
      </w:tr>
      <w:tr w14:paraId="11CD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27AD88B4">
            <w:pPr>
              <w:spacing w:before="120" w:after="120"/>
              <w:ind w:firstLine="22"/>
              <w:jc w:val="center"/>
              <w:rPr>
                <w:iCs/>
              </w:rPr>
            </w:pPr>
            <w:r>
              <w:rPr>
                <w:color w:val="000000"/>
              </w:rPr>
              <w:t>20</w:t>
            </w:r>
          </w:p>
        </w:tc>
        <w:tc>
          <w:tcPr>
            <w:tcW w:w="1629" w:type="dxa"/>
            <w:vAlign w:val="center"/>
          </w:tcPr>
          <w:p w14:paraId="47623443">
            <w:pPr>
              <w:spacing w:before="120" w:after="120"/>
              <w:jc w:val="left"/>
              <w:rPr>
                <w:iCs/>
                <w:szCs w:val="24"/>
              </w:rPr>
            </w:pPr>
            <w:r>
              <w:rPr>
                <w:szCs w:val="24"/>
              </w:rPr>
              <w:t>Ghế băng chờ 4 chỗ ngồi</w:t>
            </w:r>
          </w:p>
        </w:tc>
        <w:tc>
          <w:tcPr>
            <w:tcW w:w="5760" w:type="dxa"/>
            <w:vAlign w:val="center"/>
          </w:tcPr>
          <w:p w14:paraId="1D7BC423">
            <w:pPr>
              <w:spacing w:before="40" w:after="40"/>
              <w:jc w:val="left"/>
              <w:rPr>
                <w:szCs w:val="24"/>
              </w:rPr>
            </w:pPr>
            <w:r>
              <w:rPr>
                <w:szCs w:val="24"/>
              </w:rPr>
              <w:t>- Khung thép mạ crom, tôn đột lỗ, da PU; có 4 chỗ ngồi, không sử dụng tay và không tựa lưng.</w:t>
            </w:r>
          </w:p>
          <w:p w14:paraId="3020255E">
            <w:pPr>
              <w:spacing w:before="40" w:after="40"/>
              <w:jc w:val="left"/>
              <w:rPr>
                <w:szCs w:val="24"/>
              </w:rPr>
            </w:pPr>
            <w:r>
              <w:rPr>
                <w:szCs w:val="24"/>
              </w:rPr>
              <w:t>- Màu sắc: Xanh tương đồng màu tại Bệnh viện.</w:t>
            </w:r>
          </w:p>
          <w:p w14:paraId="5C4658E5">
            <w:pPr>
              <w:spacing w:before="120" w:after="120"/>
              <w:jc w:val="left"/>
              <w:rPr>
                <w:iCs/>
                <w:szCs w:val="24"/>
              </w:rPr>
            </w:pPr>
            <w:r>
              <w:rPr>
                <w:szCs w:val="24"/>
              </w:rPr>
              <w:t>- Kích thước: D2.0xR0.5xC0.42m (±10cm)</w:t>
            </w:r>
          </w:p>
        </w:tc>
      </w:tr>
      <w:tr w14:paraId="7C87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06BFD055">
            <w:pPr>
              <w:spacing w:before="120" w:after="120"/>
              <w:ind w:firstLine="22"/>
              <w:jc w:val="center"/>
              <w:rPr>
                <w:iCs/>
              </w:rPr>
            </w:pPr>
            <w:r>
              <w:rPr>
                <w:color w:val="000000"/>
              </w:rPr>
              <w:t>21</w:t>
            </w:r>
          </w:p>
        </w:tc>
        <w:tc>
          <w:tcPr>
            <w:tcW w:w="1629" w:type="dxa"/>
            <w:vAlign w:val="center"/>
          </w:tcPr>
          <w:p w14:paraId="07A7F2A6">
            <w:pPr>
              <w:spacing w:before="120" w:after="120"/>
              <w:jc w:val="left"/>
              <w:rPr>
                <w:iCs/>
                <w:szCs w:val="24"/>
              </w:rPr>
            </w:pPr>
            <w:r>
              <w:rPr>
                <w:szCs w:val="24"/>
              </w:rPr>
              <w:t>Ghế băng chờ 5 chỗ ngồi</w:t>
            </w:r>
          </w:p>
        </w:tc>
        <w:tc>
          <w:tcPr>
            <w:tcW w:w="5760" w:type="dxa"/>
            <w:vAlign w:val="center"/>
          </w:tcPr>
          <w:p w14:paraId="51146C65">
            <w:pPr>
              <w:spacing w:before="40" w:after="40"/>
              <w:jc w:val="left"/>
              <w:rPr>
                <w:szCs w:val="24"/>
              </w:rPr>
            </w:pPr>
            <w:r>
              <w:rPr>
                <w:szCs w:val="24"/>
              </w:rPr>
              <w:t>- Khung thép mạ crom, tôn đột lỗ, da PU; có 5 chỗ ngồi, không sử dụng tay và không tựa lưng.</w:t>
            </w:r>
          </w:p>
          <w:p w14:paraId="178F5156">
            <w:pPr>
              <w:spacing w:before="40" w:after="40"/>
              <w:jc w:val="left"/>
              <w:rPr>
                <w:szCs w:val="24"/>
              </w:rPr>
            </w:pPr>
            <w:r>
              <w:rPr>
                <w:szCs w:val="24"/>
              </w:rPr>
              <w:t>- Màu sắc: Xanh tương đồng màu tại Bệnh viện.</w:t>
            </w:r>
          </w:p>
          <w:p w14:paraId="70300045">
            <w:pPr>
              <w:spacing w:before="120" w:after="120"/>
              <w:jc w:val="left"/>
              <w:rPr>
                <w:iCs/>
                <w:szCs w:val="24"/>
              </w:rPr>
            </w:pPr>
            <w:r>
              <w:rPr>
                <w:szCs w:val="24"/>
              </w:rPr>
              <w:t>- Kích thước: D2.57xR0.5xC0.42m (±10cm).</w:t>
            </w:r>
          </w:p>
        </w:tc>
      </w:tr>
      <w:tr w14:paraId="4028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6BE7495F">
            <w:pPr>
              <w:spacing w:before="120" w:after="120"/>
              <w:ind w:firstLine="22"/>
              <w:jc w:val="center"/>
              <w:rPr>
                <w:iCs/>
              </w:rPr>
            </w:pPr>
            <w:r>
              <w:rPr>
                <w:color w:val="000000"/>
              </w:rPr>
              <w:t>22</w:t>
            </w:r>
          </w:p>
        </w:tc>
        <w:tc>
          <w:tcPr>
            <w:tcW w:w="1629" w:type="dxa"/>
            <w:vAlign w:val="center"/>
          </w:tcPr>
          <w:p w14:paraId="22F6A4F2">
            <w:pPr>
              <w:spacing w:before="120" w:after="120"/>
              <w:jc w:val="left"/>
              <w:rPr>
                <w:iCs/>
                <w:szCs w:val="24"/>
              </w:rPr>
            </w:pPr>
            <w:r>
              <w:rPr>
                <w:szCs w:val="24"/>
              </w:rPr>
              <w:t>Ghế băng chờ 5 chỗ ngồi</w:t>
            </w:r>
          </w:p>
        </w:tc>
        <w:tc>
          <w:tcPr>
            <w:tcW w:w="5760" w:type="dxa"/>
            <w:vAlign w:val="center"/>
          </w:tcPr>
          <w:p w14:paraId="6B228CE3">
            <w:pPr>
              <w:spacing w:before="40" w:after="40"/>
              <w:jc w:val="left"/>
              <w:rPr>
                <w:szCs w:val="24"/>
              </w:rPr>
            </w:pPr>
            <w:r>
              <w:rPr>
                <w:szCs w:val="24"/>
              </w:rPr>
              <w:t>- Khung thép sơn tĩnh điện, tôn đột lỗ, da PU; có 5 chỗ ngồi, có sử dụng tay và tựa lưng.</w:t>
            </w:r>
          </w:p>
          <w:p w14:paraId="2783CA6A">
            <w:pPr>
              <w:spacing w:before="40" w:after="40"/>
              <w:jc w:val="left"/>
              <w:rPr>
                <w:szCs w:val="24"/>
              </w:rPr>
            </w:pPr>
            <w:r>
              <w:rPr>
                <w:szCs w:val="24"/>
              </w:rPr>
              <w:t>- Màu sắc: Xanh tương đồng màu tại Bệnh viện.</w:t>
            </w:r>
          </w:p>
          <w:p w14:paraId="05F9185B">
            <w:pPr>
              <w:spacing w:before="120" w:after="120"/>
              <w:jc w:val="left"/>
              <w:rPr>
                <w:iCs/>
                <w:szCs w:val="24"/>
              </w:rPr>
            </w:pPr>
            <w:r>
              <w:rPr>
                <w:szCs w:val="24"/>
              </w:rPr>
              <w:t>- Kích thước: D2.8xR0.68xC0.76m (±10cm)</w:t>
            </w:r>
          </w:p>
        </w:tc>
      </w:tr>
      <w:tr w14:paraId="74CA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5D3AFE80">
            <w:pPr>
              <w:spacing w:before="120" w:after="120"/>
              <w:ind w:firstLine="22"/>
              <w:jc w:val="center"/>
              <w:rPr>
                <w:iCs/>
              </w:rPr>
            </w:pPr>
            <w:r>
              <w:rPr>
                <w:color w:val="000000"/>
              </w:rPr>
              <w:t>23</w:t>
            </w:r>
          </w:p>
        </w:tc>
        <w:tc>
          <w:tcPr>
            <w:tcW w:w="1629" w:type="dxa"/>
            <w:vAlign w:val="center"/>
          </w:tcPr>
          <w:p w14:paraId="3B424B1E">
            <w:pPr>
              <w:spacing w:before="120" w:after="120"/>
              <w:jc w:val="left"/>
              <w:rPr>
                <w:iCs/>
                <w:szCs w:val="24"/>
              </w:rPr>
            </w:pPr>
            <w:r>
              <w:rPr>
                <w:szCs w:val="24"/>
              </w:rPr>
              <w:t>Kệ đựng CPU máy tính</w:t>
            </w:r>
          </w:p>
        </w:tc>
        <w:tc>
          <w:tcPr>
            <w:tcW w:w="5760" w:type="dxa"/>
            <w:vAlign w:val="center"/>
          </w:tcPr>
          <w:p w14:paraId="794896D6">
            <w:pPr>
              <w:spacing w:before="40" w:after="40"/>
              <w:jc w:val="left"/>
              <w:rPr>
                <w:szCs w:val="24"/>
              </w:rPr>
            </w:pPr>
            <w:r>
              <w:rPr>
                <w:szCs w:val="24"/>
              </w:rPr>
              <w:t>- Chất liệu là gỗ MDF cốt xanh chống ẩm dày ≥17mm phủ Melamine.</w:t>
            </w:r>
          </w:p>
          <w:p w14:paraId="70CF80E2">
            <w:pPr>
              <w:spacing w:before="40" w:after="40"/>
              <w:jc w:val="left"/>
              <w:rPr>
                <w:szCs w:val="24"/>
              </w:rPr>
            </w:pPr>
            <w:r>
              <w:rPr>
                <w:szCs w:val="24"/>
              </w:rPr>
              <w:t>- Màu sắc: Nâu nhạt</w:t>
            </w:r>
          </w:p>
          <w:p w14:paraId="639042BA">
            <w:pPr>
              <w:spacing w:before="40" w:after="40"/>
              <w:jc w:val="left"/>
              <w:rPr>
                <w:szCs w:val="24"/>
              </w:rPr>
            </w:pPr>
            <w:r>
              <w:rPr>
                <w:szCs w:val="24"/>
              </w:rPr>
              <w:t>- Kích thước: D0.27xR0.45xC0.16m (±5cm)</w:t>
            </w:r>
          </w:p>
          <w:p w14:paraId="305CD7AD">
            <w:pPr>
              <w:spacing w:before="120" w:after="120"/>
              <w:jc w:val="left"/>
              <w:rPr>
                <w:iCs/>
                <w:szCs w:val="24"/>
              </w:rPr>
            </w:pPr>
            <w:r>
              <w:rPr>
                <w:szCs w:val="24"/>
              </w:rPr>
              <w:t>- Đã bao gồm khảo sát và lắp đặt.</w:t>
            </w:r>
          </w:p>
        </w:tc>
      </w:tr>
      <w:tr w14:paraId="41CE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24892266">
            <w:pPr>
              <w:spacing w:before="120" w:after="120"/>
              <w:ind w:firstLine="22"/>
              <w:jc w:val="center"/>
              <w:rPr>
                <w:iCs/>
              </w:rPr>
            </w:pPr>
            <w:r>
              <w:rPr>
                <w:color w:val="000000"/>
              </w:rPr>
              <w:t>24</w:t>
            </w:r>
          </w:p>
        </w:tc>
        <w:tc>
          <w:tcPr>
            <w:tcW w:w="1629" w:type="dxa"/>
            <w:vAlign w:val="center"/>
          </w:tcPr>
          <w:p w14:paraId="3BF966DE">
            <w:pPr>
              <w:spacing w:before="120" w:after="120"/>
              <w:jc w:val="left"/>
              <w:rPr>
                <w:iCs/>
                <w:szCs w:val="24"/>
              </w:rPr>
            </w:pPr>
            <w:r>
              <w:rPr>
                <w:szCs w:val="24"/>
              </w:rPr>
              <w:t>Bàn văn phòng (lấy mẫu)</w:t>
            </w:r>
          </w:p>
        </w:tc>
        <w:tc>
          <w:tcPr>
            <w:tcW w:w="5760" w:type="dxa"/>
            <w:vAlign w:val="center"/>
          </w:tcPr>
          <w:p w14:paraId="69EC14E2">
            <w:pPr>
              <w:spacing w:before="40" w:after="40"/>
              <w:jc w:val="left"/>
              <w:rPr>
                <w:szCs w:val="24"/>
              </w:rPr>
            </w:pPr>
            <w:r>
              <w:rPr>
                <w:szCs w:val="24"/>
              </w:rPr>
              <w:t>- Mặt bàn là tấm Compact chịu axit dày ≥18mm theo mẫu kết hợp yếm gỗ MDF chống ẩm màu tương đồng.</w:t>
            </w:r>
          </w:p>
          <w:p w14:paraId="20EA11D2">
            <w:pPr>
              <w:spacing w:before="40" w:after="40"/>
              <w:jc w:val="left"/>
              <w:rPr>
                <w:szCs w:val="24"/>
              </w:rPr>
            </w:pPr>
            <w:r>
              <w:rPr>
                <w:szCs w:val="24"/>
              </w:rPr>
              <w:t>- Màu sắc: Ghi sáng hoặc tương đồng theo mẫu.</w:t>
            </w:r>
          </w:p>
          <w:p w14:paraId="4EBA7875">
            <w:pPr>
              <w:spacing w:before="40" w:after="40"/>
              <w:jc w:val="left"/>
              <w:rPr>
                <w:szCs w:val="24"/>
              </w:rPr>
            </w:pPr>
            <w:r>
              <w:rPr>
                <w:szCs w:val="24"/>
              </w:rPr>
              <w:t>- Khung chân Inox hộp 20x40mm dày 1.4mm.</w:t>
            </w:r>
          </w:p>
          <w:p w14:paraId="62AC122B">
            <w:pPr>
              <w:spacing w:before="40" w:after="40"/>
              <w:jc w:val="left"/>
              <w:rPr>
                <w:szCs w:val="24"/>
              </w:rPr>
            </w:pPr>
            <w:r>
              <w:rPr>
                <w:szCs w:val="24"/>
              </w:rPr>
              <w:t>- Kích thước: D1.0xR0.5xC0.75m (±10cm)</w:t>
            </w:r>
          </w:p>
          <w:p w14:paraId="7E41EA83">
            <w:pPr>
              <w:spacing w:before="120" w:after="120"/>
              <w:jc w:val="left"/>
              <w:rPr>
                <w:iCs/>
                <w:szCs w:val="24"/>
              </w:rPr>
            </w:pPr>
            <w:r>
              <w:rPr>
                <w:szCs w:val="24"/>
              </w:rPr>
              <w:t>- Đã bao gồm khảo sát và lắp đặt.</w:t>
            </w:r>
          </w:p>
        </w:tc>
      </w:tr>
      <w:tr w14:paraId="1CE6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2E717FE0">
            <w:pPr>
              <w:spacing w:before="120" w:after="120"/>
              <w:ind w:firstLine="22"/>
              <w:jc w:val="center"/>
              <w:rPr>
                <w:iCs/>
              </w:rPr>
            </w:pPr>
            <w:r>
              <w:rPr>
                <w:color w:val="000000"/>
              </w:rPr>
              <w:t>25</w:t>
            </w:r>
          </w:p>
        </w:tc>
        <w:tc>
          <w:tcPr>
            <w:tcW w:w="1629" w:type="dxa"/>
            <w:vAlign w:val="center"/>
          </w:tcPr>
          <w:p w14:paraId="53437FC1">
            <w:pPr>
              <w:spacing w:before="120" w:after="120"/>
              <w:jc w:val="left"/>
              <w:rPr>
                <w:iCs/>
                <w:szCs w:val="24"/>
              </w:rPr>
            </w:pPr>
            <w:r>
              <w:rPr>
                <w:szCs w:val="24"/>
              </w:rPr>
              <w:t>Tủ văn phòng (Kê)</w:t>
            </w:r>
          </w:p>
        </w:tc>
        <w:tc>
          <w:tcPr>
            <w:tcW w:w="5760" w:type="dxa"/>
            <w:vAlign w:val="center"/>
          </w:tcPr>
          <w:p w14:paraId="5F88DE9C">
            <w:pPr>
              <w:spacing w:before="40" w:after="40"/>
              <w:jc w:val="left"/>
              <w:rPr>
                <w:szCs w:val="24"/>
              </w:rPr>
            </w:pPr>
            <w:r>
              <w:rPr>
                <w:szCs w:val="24"/>
              </w:rPr>
              <w:t>- Tủ là gỗ MDF cốt xanh chống ẩm bề mặt phủ Melamine màu tương đương màu tại Bệnh viện dày ≥17mm, các trong tủ đợt tủ gỗ MDF cốt xanh chống ẩm phủ màu theo mẫu.</w:t>
            </w:r>
          </w:p>
          <w:p w14:paraId="20D0FC29">
            <w:pPr>
              <w:spacing w:before="40" w:after="40"/>
              <w:jc w:val="left"/>
              <w:rPr>
                <w:szCs w:val="24"/>
              </w:rPr>
            </w:pPr>
            <w:r>
              <w:rPr>
                <w:szCs w:val="24"/>
              </w:rPr>
              <w:t>- Cánh cửa lùa; lắp kê mặt đất.</w:t>
            </w:r>
          </w:p>
          <w:p w14:paraId="0C66838B">
            <w:pPr>
              <w:spacing w:before="40" w:after="40"/>
              <w:jc w:val="left"/>
              <w:rPr>
                <w:szCs w:val="24"/>
              </w:rPr>
            </w:pPr>
            <w:r>
              <w:rPr>
                <w:szCs w:val="24"/>
              </w:rPr>
              <w:t>- Phụ kiện: Ray bi thép mạ kẽm, bản lề Inox 304.</w:t>
            </w:r>
          </w:p>
          <w:p w14:paraId="53D12C62">
            <w:pPr>
              <w:spacing w:before="40" w:after="40"/>
              <w:jc w:val="left"/>
              <w:rPr>
                <w:szCs w:val="24"/>
              </w:rPr>
            </w:pPr>
            <w:r>
              <w:rPr>
                <w:szCs w:val="24"/>
              </w:rPr>
              <w:t>- Kích thước: D3.0xR0.45xC0.85m (±10cm)</w:t>
            </w:r>
          </w:p>
          <w:p w14:paraId="1AA090FB">
            <w:pPr>
              <w:spacing w:before="120" w:after="120"/>
              <w:jc w:val="left"/>
              <w:rPr>
                <w:iCs/>
                <w:szCs w:val="24"/>
              </w:rPr>
            </w:pPr>
            <w:r>
              <w:rPr>
                <w:szCs w:val="24"/>
              </w:rPr>
              <w:t>- Đã bao gồm khảo sát và lắp đặt.</w:t>
            </w:r>
          </w:p>
        </w:tc>
      </w:tr>
      <w:tr w14:paraId="0B37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696" w:type="dxa"/>
            <w:vAlign w:val="center"/>
          </w:tcPr>
          <w:p w14:paraId="5B0C72C2">
            <w:pPr>
              <w:spacing w:before="120" w:after="120"/>
              <w:ind w:firstLine="22"/>
              <w:jc w:val="center"/>
              <w:rPr>
                <w:iCs/>
              </w:rPr>
            </w:pPr>
            <w:r>
              <w:rPr>
                <w:color w:val="000000"/>
              </w:rPr>
              <w:t>26</w:t>
            </w:r>
          </w:p>
        </w:tc>
        <w:tc>
          <w:tcPr>
            <w:tcW w:w="1629" w:type="dxa"/>
            <w:vAlign w:val="center"/>
          </w:tcPr>
          <w:p w14:paraId="079B5E09">
            <w:pPr>
              <w:spacing w:before="120" w:after="120"/>
              <w:jc w:val="left"/>
              <w:rPr>
                <w:iCs/>
                <w:szCs w:val="24"/>
              </w:rPr>
            </w:pPr>
            <w:r>
              <w:rPr>
                <w:szCs w:val="24"/>
              </w:rPr>
              <w:t>Ghế xoay inox (bệnh nhân khám)</w:t>
            </w:r>
          </w:p>
        </w:tc>
        <w:tc>
          <w:tcPr>
            <w:tcW w:w="5760" w:type="dxa"/>
            <w:vAlign w:val="center"/>
          </w:tcPr>
          <w:p w14:paraId="6E7345C6">
            <w:pPr>
              <w:spacing w:before="40" w:after="40"/>
              <w:jc w:val="left"/>
              <w:rPr>
                <w:szCs w:val="24"/>
              </w:rPr>
            </w:pPr>
            <w:r>
              <w:rPr>
                <w:szCs w:val="24"/>
              </w:rPr>
              <w:t>- Kích thước: chiều cao tăng chỉnh từ 480 ÷ 590 mm; mặt ghế đường kính 330 mm</w:t>
            </w:r>
          </w:p>
          <w:p w14:paraId="5748BA35">
            <w:pPr>
              <w:spacing w:before="40" w:after="40"/>
              <w:jc w:val="left"/>
              <w:rPr>
                <w:szCs w:val="24"/>
              </w:rPr>
            </w:pPr>
            <w:r>
              <w:rPr>
                <w:szCs w:val="24"/>
              </w:rPr>
              <w:t>- Chất liệu: Inox xử lý bóng: mặt ghế dày ≥1.2 mm; chân ghế phi 19 mm, có bọc đệm cao su.</w:t>
            </w:r>
          </w:p>
          <w:p w14:paraId="1C1C7812">
            <w:pPr>
              <w:spacing w:before="120" w:after="120"/>
              <w:jc w:val="left"/>
              <w:rPr>
                <w:iCs/>
                <w:szCs w:val="24"/>
              </w:rPr>
            </w:pPr>
            <w:r>
              <w:rPr>
                <w:szCs w:val="24"/>
              </w:rPr>
              <w:t>+ Các mối hàn được thực hiện bằng Công nghệ hàn TIG có khí Ar bảo vệ chống oxi hóa.</w:t>
            </w:r>
          </w:p>
        </w:tc>
      </w:tr>
    </w:tbl>
    <w:p w14:paraId="58C1455B">
      <w:pPr>
        <w:ind w:firstLine="567"/>
        <w:rPr>
          <w:b/>
          <w:color w:val="000000" w:themeColor="text1"/>
          <w:sz w:val="28"/>
          <w:szCs w:val="28"/>
          <w:lang w:val="nl-NL"/>
          <w14:textFill>
            <w14:solidFill>
              <w14:schemeClr w14:val="tx1"/>
            </w14:solidFill>
          </w14:textFill>
        </w:rPr>
      </w:pPr>
    </w:p>
    <w:p w14:paraId="098E9612">
      <w:pPr>
        <w:spacing w:before="60" w:after="60" w:line="252" w:lineRule="auto"/>
        <w:ind w:firstLine="709"/>
        <w:rPr>
          <w:rStyle w:val="313"/>
          <w:rFonts w:ascii="Times New Roman" w:hAnsi="Times New Roman"/>
          <w:b/>
          <w:i/>
          <w:sz w:val="28"/>
          <w:szCs w:val="28"/>
        </w:rPr>
      </w:pPr>
      <w:r>
        <w:rPr>
          <w:rStyle w:val="313"/>
          <w:rFonts w:ascii="Times New Roman" w:hAnsi="Times New Roman"/>
          <w:b/>
          <w:sz w:val="28"/>
          <w:szCs w:val="28"/>
        </w:rPr>
        <w:t>* Đáp ứng yêu cầu mẫu mã thiết kế hàng hóa:</w:t>
      </w:r>
    </w:p>
    <w:p w14:paraId="3E1FD421">
      <w:pPr>
        <w:spacing w:before="60" w:after="60" w:line="252" w:lineRule="auto"/>
        <w:ind w:firstLine="709"/>
        <w:rPr>
          <w:rStyle w:val="313"/>
          <w:rFonts w:ascii="Times New Roman" w:hAnsi="Times New Roman"/>
          <w:sz w:val="28"/>
          <w:szCs w:val="28"/>
        </w:rPr>
      </w:pPr>
      <w:r>
        <w:rPr>
          <w:rStyle w:val="313"/>
          <w:rFonts w:ascii="Times New Roman" w:hAnsi="Times New Roman"/>
          <w:sz w:val="28"/>
          <w:szCs w:val="28"/>
        </w:rPr>
        <w:t>Phần 1: Cung cấp biển bảng nhà C</w:t>
      </w:r>
    </w:p>
    <w:p w14:paraId="6619DA8A">
      <w:pPr>
        <w:spacing w:before="60" w:after="60" w:line="252" w:lineRule="auto"/>
        <w:ind w:firstLine="709"/>
        <w:rPr>
          <w:rStyle w:val="313"/>
          <w:rFonts w:ascii="Times New Roman" w:hAnsi="Times New Roman"/>
          <w:b/>
          <w:i/>
          <w:sz w:val="28"/>
          <w:szCs w:val="28"/>
        </w:rPr>
      </w:pPr>
      <w:r>
        <w:rPr>
          <w:rStyle w:val="313"/>
          <w:rFonts w:ascii="Times New Roman" w:hAnsi="Times New Roman"/>
          <w:b/>
          <w:i/>
          <w:sz w:val="28"/>
          <w:szCs w:val="28"/>
        </w:rPr>
        <w:t xml:space="preserve">Yêu cầu về thiết kế – nội dung thể hiện:  </w:t>
      </w:r>
    </w:p>
    <w:p w14:paraId="08E1D733">
      <w:pPr>
        <w:spacing w:before="60" w:after="60" w:line="252" w:lineRule="auto"/>
        <w:ind w:firstLine="709"/>
        <w:rPr>
          <w:rStyle w:val="315"/>
        </w:rPr>
      </w:pPr>
      <w:r>
        <w:rPr>
          <w:rStyle w:val="315"/>
        </w:rPr>
        <w:t>- Sản phẩm phải được thực hiện đúng theo thiết kế, ảnh mẫu minh họa kèm theo hồ sơ.</w:t>
      </w:r>
    </w:p>
    <w:p w14:paraId="5B0964B1">
      <w:pPr>
        <w:spacing w:before="60" w:after="60" w:line="252" w:lineRule="auto"/>
        <w:ind w:firstLine="709"/>
        <w:rPr>
          <w:rStyle w:val="315"/>
        </w:rPr>
      </w:pPr>
      <w:r>
        <w:rPr>
          <w:sz w:val="28"/>
          <w:szCs w:val="28"/>
          <w:lang w:val="nl-NL"/>
        </w:rPr>
        <w:t>- Đối với phần nội dung của biển, bảng: Sau khi trúng thầu và các bên ký Hợp đồng, nhà thầu và bộ phận phụ trách biển, bảng kết hợp với yêu cầu của đơn vị sử dụng (Khoa, Phòng, Trung tâm) trong Bệnh viện để xây dựng, thống nhất nội dung, khảo sát vị trí lắp đặt trước khi nhà thầu tiến hành sản xuất và lắp đặt.</w:t>
      </w:r>
      <w:r>
        <w:rPr>
          <w:rStyle w:val="315"/>
        </w:rPr>
        <w:t xml:space="preserve"> </w:t>
      </w:r>
    </w:p>
    <w:tbl>
      <w:tblPr>
        <w:tblStyle w:val="12"/>
        <w:tblW w:w="9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770"/>
        <w:gridCol w:w="5760"/>
      </w:tblGrid>
      <w:tr w14:paraId="7CF2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blHeader/>
        </w:trPr>
        <w:tc>
          <w:tcPr>
            <w:tcW w:w="1555" w:type="dxa"/>
            <w:shd w:val="clear" w:color="auto" w:fill="E2EFD9" w:themeFill="accent6" w:themeFillTint="33"/>
            <w:vAlign w:val="center"/>
          </w:tcPr>
          <w:p w14:paraId="565D948B">
            <w:pPr>
              <w:spacing w:before="120" w:after="120"/>
              <w:jc w:val="center"/>
              <w:rPr>
                <w:b/>
                <w:iCs/>
              </w:rPr>
            </w:pPr>
            <w:r>
              <w:rPr>
                <w:b/>
                <w:iCs/>
              </w:rPr>
              <w:t>Hạng mục số</w:t>
            </w:r>
          </w:p>
        </w:tc>
        <w:tc>
          <w:tcPr>
            <w:tcW w:w="1770" w:type="dxa"/>
            <w:shd w:val="clear" w:color="auto" w:fill="E2EFD9" w:themeFill="accent6" w:themeFillTint="33"/>
            <w:vAlign w:val="center"/>
          </w:tcPr>
          <w:p w14:paraId="5F186BE4">
            <w:pPr>
              <w:spacing w:before="120" w:after="120"/>
              <w:jc w:val="center"/>
              <w:rPr>
                <w:b/>
                <w:iCs/>
              </w:rPr>
            </w:pPr>
            <w:r>
              <w:rPr>
                <w:b/>
                <w:iCs/>
              </w:rPr>
              <w:t>Tên hàng hóa/dịch vụ liên quan</w:t>
            </w:r>
          </w:p>
        </w:tc>
        <w:tc>
          <w:tcPr>
            <w:tcW w:w="5760" w:type="dxa"/>
            <w:shd w:val="clear" w:color="auto" w:fill="E2EFD9" w:themeFill="accent6" w:themeFillTint="33"/>
            <w:vAlign w:val="center"/>
          </w:tcPr>
          <w:p w14:paraId="46EFEA09">
            <w:pPr>
              <w:spacing w:before="120" w:after="120"/>
              <w:jc w:val="center"/>
              <w:rPr>
                <w:b/>
                <w:iCs/>
              </w:rPr>
            </w:pPr>
            <w:r>
              <w:rPr>
                <w:b/>
                <w:iCs/>
              </w:rPr>
              <w:t>Ảnh mẫu tham khảo</w:t>
            </w:r>
          </w:p>
        </w:tc>
      </w:tr>
      <w:tr w14:paraId="4461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blHeader/>
        </w:trPr>
        <w:tc>
          <w:tcPr>
            <w:tcW w:w="1555" w:type="dxa"/>
          </w:tcPr>
          <w:p w14:paraId="7439B5D7">
            <w:pPr>
              <w:spacing w:before="120" w:after="120"/>
              <w:jc w:val="center"/>
              <w:rPr>
                <w:i/>
                <w:iCs/>
              </w:rPr>
            </w:pPr>
            <w:r>
              <w:rPr>
                <w:i/>
                <w:iCs/>
              </w:rPr>
              <w:t>[ghi số hiệu hạng mục]</w:t>
            </w:r>
          </w:p>
        </w:tc>
        <w:tc>
          <w:tcPr>
            <w:tcW w:w="1770" w:type="dxa"/>
          </w:tcPr>
          <w:p w14:paraId="6501E753">
            <w:pPr>
              <w:spacing w:before="120" w:after="120"/>
              <w:jc w:val="center"/>
              <w:rPr>
                <w:i/>
                <w:iCs/>
              </w:rPr>
            </w:pPr>
            <w:r>
              <w:rPr>
                <w:i/>
                <w:iCs/>
              </w:rPr>
              <w:t>[ghi tên]</w:t>
            </w:r>
          </w:p>
        </w:tc>
        <w:tc>
          <w:tcPr>
            <w:tcW w:w="5760" w:type="dxa"/>
          </w:tcPr>
          <w:p w14:paraId="15143C7D">
            <w:pPr>
              <w:spacing w:before="120" w:after="120"/>
              <w:jc w:val="center"/>
              <w:rPr>
                <w:i/>
                <w:iCs/>
              </w:rPr>
            </w:pPr>
            <w:r>
              <w:rPr>
                <w:i/>
                <w:iCs/>
              </w:rPr>
              <w:t>[ảnh mẫu tham khảo]</w:t>
            </w:r>
          </w:p>
        </w:tc>
      </w:tr>
      <w:tr w14:paraId="0291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60D50B5E">
            <w:pPr>
              <w:spacing w:before="120" w:after="120"/>
              <w:ind w:firstLine="22"/>
              <w:jc w:val="center"/>
              <w:rPr>
                <w:iCs/>
              </w:rPr>
            </w:pPr>
            <w:r>
              <w:rPr>
                <w:color w:val="000000"/>
              </w:rPr>
              <w:t>1</w:t>
            </w:r>
          </w:p>
        </w:tc>
        <w:tc>
          <w:tcPr>
            <w:tcW w:w="1770" w:type="dxa"/>
            <w:vAlign w:val="center"/>
          </w:tcPr>
          <w:p w14:paraId="682208D6">
            <w:pPr>
              <w:spacing w:before="120" w:after="120"/>
              <w:jc w:val="left"/>
              <w:rPr>
                <w:iCs/>
                <w:szCs w:val="24"/>
              </w:rPr>
            </w:pPr>
            <w:r>
              <w:rPr>
                <w:sz w:val="26"/>
                <w:szCs w:val="26"/>
              </w:rPr>
              <w:t>Biển khoa</w:t>
            </w:r>
          </w:p>
        </w:tc>
        <w:tc>
          <w:tcPr>
            <w:tcW w:w="5760" w:type="dxa"/>
          </w:tcPr>
          <w:p w14:paraId="7CB9E4F6">
            <w:pPr>
              <w:spacing w:before="120" w:after="120"/>
              <w:jc w:val="center"/>
              <w:rPr>
                <w:iCs/>
                <w:szCs w:val="24"/>
              </w:rPr>
            </w:pPr>
            <w:r>
              <w:rPr>
                <w:color w:val="000000"/>
                <w:sz w:val="26"/>
                <w:szCs w:val="26"/>
              </w:rPr>
              <w:drawing>
                <wp:inline distT="0" distB="0" distL="0" distR="0">
                  <wp:extent cx="2356485" cy="755015"/>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8"/>
                          <a:stretch>
                            <a:fillRect/>
                          </a:stretch>
                        </pic:blipFill>
                        <pic:spPr>
                          <a:xfrm>
                            <a:off x="0" y="0"/>
                            <a:ext cx="2475777" cy="793576"/>
                          </a:xfrm>
                          <a:prstGeom prst="rect">
                            <a:avLst/>
                          </a:prstGeom>
                        </pic:spPr>
                      </pic:pic>
                    </a:graphicData>
                  </a:graphic>
                </wp:inline>
              </w:drawing>
            </w:r>
          </w:p>
        </w:tc>
      </w:tr>
      <w:tr w14:paraId="17C3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29EBA4A6">
            <w:pPr>
              <w:spacing w:before="120" w:after="120"/>
              <w:ind w:firstLine="22"/>
              <w:jc w:val="center"/>
              <w:rPr>
                <w:iCs/>
              </w:rPr>
            </w:pPr>
            <w:r>
              <w:rPr>
                <w:color w:val="000000"/>
              </w:rPr>
              <w:t>2</w:t>
            </w:r>
          </w:p>
        </w:tc>
        <w:tc>
          <w:tcPr>
            <w:tcW w:w="1770" w:type="dxa"/>
            <w:vAlign w:val="center"/>
          </w:tcPr>
          <w:p w14:paraId="5018344C">
            <w:pPr>
              <w:spacing w:before="120" w:after="120"/>
              <w:jc w:val="left"/>
              <w:rPr>
                <w:iCs/>
                <w:szCs w:val="24"/>
              </w:rPr>
            </w:pPr>
            <w:r>
              <w:rPr>
                <w:sz w:val="26"/>
                <w:szCs w:val="26"/>
              </w:rPr>
              <w:t>Biển thả chỉ dẫn</w:t>
            </w:r>
          </w:p>
        </w:tc>
        <w:tc>
          <w:tcPr>
            <w:tcW w:w="5760" w:type="dxa"/>
            <w:vAlign w:val="center"/>
          </w:tcPr>
          <w:p w14:paraId="4B9B16BC">
            <w:pPr>
              <w:spacing w:before="120" w:after="120"/>
              <w:jc w:val="center"/>
              <w:rPr>
                <w:iCs/>
                <w:szCs w:val="24"/>
              </w:rPr>
            </w:pPr>
            <w:r>
              <w:rPr>
                <w14:ligatures w14:val="standardContextual"/>
              </w:rPr>
              <w:drawing>
                <wp:inline distT="0" distB="0" distL="0" distR="0">
                  <wp:extent cx="1753235" cy="803910"/>
                  <wp:effectExtent l="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9"/>
                          <a:stretch>
                            <a:fillRect/>
                          </a:stretch>
                        </pic:blipFill>
                        <pic:spPr>
                          <a:xfrm>
                            <a:off x="0" y="0"/>
                            <a:ext cx="1753235" cy="803910"/>
                          </a:xfrm>
                          <a:prstGeom prst="rect">
                            <a:avLst/>
                          </a:prstGeom>
                        </pic:spPr>
                      </pic:pic>
                    </a:graphicData>
                  </a:graphic>
                </wp:inline>
              </w:drawing>
            </w:r>
          </w:p>
        </w:tc>
      </w:tr>
      <w:tr w14:paraId="4695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54CB90CD">
            <w:pPr>
              <w:spacing w:before="120" w:after="120"/>
              <w:ind w:firstLine="22"/>
              <w:jc w:val="center"/>
              <w:rPr>
                <w:iCs/>
              </w:rPr>
            </w:pPr>
            <w:r>
              <w:rPr>
                <w:color w:val="000000"/>
              </w:rPr>
              <w:t>3</w:t>
            </w:r>
          </w:p>
        </w:tc>
        <w:tc>
          <w:tcPr>
            <w:tcW w:w="1770" w:type="dxa"/>
            <w:vAlign w:val="center"/>
          </w:tcPr>
          <w:p w14:paraId="207EEDDA">
            <w:pPr>
              <w:spacing w:before="120" w:after="120"/>
              <w:jc w:val="left"/>
              <w:rPr>
                <w:iCs/>
                <w:szCs w:val="24"/>
              </w:rPr>
            </w:pPr>
            <w:r>
              <w:rPr>
                <w:sz w:val="26"/>
                <w:szCs w:val="26"/>
              </w:rPr>
              <w:t>Biển thả khu vực</w:t>
            </w:r>
          </w:p>
        </w:tc>
        <w:tc>
          <w:tcPr>
            <w:tcW w:w="5760" w:type="dxa"/>
            <w:vAlign w:val="center"/>
          </w:tcPr>
          <w:p w14:paraId="407794D2">
            <w:pPr>
              <w:spacing w:before="120" w:after="120"/>
              <w:jc w:val="center"/>
              <w:rPr>
                <w:iCs/>
                <w:szCs w:val="24"/>
              </w:rPr>
            </w:pPr>
            <w:r>
              <w:rPr>
                <w14:ligatures w14:val="standardContextual"/>
              </w:rPr>
              <w:drawing>
                <wp:inline distT="0" distB="0" distL="0" distR="0">
                  <wp:extent cx="1753235" cy="780415"/>
                  <wp:effectExtent l="0" t="0" r="0" b="635"/>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10"/>
                          <a:stretch>
                            <a:fillRect/>
                          </a:stretch>
                        </pic:blipFill>
                        <pic:spPr>
                          <a:xfrm>
                            <a:off x="0" y="0"/>
                            <a:ext cx="1753235" cy="780415"/>
                          </a:xfrm>
                          <a:prstGeom prst="rect">
                            <a:avLst/>
                          </a:prstGeom>
                        </pic:spPr>
                      </pic:pic>
                    </a:graphicData>
                  </a:graphic>
                </wp:inline>
              </w:drawing>
            </w:r>
          </w:p>
        </w:tc>
      </w:tr>
      <w:tr w14:paraId="4E23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5D4E6663">
            <w:pPr>
              <w:spacing w:before="120" w:after="120"/>
              <w:ind w:firstLine="22"/>
              <w:jc w:val="center"/>
              <w:rPr>
                <w:iCs/>
              </w:rPr>
            </w:pPr>
            <w:r>
              <w:rPr>
                <w:color w:val="000000"/>
              </w:rPr>
              <w:t>4</w:t>
            </w:r>
          </w:p>
        </w:tc>
        <w:tc>
          <w:tcPr>
            <w:tcW w:w="1770" w:type="dxa"/>
            <w:vAlign w:val="center"/>
          </w:tcPr>
          <w:p w14:paraId="23BAD0D6">
            <w:pPr>
              <w:spacing w:before="120" w:after="120"/>
              <w:jc w:val="left"/>
              <w:rPr>
                <w:iCs/>
                <w:szCs w:val="24"/>
              </w:rPr>
            </w:pPr>
            <w:r>
              <w:rPr>
                <w:sz w:val="26"/>
                <w:szCs w:val="26"/>
              </w:rPr>
              <w:t>Biển phòng lắp tường</w:t>
            </w:r>
          </w:p>
        </w:tc>
        <w:tc>
          <w:tcPr>
            <w:tcW w:w="5760" w:type="dxa"/>
            <w:vAlign w:val="center"/>
          </w:tcPr>
          <w:p w14:paraId="50EA78A9">
            <w:pPr>
              <w:spacing w:before="120" w:after="120"/>
              <w:jc w:val="center"/>
              <w:rPr>
                <w:iCs/>
                <w:szCs w:val="24"/>
              </w:rPr>
            </w:pPr>
            <w:r>
              <w:rPr>
                <w14:ligatures w14:val="standardContextual"/>
              </w:rPr>
              <w:drawing>
                <wp:inline distT="0" distB="0" distL="0" distR="0">
                  <wp:extent cx="1753235" cy="1029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1753235" cy="1029970"/>
                          </a:xfrm>
                          <a:prstGeom prst="rect">
                            <a:avLst/>
                          </a:prstGeom>
                        </pic:spPr>
                      </pic:pic>
                    </a:graphicData>
                  </a:graphic>
                </wp:inline>
              </w:drawing>
            </w:r>
          </w:p>
        </w:tc>
      </w:tr>
      <w:tr w14:paraId="45E3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4B9D7420">
            <w:pPr>
              <w:spacing w:before="120" w:after="120"/>
              <w:ind w:firstLine="22"/>
              <w:jc w:val="center"/>
              <w:rPr>
                <w:iCs/>
              </w:rPr>
            </w:pPr>
            <w:r>
              <w:rPr>
                <w:color w:val="000000"/>
              </w:rPr>
              <w:t>5</w:t>
            </w:r>
          </w:p>
        </w:tc>
        <w:tc>
          <w:tcPr>
            <w:tcW w:w="1770" w:type="dxa"/>
            <w:vAlign w:val="center"/>
          </w:tcPr>
          <w:p w14:paraId="727CD59A">
            <w:pPr>
              <w:spacing w:before="120" w:after="120"/>
              <w:jc w:val="left"/>
              <w:rPr>
                <w:iCs/>
                <w:szCs w:val="24"/>
              </w:rPr>
            </w:pPr>
            <w:r>
              <w:rPr>
                <w:sz w:val="26"/>
                <w:szCs w:val="26"/>
              </w:rPr>
              <w:t>Biển số giường bệnh</w:t>
            </w:r>
          </w:p>
        </w:tc>
        <w:tc>
          <w:tcPr>
            <w:tcW w:w="5760" w:type="dxa"/>
            <w:vAlign w:val="center"/>
          </w:tcPr>
          <w:p w14:paraId="3A1B56F4">
            <w:pPr>
              <w:spacing w:before="120" w:after="120"/>
              <w:jc w:val="center"/>
              <w:rPr>
                <w:iCs/>
                <w:szCs w:val="24"/>
              </w:rPr>
            </w:pPr>
            <w:r>
              <w:rPr>
                <w14:ligatures w14:val="standardContextual"/>
              </w:rPr>
              <w:drawing>
                <wp:inline distT="0" distB="0" distL="0" distR="0">
                  <wp:extent cx="781050" cy="7600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tretch>
                            <a:fillRect/>
                          </a:stretch>
                        </pic:blipFill>
                        <pic:spPr>
                          <a:xfrm>
                            <a:off x="0" y="0"/>
                            <a:ext cx="789036" cy="768460"/>
                          </a:xfrm>
                          <a:prstGeom prst="rect">
                            <a:avLst/>
                          </a:prstGeom>
                        </pic:spPr>
                      </pic:pic>
                    </a:graphicData>
                  </a:graphic>
                </wp:inline>
              </w:drawing>
            </w:r>
          </w:p>
        </w:tc>
      </w:tr>
      <w:tr w14:paraId="1FA7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4761E3C6">
            <w:pPr>
              <w:spacing w:before="120" w:after="120"/>
              <w:ind w:firstLine="22"/>
              <w:jc w:val="center"/>
              <w:rPr>
                <w:iCs/>
              </w:rPr>
            </w:pPr>
            <w:r>
              <w:rPr>
                <w:color w:val="000000"/>
              </w:rPr>
              <w:t>6</w:t>
            </w:r>
          </w:p>
        </w:tc>
        <w:tc>
          <w:tcPr>
            <w:tcW w:w="1770" w:type="dxa"/>
            <w:vAlign w:val="center"/>
          </w:tcPr>
          <w:p w14:paraId="116BF3A1">
            <w:pPr>
              <w:spacing w:before="120" w:after="120"/>
              <w:jc w:val="left"/>
              <w:rPr>
                <w:iCs/>
                <w:szCs w:val="24"/>
              </w:rPr>
            </w:pPr>
            <w:r>
              <w:rPr>
                <w:sz w:val="26"/>
                <w:szCs w:val="26"/>
              </w:rPr>
              <w:t>Biển nội quy</w:t>
            </w:r>
          </w:p>
        </w:tc>
        <w:tc>
          <w:tcPr>
            <w:tcW w:w="5760" w:type="dxa"/>
            <w:vAlign w:val="center"/>
          </w:tcPr>
          <w:p w14:paraId="756E3303">
            <w:pPr>
              <w:spacing w:before="120" w:after="120"/>
              <w:jc w:val="center"/>
              <w:rPr>
                <w:iCs/>
                <w:szCs w:val="24"/>
              </w:rPr>
            </w:pPr>
            <w:r>
              <w:rPr>
                <w14:ligatures w14:val="standardContextual"/>
              </w:rPr>
              <w:drawing>
                <wp:inline distT="0" distB="0" distL="0" distR="0">
                  <wp:extent cx="1753235" cy="20675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1753235" cy="2067560"/>
                          </a:xfrm>
                          <a:prstGeom prst="rect">
                            <a:avLst/>
                          </a:prstGeom>
                        </pic:spPr>
                      </pic:pic>
                    </a:graphicData>
                  </a:graphic>
                </wp:inline>
              </w:drawing>
            </w:r>
          </w:p>
        </w:tc>
      </w:tr>
      <w:tr w14:paraId="4680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0AC3DACA">
            <w:pPr>
              <w:spacing w:before="120" w:after="120"/>
              <w:ind w:firstLine="22"/>
              <w:jc w:val="center"/>
              <w:rPr>
                <w:iCs/>
              </w:rPr>
            </w:pPr>
            <w:r>
              <w:rPr>
                <w:color w:val="000000"/>
              </w:rPr>
              <w:t>7</w:t>
            </w:r>
          </w:p>
        </w:tc>
        <w:tc>
          <w:tcPr>
            <w:tcW w:w="1770" w:type="dxa"/>
            <w:vAlign w:val="center"/>
          </w:tcPr>
          <w:p w14:paraId="16AD2B63">
            <w:pPr>
              <w:spacing w:before="120" w:after="120"/>
              <w:jc w:val="left"/>
              <w:rPr>
                <w:iCs/>
                <w:szCs w:val="24"/>
              </w:rPr>
            </w:pPr>
            <w:r>
              <w:rPr>
                <w:sz w:val="26"/>
                <w:szCs w:val="26"/>
              </w:rPr>
              <w:t>Biển cảnh báo Toilet</w:t>
            </w:r>
          </w:p>
        </w:tc>
        <w:tc>
          <w:tcPr>
            <w:tcW w:w="5760" w:type="dxa"/>
            <w:vAlign w:val="center"/>
          </w:tcPr>
          <w:p w14:paraId="0C662AB1">
            <w:pPr>
              <w:spacing w:before="120" w:after="120"/>
              <w:jc w:val="center"/>
              <w:rPr>
                <w:iCs/>
                <w:szCs w:val="24"/>
              </w:rPr>
            </w:pPr>
            <w:r>
              <w:rPr>
                <w14:ligatures w14:val="standardContextual"/>
              </w:rPr>
              <w:drawing>
                <wp:inline distT="0" distB="0" distL="0" distR="0">
                  <wp:extent cx="1143000" cy="748030"/>
                  <wp:effectExtent l="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14"/>
                          <a:stretch>
                            <a:fillRect/>
                          </a:stretch>
                        </pic:blipFill>
                        <pic:spPr>
                          <a:xfrm>
                            <a:off x="0" y="0"/>
                            <a:ext cx="1143000" cy="748393"/>
                          </a:xfrm>
                          <a:prstGeom prst="rect">
                            <a:avLst/>
                          </a:prstGeom>
                        </pic:spPr>
                      </pic:pic>
                    </a:graphicData>
                  </a:graphic>
                </wp:inline>
              </w:drawing>
            </w:r>
          </w:p>
        </w:tc>
      </w:tr>
      <w:tr w14:paraId="076C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4B752351">
            <w:pPr>
              <w:spacing w:before="120" w:after="120"/>
              <w:ind w:firstLine="22"/>
              <w:jc w:val="center"/>
              <w:rPr>
                <w:iCs/>
              </w:rPr>
            </w:pPr>
            <w:r>
              <w:rPr>
                <w:color w:val="000000"/>
              </w:rPr>
              <w:t>8</w:t>
            </w:r>
          </w:p>
        </w:tc>
        <w:tc>
          <w:tcPr>
            <w:tcW w:w="1770" w:type="dxa"/>
            <w:vAlign w:val="center"/>
          </w:tcPr>
          <w:p w14:paraId="67D8B3E3">
            <w:pPr>
              <w:spacing w:before="120" w:after="120"/>
              <w:jc w:val="left"/>
              <w:rPr>
                <w:iCs/>
                <w:szCs w:val="24"/>
              </w:rPr>
            </w:pPr>
            <w:r>
              <w:rPr>
                <w:sz w:val="26"/>
                <w:szCs w:val="26"/>
              </w:rPr>
              <w:t>Biển cảnh báo trơn trượt</w:t>
            </w:r>
          </w:p>
        </w:tc>
        <w:tc>
          <w:tcPr>
            <w:tcW w:w="5760" w:type="dxa"/>
            <w:vAlign w:val="center"/>
          </w:tcPr>
          <w:p w14:paraId="7F7A0705">
            <w:pPr>
              <w:spacing w:before="120" w:after="120"/>
              <w:jc w:val="center"/>
              <w:rPr>
                <w:iCs/>
                <w:szCs w:val="24"/>
              </w:rPr>
            </w:pPr>
            <w:r>
              <w:rPr>
                <w14:ligatures w14:val="standardContextual"/>
              </w:rPr>
              <w:drawing>
                <wp:inline distT="0" distB="0" distL="0" distR="0">
                  <wp:extent cx="911225" cy="713740"/>
                  <wp:effectExtent l="0" t="0" r="3175" b="0"/>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15"/>
                          <a:stretch>
                            <a:fillRect/>
                          </a:stretch>
                        </pic:blipFill>
                        <pic:spPr>
                          <a:xfrm>
                            <a:off x="0" y="0"/>
                            <a:ext cx="911679" cy="713795"/>
                          </a:xfrm>
                          <a:prstGeom prst="rect">
                            <a:avLst/>
                          </a:prstGeom>
                        </pic:spPr>
                      </pic:pic>
                    </a:graphicData>
                  </a:graphic>
                </wp:inline>
              </w:drawing>
            </w:r>
          </w:p>
        </w:tc>
      </w:tr>
      <w:tr w14:paraId="5260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5DCC4FEA">
            <w:pPr>
              <w:spacing w:before="120" w:after="120"/>
              <w:ind w:firstLine="22"/>
              <w:jc w:val="center"/>
              <w:rPr>
                <w:iCs/>
              </w:rPr>
            </w:pPr>
            <w:r>
              <w:rPr>
                <w:color w:val="000000"/>
              </w:rPr>
              <w:t>9</w:t>
            </w:r>
          </w:p>
        </w:tc>
        <w:tc>
          <w:tcPr>
            <w:tcW w:w="1770" w:type="dxa"/>
            <w:vAlign w:val="center"/>
          </w:tcPr>
          <w:p w14:paraId="0222A15F">
            <w:pPr>
              <w:spacing w:before="120" w:after="120"/>
              <w:jc w:val="left"/>
              <w:rPr>
                <w:iCs/>
                <w:szCs w:val="24"/>
              </w:rPr>
            </w:pPr>
            <w:r>
              <w:rPr>
                <w:sz w:val="26"/>
                <w:szCs w:val="26"/>
              </w:rPr>
              <w:t>Biển cấm hút thuốc</w:t>
            </w:r>
          </w:p>
        </w:tc>
        <w:tc>
          <w:tcPr>
            <w:tcW w:w="5760" w:type="dxa"/>
            <w:vAlign w:val="center"/>
          </w:tcPr>
          <w:p w14:paraId="0595796E">
            <w:pPr>
              <w:spacing w:before="120" w:after="120"/>
              <w:jc w:val="center"/>
              <w:rPr>
                <w:iCs/>
                <w:szCs w:val="24"/>
              </w:rPr>
            </w:pPr>
            <w:r>
              <w:rPr>
                <w14:ligatures w14:val="standardContextual"/>
              </w:rPr>
              <w:drawing>
                <wp:inline distT="0" distB="0" distL="0" distR="0">
                  <wp:extent cx="1624330" cy="762000"/>
                  <wp:effectExtent l="0" t="0" r="0" b="0"/>
                  <wp:docPr id="4" name="Picture 4" descr="D:\Công việc\CV HCQT\Mr.Long\CV Hành chính- Quản trị\2.Mua sắm nội thất\6. Noi thất. Tâng 2-C\Nội thất tâng 2\PA. Trình HDKH\PA. TRình HDKH.9.2.1\M.Bảng biển\BOLOGO - Copy\NOSM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Công việc\CV HCQT\Mr.Long\CV Hành chính- Quản trị\2.Mua sắm nội thất\6. Noi thất. Tâng 2-C\Nội thất tâng 2\PA. Trình HDKH\PA. TRình HDKH.9.2.1\M.Bảng biển\BOLOGO - Copy\NOSMOKI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31533" cy="765306"/>
                          </a:xfrm>
                          <a:prstGeom prst="rect">
                            <a:avLst/>
                          </a:prstGeom>
                          <a:noFill/>
                          <a:ln>
                            <a:noFill/>
                          </a:ln>
                        </pic:spPr>
                      </pic:pic>
                    </a:graphicData>
                  </a:graphic>
                </wp:inline>
              </w:drawing>
            </w:r>
          </w:p>
        </w:tc>
      </w:tr>
      <w:tr w14:paraId="02C14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4D09A95D">
            <w:pPr>
              <w:spacing w:before="120" w:after="120"/>
              <w:ind w:firstLine="22"/>
              <w:jc w:val="center"/>
              <w:rPr>
                <w:iCs/>
              </w:rPr>
            </w:pPr>
            <w:r>
              <w:rPr>
                <w:color w:val="000000"/>
              </w:rPr>
              <w:t>10</w:t>
            </w:r>
          </w:p>
        </w:tc>
        <w:tc>
          <w:tcPr>
            <w:tcW w:w="1770" w:type="dxa"/>
            <w:vAlign w:val="center"/>
          </w:tcPr>
          <w:p w14:paraId="06B3227D">
            <w:pPr>
              <w:spacing w:before="120" w:after="120"/>
              <w:jc w:val="left"/>
              <w:rPr>
                <w:iCs/>
                <w:szCs w:val="24"/>
              </w:rPr>
            </w:pPr>
            <w:r>
              <w:rPr>
                <w:sz w:val="26"/>
                <w:szCs w:val="26"/>
              </w:rPr>
              <w:t>Biển cấm hút thuốc nhỏ</w:t>
            </w:r>
          </w:p>
        </w:tc>
        <w:tc>
          <w:tcPr>
            <w:tcW w:w="5760" w:type="dxa"/>
            <w:vAlign w:val="center"/>
          </w:tcPr>
          <w:p w14:paraId="213ED6C0">
            <w:pPr>
              <w:spacing w:before="120" w:after="120"/>
              <w:jc w:val="center"/>
              <w:rPr>
                <w:iCs/>
                <w:szCs w:val="24"/>
              </w:rPr>
            </w:pPr>
            <w:r>
              <w:rPr>
                <w14:ligatures w14:val="standardContextual"/>
              </w:rPr>
              <w:drawing>
                <wp:inline distT="0" distB="0" distL="0" distR="0">
                  <wp:extent cx="948690" cy="767715"/>
                  <wp:effectExtent l="0" t="0" r="3810" b="0"/>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4374" cy="788358"/>
                          </a:xfrm>
                          <a:prstGeom prst="rect">
                            <a:avLst/>
                          </a:prstGeom>
                        </pic:spPr>
                      </pic:pic>
                    </a:graphicData>
                  </a:graphic>
                </wp:inline>
              </w:drawing>
            </w:r>
          </w:p>
        </w:tc>
      </w:tr>
      <w:tr w14:paraId="42A5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4BAF63E0">
            <w:pPr>
              <w:spacing w:before="120" w:after="120"/>
              <w:ind w:firstLine="22"/>
              <w:jc w:val="center"/>
              <w:rPr>
                <w:iCs/>
              </w:rPr>
            </w:pPr>
            <w:r>
              <w:rPr>
                <w:color w:val="000000"/>
              </w:rPr>
              <w:t>11</w:t>
            </w:r>
          </w:p>
        </w:tc>
        <w:tc>
          <w:tcPr>
            <w:tcW w:w="1770" w:type="dxa"/>
            <w:vAlign w:val="center"/>
          </w:tcPr>
          <w:p w14:paraId="2297758D">
            <w:pPr>
              <w:spacing w:before="120" w:after="120"/>
              <w:jc w:val="left"/>
              <w:rPr>
                <w:iCs/>
                <w:szCs w:val="24"/>
              </w:rPr>
            </w:pPr>
            <w:r>
              <w:rPr>
                <w:sz w:val="26"/>
                <w:szCs w:val="26"/>
              </w:rPr>
              <w:t>Biển cấm quay phim chụp ảnh</w:t>
            </w:r>
          </w:p>
        </w:tc>
        <w:tc>
          <w:tcPr>
            <w:tcW w:w="5760" w:type="dxa"/>
            <w:vAlign w:val="center"/>
          </w:tcPr>
          <w:p w14:paraId="27855F4B">
            <w:pPr>
              <w:spacing w:before="120" w:after="120"/>
              <w:jc w:val="center"/>
              <w:rPr>
                <w:iCs/>
                <w:szCs w:val="24"/>
              </w:rPr>
            </w:pPr>
            <w:r>
              <w:rPr>
                <w14:ligatures w14:val="standardContextual"/>
              </w:rPr>
              <w:drawing>
                <wp:inline distT="0" distB="0" distL="0" distR="0">
                  <wp:extent cx="741680" cy="681355"/>
                  <wp:effectExtent l="0" t="0" r="1270" b="4445"/>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5266" cy="702978"/>
                          </a:xfrm>
                          <a:prstGeom prst="rect">
                            <a:avLst/>
                          </a:prstGeom>
                        </pic:spPr>
                      </pic:pic>
                    </a:graphicData>
                  </a:graphic>
                </wp:inline>
              </w:drawing>
            </w:r>
          </w:p>
        </w:tc>
      </w:tr>
      <w:tr w14:paraId="4487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608BEF6C">
            <w:pPr>
              <w:spacing w:before="120" w:after="120"/>
              <w:ind w:firstLine="22"/>
              <w:jc w:val="center"/>
              <w:rPr>
                <w:iCs/>
              </w:rPr>
            </w:pPr>
            <w:r>
              <w:rPr>
                <w:color w:val="000000"/>
              </w:rPr>
              <w:t>12</w:t>
            </w:r>
          </w:p>
        </w:tc>
        <w:tc>
          <w:tcPr>
            <w:tcW w:w="1770" w:type="dxa"/>
            <w:vAlign w:val="center"/>
          </w:tcPr>
          <w:p w14:paraId="736CDA0C">
            <w:pPr>
              <w:spacing w:before="120" w:after="120"/>
              <w:jc w:val="left"/>
              <w:rPr>
                <w:iCs/>
                <w:szCs w:val="24"/>
              </w:rPr>
            </w:pPr>
            <w:r>
              <w:rPr>
                <w:sz w:val="26"/>
                <w:szCs w:val="26"/>
              </w:rPr>
              <w:t>Biển cảnh báo kẹp tay</w:t>
            </w:r>
          </w:p>
        </w:tc>
        <w:tc>
          <w:tcPr>
            <w:tcW w:w="5760" w:type="dxa"/>
            <w:vAlign w:val="center"/>
          </w:tcPr>
          <w:p w14:paraId="31F5FA11">
            <w:pPr>
              <w:spacing w:before="120" w:after="120"/>
              <w:jc w:val="center"/>
              <w:rPr>
                <w:iCs/>
                <w:szCs w:val="24"/>
              </w:rPr>
            </w:pPr>
            <w:r>
              <w:rPr>
                <w14:ligatures w14:val="standardContextual"/>
              </w:rPr>
              <w:drawing>
                <wp:inline distT="0" distB="0" distL="0" distR="0">
                  <wp:extent cx="802005" cy="664210"/>
                  <wp:effectExtent l="0" t="0" r="0" b="254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5119" cy="683164"/>
                          </a:xfrm>
                          <a:prstGeom prst="rect">
                            <a:avLst/>
                          </a:prstGeom>
                        </pic:spPr>
                      </pic:pic>
                    </a:graphicData>
                  </a:graphic>
                </wp:inline>
              </w:drawing>
            </w:r>
          </w:p>
        </w:tc>
      </w:tr>
      <w:tr w14:paraId="6993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11DBCA5F">
            <w:pPr>
              <w:spacing w:before="120" w:after="120"/>
              <w:ind w:firstLine="22"/>
              <w:jc w:val="center"/>
              <w:rPr>
                <w:iCs/>
              </w:rPr>
            </w:pPr>
            <w:r>
              <w:rPr>
                <w:color w:val="000000"/>
              </w:rPr>
              <w:t>13</w:t>
            </w:r>
          </w:p>
        </w:tc>
        <w:tc>
          <w:tcPr>
            <w:tcW w:w="1770" w:type="dxa"/>
            <w:vAlign w:val="center"/>
          </w:tcPr>
          <w:p w14:paraId="37EF5223">
            <w:pPr>
              <w:spacing w:before="120" w:after="120"/>
              <w:jc w:val="left"/>
              <w:rPr>
                <w:iCs/>
                <w:szCs w:val="24"/>
              </w:rPr>
            </w:pPr>
            <w:r>
              <w:rPr>
                <w:sz w:val="26"/>
                <w:szCs w:val="26"/>
              </w:rPr>
              <w:t>Biển cảnh báo ngã cầu thang</w:t>
            </w:r>
          </w:p>
        </w:tc>
        <w:tc>
          <w:tcPr>
            <w:tcW w:w="5760" w:type="dxa"/>
            <w:vAlign w:val="center"/>
          </w:tcPr>
          <w:p w14:paraId="732EE852">
            <w:pPr>
              <w:spacing w:before="120" w:after="120"/>
              <w:jc w:val="center"/>
              <w:rPr>
                <w:iCs/>
                <w:szCs w:val="24"/>
              </w:rPr>
            </w:pPr>
            <w:r>
              <w:rPr>
                <w14:ligatures w14:val="standardContextual"/>
              </w:rPr>
              <w:drawing>
                <wp:inline distT="0" distB="0" distL="0" distR="0">
                  <wp:extent cx="741045" cy="767715"/>
                  <wp:effectExtent l="0" t="0" r="1905" b="0"/>
                  <wp:docPr id="15"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82808" cy="810562"/>
                          </a:xfrm>
                          <a:prstGeom prst="rect">
                            <a:avLst/>
                          </a:prstGeom>
                        </pic:spPr>
                      </pic:pic>
                    </a:graphicData>
                  </a:graphic>
                </wp:inline>
              </w:drawing>
            </w:r>
          </w:p>
        </w:tc>
      </w:tr>
      <w:tr w14:paraId="42B6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5C071E05">
            <w:pPr>
              <w:spacing w:before="120" w:after="120"/>
              <w:ind w:firstLine="22"/>
              <w:jc w:val="center"/>
              <w:rPr>
                <w:iCs/>
              </w:rPr>
            </w:pPr>
            <w:r>
              <w:rPr>
                <w:color w:val="000000"/>
              </w:rPr>
              <w:t>14</w:t>
            </w:r>
          </w:p>
        </w:tc>
        <w:tc>
          <w:tcPr>
            <w:tcW w:w="1770" w:type="dxa"/>
            <w:vAlign w:val="center"/>
          </w:tcPr>
          <w:p w14:paraId="181797DC">
            <w:pPr>
              <w:spacing w:before="120" w:after="120"/>
              <w:jc w:val="left"/>
              <w:rPr>
                <w:iCs/>
                <w:szCs w:val="24"/>
              </w:rPr>
            </w:pPr>
            <w:r>
              <w:rPr>
                <w:sz w:val="26"/>
                <w:szCs w:val="26"/>
              </w:rPr>
              <w:t>Biển chỉ dẫn số phòng</w:t>
            </w:r>
          </w:p>
        </w:tc>
        <w:tc>
          <w:tcPr>
            <w:tcW w:w="5760" w:type="dxa"/>
            <w:vAlign w:val="center"/>
          </w:tcPr>
          <w:p w14:paraId="5C2997EE">
            <w:pPr>
              <w:spacing w:before="120" w:after="120"/>
              <w:jc w:val="center"/>
              <w:rPr>
                <w:iCs/>
                <w:szCs w:val="24"/>
              </w:rPr>
            </w:pPr>
            <w:r>
              <w:rPr>
                <w14:ligatures w14:val="standardContextual"/>
              </w:rPr>
              <w:drawing>
                <wp:inline distT="0" distB="0" distL="0" distR="0">
                  <wp:extent cx="1379855" cy="1210310"/>
                  <wp:effectExtent l="0" t="0" r="0" b="8890"/>
                  <wp:docPr id="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7"/>
                          <pic:cNvPicPr>
                            <a:picLocks noChangeAspect="1"/>
                          </pic:cNvPicPr>
                        </pic:nvPicPr>
                        <pic:blipFill>
                          <a:blip r:embed="rId21"/>
                          <a:stretch>
                            <a:fillRect/>
                          </a:stretch>
                        </pic:blipFill>
                        <pic:spPr>
                          <a:xfrm>
                            <a:off x="0" y="0"/>
                            <a:ext cx="1413464" cy="1239498"/>
                          </a:xfrm>
                          <a:prstGeom prst="rect">
                            <a:avLst/>
                          </a:prstGeom>
                        </pic:spPr>
                      </pic:pic>
                    </a:graphicData>
                  </a:graphic>
                </wp:inline>
              </w:drawing>
            </w:r>
          </w:p>
        </w:tc>
      </w:tr>
      <w:tr w14:paraId="1B53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6B1F2B5F">
            <w:pPr>
              <w:spacing w:before="120" w:after="120"/>
              <w:ind w:firstLine="22"/>
              <w:jc w:val="center"/>
              <w:rPr>
                <w:iCs/>
              </w:rPr>
            </w:pPr>
            <w:r>
              <w:rPr>
                <w:color w:val="000000"/>
              </w:rPr>
              <w:t>15</w:t>
            </w:r>
          </w:p>
        </w:tc>
        <w:tc>
          <w:tcPr>
            <w:tcW w:w="1770" w:type="dxa"/>
            <w:vAlign w:val="center"/>
          </w:tcPr>
          <w:p w14:paraId="25CFDB0B">
            <w:pPr>
              <w:spacing w:before="120" w:after="120"/>
              <w:jc w:val="left"/>
              <w:rPr>
                <w:iCs/>
                <w:szCs w:val="24"/>
              </w:rPr>
            </w:pPr>
            <w:r>
              <w:rPr>
                <w:sz w:val="26"/>
                <w:szCs w:val="26"/>
              </w:rPr>
              <w:t>Biển hướng dẫn lấy số</w:t>
            </w:r>
          </w:p>
        </w:tc>
        <w:tc>
          <w:tcPr>
            <w:tcW w:w="5760" w:type="dxa"/>
            <w:vAlign w:val="center"/>
          </w:tcPr>
          <w:p w14:paraId="3212EE78">
            <w:pPr>
              <w:spacing w:before="120" w:after="120"/>
              <w:jc w:val="center"/>
              <w:rPr>
                <w:iCs/>
                <w:szCs w:val="24"/>
              </w:rPr>
            </w:pPr>
            <w:r>
              <w:rPr>
                <w14:ligatures w14:val="standardContextual"/>
              </w:rPr>
              <w:drawing>
                <wp:inline distT="0" distB="0" distL="0" distR="0">
                  <wp:extent cx="1656080" cy="679450"/>
                  <wp:effectExtent l="0" t="0" r="1270" b="635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22"/>
                          <a:stretch>
                            <a:fillRect/>
                          </a:stretch>
                        </pic:blipFill>
                        <pic:spPr>
                          <a:xfrm>
                            <a:off x="0" y="0"/>
                            <a:ext cx="1665003" cy="683644"/>
                          </a:xfrm>
                          <a:prstGeom prst="rect">
                            <a:avLst/>
                          </a:prstGeom>
                        </pic:spPr>
                      </pic:pic>
                    </a:graphicData>
                  </a:graphic>
                </wp:inline>
              </w:drawing>
            </w:r>
          </w:p>
        </w:tc>
      </w:tr>
      <w:tr w14:paraId="76C8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61968021">
            <w:pPr>
              <w:spacing w:before="120" w:after="120"/>
              <w:ind w:firstLine="22"/>
              <w:jc w:val="center"/>
              <w:rPr>
                <w:iCs/>
              </w:rPr>
            </w:pPr>
            <w:r>
              <w:rPr>
                <w:color w:val="000000"/>
              </w:rPr>
              <w:t>16</w:t>
            </w:r>
          </w:p>
        </w:tc>
        <w:tc>
          <w:tcPr>
            <w:tcW w:w="1770" w:type="dxa"/>
            <w:vAlign w:val="center"/>
          </w:tcPr>
          <w:p w14:paraId="65BE5E2F">
            <w:pPr>
              <w:spacing w:before="120" w:after="120"/>
              <w:jc w:val="left"/>
              <w:rPr>
                <w:iCs/>
                <w:szCs w:val="24"/>
              </w:rPr>
            </w:pPr>
            <w:r>
              <w:rPr>
                <w:sz w:val="26"/>
                <w:szCs w:val="26"/>
              </w:rPr>
              <w:t>Biển thả khu WC</w:t>
            </w:r>
          </w:p>
        </w:tc>
        <w:tc>
          <w:tcPr>
            <w:tcW w:w="5760" w:type="dxa"/>
            <w:vAlign w:val="center"/>
          </w:tcPr>
          <w:p w14:paraId="53301600">
            <w:pPr>
              <w:spacing w:before="120" w:after="120"/>
              <w:jc w:val="center"/>
              <w:rPr>
                <w:iCs/>
                <w:szCs w:val="24"/>
              </w:rPr>
            </w:pPr>
            <w:r>
              <w:rPr>
                <w14:ligatures w14:val="standardContextual"/>
              </w:rPr>
              <w:drawing>
                <wp:inline distT="0" distB="0" distL="0" distR="0">
                  <wp:extent cx="1659890" cy="721360"/>
                  <wp:effectExtent l="0" t="0" r="0" b="254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23"/>
                          <a:stretch>
                            <a:fillRect/>
                          </a:stretch>
                        </pic:blipFill>
                        <pic:spPr>
                          <a:xfrm>
                            <a:off x="0" y="0"/>
                            <a:ext cx="1660072" cy="721535"/>
                          </a:xfrm>
                          <a:prstGeom prst="rect">
                            <a:avLst/>
                          </a:prstGeom>
                        </pic:spPr>
                      </pic:pic>
                    </a:graphicData>
                  </a:graphic>
                </wp:inline>
              </w:drawing>
            </w:r>
          </w:p>
        </w:tc>
      </w:tr>
      <w:tr w14:paraId="474A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15E7186C">
            <w:pPr>
              <w:spacing w:before="120" w:after="120"/>
              <w:ind w:firstLine="22"/>
              <w:jc w:val="center"/>
              <w:rPr>
                <w:iCs/>
              </w:rPr>
            </w:pPr>
            <w:r>
              <w:rPr>
                <w:color w:val="000000"/>
              </w:rPr>
              <w:t>17</w:t>
            </w:r>
          </w:p>
        </w:tc>
        <w:tc>
          <w:tcPr>
            <w:tcW w:w="1770" w:type="dxa"/>
            <w:vAlign w:val="center"/>
          </w:tcPr>
          <w:p w14:paraId="5DA0A041">
            <w:pPr>
              <w:spacing w:before="120" w:after="120"/>
              <w:jc w:val="left"/>
              <w:rPr>
                <w:iCs/>
                <w:szCs w:val="24"/>
              </w:rPr>
            </w:pPr>
            <w:r>
              <w:rPr>
                <w:sz w:val="26"/>
                <w:szCs w:val="26"/>
              </w:rPr>
              <w:t>Biển thang máy nhân viên/ khách/ chở hàng</w:t>
            </w:r>
          </w:p>
        </w:tc>
        <w:tc>
          <w:tcPr>
            <w:tcW w:w="5760" w:type="dxa"/>
            <w:vAlign w:val="center"/>
          </w:tcPr>
          <w:p w14:paraId="7630C037">
            <w:pPr>
              <w:spacing w:before="120" w:after="120"/>
              <w:jc w:val="center"/>
              <w:rPr>
                <w:iCs/>
                <w:szCs w:val="24"/>
              </w:rPr>
            </w:pPr>
            <w:r>
              <w:rPr>
                <w14:ligatures w14:val="standardContextual"/>
              </w:rPr>
              <w:drawing>
                <wp:inline distT="0" distB="0" distL="0" distR="0">
                  <wp:extent cx="1374140" cy="814705"/>
                  <wp:effectExtent l="0" t="0" r="0" b="4445"/>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24"/>
                          <a:stretch>
                            <a:fillRect/>
                          </a:stretch>
                        </pic:blipFill>
                        <pic:spPr>
                          <a:xfrm>
                            <a:off x="0" y="0"/>
                            <a:ext cx="1374322" cy="814892"/>
                          </a:xfrm>
                          <a:prstGeom prst="rect">
                            <a:avLst/>
                          </a:prstGeom>
                        </pic:spPr>
                      </pic:pic>
                    </a:graphicData>
                  </a:graphic>
                </wp:inline>
              </w:drawing>
            </w:r>
          </w:p>
        </w:tc>
      </w:tr>
      <w:tr w14:paraId="4E0F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233FA03D">
            <w:pPr>
              <w:spacing w:before="120" w:after="120"/>
              <w:ind w:firstLine="22"/>
              <w:jc w:val="center"/>
              <w:rPr>
                <w:iCs/>
              </w:rPr>
            </w:pPr>
            <w:r>
              <w:rPr>
                <w:color w:val="000000"/>
              </w:rPr>
              <w:t>18</w:t>
            </w:r>
          </w:p>
        </w:tc>
        <w:tc>
          <w:tcPr>
            <w:tcW w:w="1770" w:type="dxa"/>
            <w:vAlign w:val="center"/>
          </w:tcPr>
          <w:p w14:paraId="5AF2F875">
            <w:pPr>
              <w:spacing w:before="120" w:after="120"/>
              <w:jc w:val="left"/>
              <w:rPr>
                <w:iCs/>
                <w:szCs w:val="24"/>
              </w:rPr>
            </w:pPr>
            <w:r>
              <w:rPr>
                <w:sz w:val="26"/>
                <w:szCs w:val="26"/>
              </w:rPr>
              <w:t>Biển chỉ dẫn các tầng ngoài sảnh</w:t>
            </w:r>
          </w:p>
        </w:tc>
        <w:tc>
          <w:tcPr>
            <w:tcW w:w="5760" w:type="dxa"/>
            <w:vAlign w:val="center"/>
          </w:tcPr>
          <w:p w14:paraId="36329877">
            <w:pPr>
              <w:spacing w:before="120" w:after="120"/>
              <w:jc w:val="center"/>
              <w:rPr>
                <w:iCs/>
                <w:szCs w:val="24"/>
              </w:rPr>
            </w:pPr>
            <w:r>
              <w:rPr>
                <w14:ligatures w14:val="standardContextual"/>
              </w:rPr>
              <w:drawing>
                <wp:inline distT="0" distB="0" distL="0" distR="0">
                  <wp:extent cx="1257300" cy="1677670"/>
                  <wp:effectExtent l="0" t="0" r="0" b="0"/>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a:blip r:embed="rId25"/>
                          <a:stretch>
                            <a:fillRect/>
                          </a:stretch>
                        </pic:blipFill>
                        <pic:spPr>
                          <a:xfrm>
                            <a:off x="0" y="0"/>
                            <a:ext cx="1295643" cy="1729461"/>
                          </a:xfrm>
                          <a:prstGeom prst="rect">
                            <a:avLst/>
                          </a:prstGeom>
                        </pic:spPr>
                      </pic:pic>
                    </a:graphicData>
                  </a:graphic>
                </wp:inline>
              </w:drawing>
            </w:r>
          </w:p>
        </w:tc>
      </w:tr>
      <w:tr w14:paraId="4C54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5203DC03">
            <w:pPr>
              <w:spacing w:before="120" w:after="120"/>
              <w:ind w:firstLine="22"/>
              <w:jc w:val="center"/>
              <w:rPr>
                <w:iCs/>
              </w:rPr>
            </w:pPr>
            <w:r>
              <w:rPr>
                <w:color w:val="000000"/>
              </w:rPr>
              <w:t>19</w:t>
            </w:r>
          </w:p>
        </w:tc>
        <w:tc>
          <w:tcPr>
            <w:tcW w:w="1770" w:type="dxa"/>
            <w:vAlign w:val="center"/>
          </w:tcPr>
          <w:p w14:paraId="791C50D4">
            <w:pPr>
              <w:spacing w:before="120" w:after="120"/>
              <w:jc w:val="left"/>
              <w:rPr>
                <w:iCs/>
                <w:szCs w:val="24"/>
              </w:rPr>
            </w:pPr>
            <w:r>
              <w:rPr>
                <w:sz w:val="26"/>
                <w:szCs w:val="26"/>
              </w:rPr>
              <w:t>Biển chỉ dẫn các tầng trong thang máy</w:t>
            </w:r>
          </w:p>
        </w:tc>
        <w:tc>
          <w:tcPr>
            <w:tcW w:w="5760" w:type="dxa"/>
            <w:vAlign w:val="center"/>
          </w:tcPr>
          <w:p w14:paraId="4E55CAE1">
            <w:pPr>
              <w:spacing w:before="120" w:after="120"/>
              <w:jc w:val="center"/>
              <w:rPr>
                <w:iCs/>
                <w:szCs w:val="24"/>
              </w:rPr>
            </w:pPr>
            <w:r>
              <w:rPr>
                <w14:ligatures w14:val="standardContextual"/>
              </w:rPr>
              <w:drawing>
                <wp:inline distT="0" distB="0" distL="0" distR="0">
                  <wp:extent cx="1345565" cy="2002790"/>
                  <wp:effectExtent l="0" t="0" r="6985" b="0"/>
                  <wp:docPr id="54" name="Picture 53" descr="D:\Công việc\CV HCQT\Mr.Long\CV Hành chính- Quản trị\2.Mua sắm nội thất\6. Noi thất. Tâng 2-C\Nội thất tâng 2\PA. Trình HDKH\1. Biển bảng\anh dp dalieu\z7481723861880_0849429b5a62ccb1c4b478ab5d7cd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D:\Công việc\CV HCQT\Mr.Long\CV Hành chính- Quản trị\2.Mua sắm nội thất\6. Noi thất. Tâng 2-C\Nội thất tâng 2\PA. Trình HDKH\1. Biển bảng\anh dp dalieu\z7481723861880_0849429b5a62ccb1c4b478ab5d7cd35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60424" cy="2025290"/>
                          </a:xfrm>
                          <a:prstGeom prst="rect">
                            <a:avLst/>
                          </a:prstGeom>
                          <a:noFill/>
                        </pic:spPr>
                      </pic:pic>
                    </a:graphicData>
                  </a:graphic>
                </wp:inline>
              </w:drawing>
            </w:r>
          </w:p>
        </w:tc>
      </w:tr>
      <w:tr w14:paraId="0EFB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707918CD">
            <w:pPr>
              <w:spacing w:before="120" w:after="120"/>
              <w:ind w:firstLine="22"/>
              <w:jc w:val="center"/>
              <w:rPr>
                <w:iCs/>
              </w:rPr>
            </w:pPr>
            <w:r>
              <w:rPr>
                <w:color w:val="000000"/>
              </w:rPr>
              <w:t>20</w:t>
            </w:r>
          </w:p>
        </w:tc>
        <w:tc>
          <w:tcPr>
            <w:tcW w:w="1770" w:type="dxa"/>
            <w:vAlign w:val="center"/>
          </w:tcPr>
          <w:p w14:paraId="70B9539A">
            <w:pPr>
              <w:spacing w:before="120" w:after="120"/>
              <w:jc w:val="left"/>
              <w:rPr>
                <w:iCs/>
                <w:szCs w:val="24"/>
              </w:rPr>
            </w:pPr>
            <w:r>
              <w:rPr>
                <w:sz w:val="26"/>
                <w:szCs w:val="26"/>
              </w:rPr>
              <w:t>Bảng dán ngoài phòng khám (luồn tên Bác sĩ – Điều dưỡng- Hộ lý)</w:t>
            </w:r>
          </w:p>
        </w:tc>
        <w:tc>
          <w:tcPr>
            <w:tcW w:w="5760" w:type="dxa"/>
            <w:vAlign w:val="center"/>
          </w:tcPr>
          <w:p w14:paraId="10C920C7">
            <w:pPr>
              <w:spacing w:before="120" w:after="120"/>
              <w:jc w:val="center"/>
              <w:rPr>
                <w:iCs/>
                <w:szCs w:val="24"/>
              </w:rPr>
            </w:pPr>
            <w:r>
              <w:rPr>
                <w:color w:val="000000"/>
                <w:sz w:val="26"/>
                <w:szCs w:val="26"/>
              </w:rPr>
              <w:drawing>
                <wp:inline distT="0" distB="0" distL="0" distR="0">
                  <wp:extent cx="1715135" cy="2447925"/>
                  <wp:effectExtent l="0" t="0" r="0" b="0"/>
                  <wp:docPr id="22" name="Picture 22" descr="D:\Công việc\CV HCQT\Mr.Long\CV Hành chính- Quản trị\2.Mua sắm nội thất\6. Noi thất. Tâng 2-C\Nội thất tâng 2\PA. Trình HDKH\PA. TRình HDKH.9.2.1\M.Bảng biển\BOLOGO - Copy\P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Công việc\CV HCQT\Mr.Long\CV Hành chính- Quản trị\2.Mua sắm nội thất\6. Noi thất. Tâng 2-C\Nội thất tâng 2\PA. Trình HDKH\PA. TRình HDKH.9.2.1\M.Bảng biển\BOLOGO - Copy\PD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22112" cy="2457850"/>
                          </a:xfrm>
                          <a:prstGeom prst="rect">
                            <a:avLst/>
                          </a:prstGeom>
                          <a:noFill/>
                          <a:ln>
                            <a:noFill/>
                          </a:ln>
                        </pic:spPr>
                      </pic:pic>
                    </a:graphicData>
                  </a:graphic>
                </wp:inline>
              </w:drawing>
            </w:r>
          </w:p>
        </w:tc>
      </w:tr>
      <w:tr w14:paraId="5E24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530A5211">
            <w:pPr>
              <w:spacing w:before="120" w:after="120"/>
              <w:ind w:firstLine="22"/>
              <w:jc w:val="center"/>
              <w:rPr>
                <w:iCs/>
              </w:rPr>
            </w:pPr>
            <w:r>
              <w:rPr>
                <w:color w:val="000000"/>
              </w:rPr>
              <w:t>21</w:t>
            </w:r>
          </w:p>
        </w:tc>
        <w:tc>
          <w:tcPr>
            <w:tcW w:w="1770" w:type="dxa"/>
            <w:vAlign w:val="center"/>
          </w:tcPr>
          <w:p w14:paraId="4DFB35DC">
            <w:pPr>
              <w:spacing w:before="120" w:after="120"/>
              <w:jc w:val="left"/>
              <w:rPr>
                <w:iCs/>
                <w:szCs w:val="24"/>
              </w:rPr>
            </w:pPr>
            <w:r>
              <w:rPr>
                <w:sz w:val="26"/>
                <w:szCs w:val="26"/>
              </w:rPr>
              <w:t>Biển số phòng (2 mặt)</w:t>
            </w:r>
          </w:p>
        </w:tc>
        <w:tc>
          <w:tcPr>
            <w:tcW w:w="5760" w:type="dxa"/>
            <w:vAlign w:val="center"/>
          </w:tcPr>
          <w:p w14:paraId="394E110A">
            <w:pPr>
              <w:jc w:val="center"/>
              <w:rPr>
                <w:sz w:val="26"/>
                <w:szCs w:val="26"/>
              </w:rPr>
            </w:pPr>
          </w:p>
          <w:p w14:paraId="02F0777D">
            <w:pPr>
              <w:spacing w:before="120" w:after="120"/>
              <w:jc w:val="center"/>
              <w:rPr>
                <w:iCs/>
                <w:szCs w:val="24"/>
              </w:rPr>
            </w:pPr>
            <w:r>
              <w:rPr>
                <w:sz w:val="26"/>
                <w:szCs w:val="26"/>
              </w:rPr>
              <w:drawing>
                <wp:inline distT="0" distB="0" distL="0" distR="0">
                  <wp:extent cx="1152525" cy="1006475"/>
                  <wp:effectExtent l="0" t="0" r="0" b="3175"/>
                  <wp:docPr id="5" name="Picture 5" descr="D:\Công việc\CV HCQT\Mr.Long\CV Hành chính- Quản trị\2.Mua sắm nội thất\6. Noi thất. Tâng 2-C\Nội thất tâng 2\PA. Trình HDKH\PA. TRình HDKH.9.2.1\M.Bảng biển\BOLOGO - Copy\bvay ph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Công việc\CV HCQT\Mr.Long\CV Hành chính- Quản trị\2.Mua sắm nội thất\6. Noi thất. Tâng 2-C\Nội thất tâng 2\PA. Trình HDKH\PA. TRình HDKH.9.2.1\M.Bảng biển\BOLOGO - Copy\bvay phon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158557" cy="1012245"/>
                          </a:xfrm>
                          <a:prstGeom prst="rect">
                            <a:avLst/>
                          </a:prstGeom>
                          <a:noFill/>
                          <a:ln>
                            <a:noFill/>
                          </a:ln>
                        </pic:spPr>
                      </pic:pic>
                    </a:graphicData>
                  </a:graphic>
                </wp:inline>
              </w:drawing>
            </w:r>
            <w:r>
              <w:rPr>
                <w:sz w:val="26"/>
                <w:szCs w:val="26"/>
              </w:rPr>
              <w:drawing>
                <wp:inline distT="0" distB="0" distL="0" distR="0">
                  <wp:extent cx="1162050" cy="10052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9"/>
                          <a:stretch>
                            <a:fillRect/>
                          </a:stretch>
                        </pic:blipFill>
                        <pic:spPr>
                          <a:xfrm>
                            <a:off x="0" y="0"/>
                            <a:ext cx="1174277" cy="1016063"/>
                          </a:xfrm>
                          <a:prstGeom prst="rect">
                            <a:avLst/>
                          </a:prstGeom>
                        </pic:spPr>
                      </pic:pic>
                    </a:graphicData>
                  </a:graphic>
                </wp:inline>
              </w:drawing>
            </w:r>
          </w:p>
        </w:tc>
      </w:tr>
      <w:tr w14:paraId="3D4D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4239BCBF">
            <w:pPr>
              <w:spacing w:before="120" w:after="120"/>
              <w:ind w:firstLine="22"/>
              <w:jc w:val="center"/>
              <w:rPr>
                <w:iCs/>
              </w:rPr>
            </w:pPr>
            <w:r>
              <w:rPr>
                <w:color w:val="000000"/>
              </w:rPr>
              <w:t>22</w:t>
            </w:r>
          </w:p>
        </w:tc>
        <w:tc>
          <w:tcPr>
            <w:tcW w:w="1770" w:type="dxa"/>
            <w:vAlign w:val="center"/>
          </w:tcPr>
          <w:p w14:paraId="3C0AD26A">
            <w:pPr>
              <w:spacing w:before="120" w:after="120"/>
              <w:jc w:val="left"/>
              <w:rPr>
                <w:iCs/>
                <w:szCs w:val="24"/>
              </w:rPr>
            </w:pPr>
            <w:r>
              <w:rPr>
                <w:sz w:val="26"/>
                <w:szCs w:val="26"/>
              </w:rPr>
              <w:t>Chữ gắn ngoài tòa nhà (Chữ cái, tên và logo gắn mặt ngoài tòa nhà)</w:t>
            </w:r>
          </w:p>
        </w:tc>
        <w:tc>
          <w:tcPr>
            <w:tcW w:w="5760" w:type="dxa"/>
            <w:vAlign w:val="center"/>
          </w:tcPr>
          <w:p w14:paraId="0636FCFC">
            <w:pPr>
              <w:spacing w:before="120"/>
              <w:jc w:val="center"/>
              <w:rPr>
                <w:sz w:val="26"/>
                <w:szCs w:val="26"/>
              </w:rPr>
            </w:pPr>
            <w:r>
              <w:rPr>
                <w14:ligatures w14:val="standardContextual"/>
              </w:rPr>
              <w:drawing>
                <wp:inline distT="0" distB="0" distL="0" distR="0">
                  <wp:extent cx="859790" cy="711200"/>
                  <wp:effectExtent l="0" t="0" r="0" b="0"/>
                  <wp:docPr id="27" name="Picture 26"/>
                  <wp:cNvGraphicFramePr/>
                  <a:graphic xmlns:a="http://schemas.openxmlformats.org/drawingml/2006/main">
                    <a:graphicData uri="http://schemas.openxmlformats.org/drawingml/2006/picture">
                      <pic:pic xmlns:pic="http://schemas.openxmlformats.org/drawingml/2006/picture">
                        <pic:nvPicPr>
                          <pic:cNvPr id="27"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65866" cy="716286"/>
                          </a:xfrm>
                          <a:prstGeom prst="rect">
                            <a:avLst/>
                          </a:prstGeom>
                        </pic:spPr>
                      </pic:pic>
                    </a:graphicData>
                  </a:graphic>
                </wp:inline>
              </w:drawing>
            </w:r>
          </w:p>
          <w:p w14:paraId="0694062C">
            <w:pPr>
              <w:jc w:val="center"/>
              <w:rPr>
                <w:sz w:val="26"/>
                <w:szCs w:val="26"/>
              </w:rPr>
            </w:pPr>
            <w:r>
              <w:rPr>
                <w14:ligatures w14:val="standardContextual"/>
              </w:rPr>
              <w:drawing>
                <wp:inline distT="0" distB="0" distL="0" distR="0">
                  <wp:extent cx="996950" cy="302260"/>
                  <wp:effectExtent l="0" t="0" r="0" b="2540"/>
                  <wp:docPr id="28"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7324" cy="302559"/>
                          </a:xfrm>
                          <a:prstGeom prst="rect">
                            <a:avLst/>
                          </a:prstGeom>
                        </pic:spPr>
                      </pic:pic>
                    </a:graphicData>
                  </a:graphic>
                </wp:inline>
              </w:drawing>
            </w:r>
          </w:p>
          <w:p w14:paraId="77BD896B">
            <w:pPr>
              <w:spacing w:before="120" w:after="120"/>
              <w:jc w:val="center"/>
              <w:rPr>
                <w:iCs/>
                <w:szCs w:val="24"/>
              </w:rPr>
            </w:pPr>
            <w:r>
              <w:rPr>
                <w14:ligatures w14:val="standardContextual"/>
              </w:rPr>
              <w:drawing>
                <wp:inline distT="0" distB="0" distL="0" distR="0">
                  <wp:extent cx="1019175" cy="257175"/>
                  <wp:effectExtent l="0" t="0" r="0" b="9525"/>
                  <wp:docPr id="29"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19735" cy="257734"/>
                          </a:xfrm>
                          <a:prstGeom prst="rect">
                            <a:avLst/>
                          </a:prstGeom>
                        </pic:spPr>
                      </pic:pic>
                    </a:graphicData>
                  </a:graphic>
                </wp:inline>
              </w:drawing>
            </w:r>
          </w:p>
        </w:tc>
      </w:tr>
      <w:tr w14:paraId="218E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69E5234E">
            <w:pPr>
              <w:spacing w:before="120" w:after="120"/>
              <w:ind w:firstLine="22"/>
              <w:jc w:val="center"/>
              <w:rPr>
                <w:iCs/>
              </w:rPr>
            </w:pPr>
            <w:r>
              <w:rPr>
                <w:color w:val="000000"/>
              </w:rPr>
              <w:t>23</w:t>
            </w:r>
          </w:p>
        </w:tc>
        <w:tc>
          <w:tcPr>
            <w:tcW w:w="1770" w:type="dxa"/>
            <w:vAlign w:val="center"/>
          </w:tcPr>
          <w:p w14:paraId="168865F8">
            <w:pPr>
              <w:spacing w:before="120" w:after="120"/>
              <w:jc w:val="left"/>
              <w:rPr>
                <w:iCs/>
                <w:szCs w:val="24"/>
              </w:rPr>
            </w:pPr>
            <w:r>
              <w:rPr>
                <w:sz w:val="26"/>
                <w:szCs w:val="26"/>
              </w:rPr>
              <w:t>Số tầng tòa nhà</w:t>
            </w:r>
          </w:p>
        </w:tc>
        <w:tc>
          <w:tcPr>
            <w:tcW w:w="5760" w:type="dxa"/>
            <w:vAlign w:val="center"/>
          </w:tcPr>
          <w:p w14:paraId="09BC8D86">
            <w:pPr>
              <w:spacing w:before="120" w:after="120"/>
              <w:jc w:val="center"/>
              <w:rPr>
                <w:iCs/>
                <w:szCs w:val="24"/>
              </w:rPr>
            </w:pPr>
            <w:r>
              <w:rPr>
                <w:sz w:val="26"/>
                <w:szCs w:val="26"/>
              </w:rPr>
              <w:drawing>
                <wp:inline distT="0" distB="0" distL="0" distR="0">
                  <wp:extent cx="1285875" cy="745490"/>
                  <wp:effectExtent l="0" t="0" r="0" b="0"/>
                  <wp:docPr id="10" name="Picture 10" descr="D:\Công việc\CV HCQT\Mr.Long\CV Hành chính- Quản trị\2.Mua sắm nội thất\6. Noi thất. Tâng 2-C\Nội thất tâng 2\PA. Trình HDKH\PA. TRình HDKH.9.2.1\M.Bảng biển\BOLOGO - Copy\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Công việc\CV HCQT\Mr.Long\CV Hành chính- Quản trị\2.Mua sắm nội thất\6. Noi thất. Tâng 2-C\Nội thất tâng 2\PA. Trình HDKH\PA. TRình HDKH.9.2.1\M.Bảng biển\BOLOGO - Copy\S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30115" cy="771467"/>
                          </a:xfrm>
                          <a:prstGeom prst="rect">
                            <a:avLst/>
                          </a:prstGeom>
                          <a:noFill/>
                          <a:ln>
                            <a:noFill/>
                          </a:ln>
                        </pic:spPr>
                      </pic:pic>
                    </a:graphicData>
                  </a:graphic>
                </wp:inline>
              </w:drawing>
            </w:r>
          </w:p>
        </w:tc>
      </w:tr>
      <w:tr w14:paraId="5D43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61367D09">
            <w:pPr>
              <w:spacing w:before="120" w:after="120"/>
              <w:ind w:firstLine="22"/>
              <w:jc w:val="center"/>
              <w:rPr>
                <w:iCs/>
              </w:rPr>
            </w:pPr>
            <w:r>
              <w:rPr>
                <w:color w:val="000000"/>
              </w:rPr>
              <w:t>24</w:t>
            </w:r>
          </w:p>
        </w:tc>
        <w:tc>
          <w:tcPr>
            <w:tcW w:w="1770" w:type="dxa"/>
            <w:vAlign w:val="center"/>
          </w:tcPr>
          <w:p w14:paraId="0267B19E">
            <w:pPr>
              <w:spacing w:before="120" w:after="120"/>
              <w:jc w:val="left"/>
              <w:rPr>
                <w:iCs/>
                <w:szCs w:val="24"/>
              </w:rPr>
            </w:pPr>
            <w:r>
              <w:rPr>
                <w:sz w:val="26"/>
                <w:szCs w:val="26"/>
              </w:rPr>
              <w:t>Sơ đồ thoát hiểm</w:t>
            </w:r>
          </w:p>
        </w:tc>
        <w:tc>
          <w:tcPr>
            <w:tcW w:w="5760" w:type="dxa"/>
            <w:vAlign w:val="center"/>
          </w:tcPr>
          <w:p w14:paraId="5F15AABA">
            <w:pPr>
              <w:spacing w:before="120" w:after="120"/>
              <w:jc w:val="center"/>
              <w:rPr>
                <w:iCs/>
                <w:szCs w:val="24"/>
              </w:rPr>
            </w:pPr>
            <w:r>
              <w:rPr>
                <w14:ligatures w14:val="standardContextual"/>
              </w:rPr>
              <w:drawing>
                <wp:inline distT="0" distB="0" distL="0" distR="0">
                  <wp:extent cx="1588135" cy="1068070"/>
                  <wp:effectExtent l="0" t="0" r="0"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4"/>
                          <pic:cNvPicPr>
                            <a:picLocks noChangeAspect="1"/>
                          </pic:cNvPicPr>
                        </pic:nvPicPr>
                        <pic:blipFill>
                          <a:blip r:embed="rId34"/>
                          <a:stretch>
                            <a:fillRect/>
                          </a:stretch>
                        </pic:blipFill>
                        <pic:spPr>
                          <a:xfrm>
                            <a:off x="0" y="0"/>
                            <a:ext cx="1588325" cy="1068406"/>
                          </a:xfrm>
                          <a:prstGeom prst="rect">
                            <a:avLst/>
                          </a:prstGeom>
                        </pic:spPr>
                      </pic:pic>
                    </a:graphicData>
                  </a:graphic>
                </wp:inline>
              </w:drawing>
            </w:r>
          </w:p>
        </w:tc>
      </w:tr>
      <w:tr w14:paraId="721B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01CB2959">
            <w:pPr>
              <w:spacing w:before="120" w:after="120"/>
              <w:ind w:firstLine="22"/>
              <w:jc w:val="center"/>
              <w:rPr>
                <w:iCs/>
              </w:rPr>
            </w:pPr>
            <w:r>
              <w:rPr>
                <w:color w:val="000000"/>
              </w:rPr>
              <w:t>25</w:t>
            </w:r>
          </w:p>
        </w:tc>
        <w:tc>
          <w:tcPr>
            <w:tcW w:w="1770" w:type="dxa"/>
            <w:vAlign w:val="center"/>
          </w:tcPr>
          <w:p w14:paraId="69FDF0C1">
            <w:pPr>
              <w:spacing w:before="120" w:after="120"/>
              <w:jc w:val="left"/>
              <w:rPr>
                <w:iCs/>
                <w:szCs w:val="24"/>
              </w:rPr>
            </w:pPr>
            <w:r>
              <w:rPr>
                <w:sz w:val="26"/>
                <w:szCs w:val="26"/>
              </w:rPr>
              <w:t>Sơ đồ tầng</w:t>
            </w:r>
          </w:p>
        </w:tc>
        <w:tc>
          <w:tcPr>
            <w:tcW w:w="5760" w:type="dxa"/>
            <w:vAlign w:val="center"/>
          </w:tcPr>
          <w:p w14:paraId="4E0A0983">
            <w:pPr>
              <w:spacing w:before="120" w:after="120"/>
              <w:jc w:val="center"/>
              <w:rPr>
                <w:iCs/>
                <w:szCs w:val="24"/>
              </w:rPr>
            </w:pPr>
            <w:r>
              <w:rPr>
                <w14:ligatures w14:val="standardContextual"/>
              </w:rPr>
              <w:drawing>
                <wp:inline distT="0" distB="0" distL="0" distR="0">
                  <wp:extent cx="1753235" cy="1165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5"/>
                          <a:stretch>
                            <a:fillRect/>
                          </a:stretch>
                        </pic:blipFill>
                        <pic:spPr>
                          <a:xfrm>
                            <a:off x="0" y="0"/>
                            <a:ext cx="1753235" cy="1165225"/>
                          </a:xfrm>
                          <a:prstGeom prst="rect">
                            <a:avLst/>
                          </a:prstGeom>
                        </pic:spPr>
                      </pic:pic>
                    </a:graphicData>
                  </a:graphic>
                </wp:inline>
              </w:drawing>
            </w:r>
          </w:p>
        </w:tc>
      </w:tr>
      <w:tr w14:paraId="3E76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2C843B37">
            <w:pPr>
              <w:spacing w:before="120" w:after="120"/>
              <w:ind w:firstLine="22"/>
              <w:jc w:val="center"/>
              <w:rPr>
                <w:iCs/>
              </w:rPr>
            </w:pPr>
            <w:r>
              <w:rPr>
                <w:color w:val="000000"/>
              </w:rPr>
              <w:t>26</w:t>
            </w:r>
          </w:p>
        </w:tc>
        <w:tc>
          <w:tcPr>
            <w:tcW w:w="1770" w:type="dxa"/>
            <w:vAlign w:val="center"/>
          </w:tcPr>
          <w:p w14:paraId="67E06ACB">
            <w:pPr>
              <w:spacing w:before="120" w:after="120"/>
              <w:jc w:val="left"/>
              <w:rPr>
                <w:iCs/>
                <w:szCs w:val="24"/>
              </w:rPr>
            </w:pPr>
            <w:r>
              <w:rPr>
                <w:sz w:val="26"/>
                <w:szCs w:val="26"/>
              </w:rPr>
              <w:t>Biển phòng trưởng khoa</w:t>
            </w:r>
          </w:p>
        </w:tc>
        <w:tc>
          <w:tcPr>
            <w:tcW w:w="5760" w:type="dxa"/>
            <w:vAlign w:val="center"/>
          </w:tcPr>
          <w:p w14:paraId="276DE855">
            <w:pPr>
              <w:spacing w:before="120" w:after="120"/>
              <w:jc w:val="center"/>
              <w:rPr>
                <w:iCs/>
                <w:szCs w:val="24"/>
              </w:rPr>
            </w:pPr>
            <w:r>
              <w:rPr>
                <w14:ligatures w14:val="standardContextual"/>
              </w:rPr>
              <w:drawing>
                <wp:inline distT="0" distB="0" distL="0" distR="0">
                  <wp:extent cx="1457325" cy="953135"/>
                  <wp:effectExtent l="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36"/>
                          <a:stretch>
                            <a:fillRect/>
                          </a:stretch>
                        </pic:blipFill>
                        <pic:spPr>
                          <a:xfrm>
                            <a:off x="0" y="0"/>
                            <a:ext cx="1485018" cy="971389"/>
                          </a:xfrm>
                          <a:prstGeom prst="rect">
                            <a:avLst/>
                          </a:prstGeom>
                        </pic:spPr>
                      </pic:pic>
                    </a:graphicData>
                  </a:graphic>
                </wp:inline>
              </w:drawing>
            </w:r>
          </w:p>
        </w:tc>
      </w:tr>
      <w:tr w14:paraId="5116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6C7CC1DD">
            <w:pPr>
              <w:spacing w:before="120" w:after="120"/>
              <w:ind w:firstLine="22"/>
              <w:jc w:val="center"/>
              <w:rPr>
                <w:color w:val="000000"/>
              </w:rPr>
            </w:pPr>
            <w:r>
              <w:rPr>
                <w:color w:val="000000"/>
              </w:rPr>
              <w:t>27</w:t>
            </w:r>
          </w:p>
        </w:tc>
        <w:tc>
          <w:tcPr>
            <w:tcW w:w="1770" w:type="dxa"/>
            <w:vAlign w:val="center"/>
          </w:tcPr>
          <w:p w14:paraId="09263A24">
            <w:pPr>
              <w:spacing w:before="120" w:after="120"/>
              <w:jc w:val="left"/>
              <w:rPr>
                <w:iCs/>
                <w:szCs w:val="24"/>
              </w:rPr>
            </w:pPr>
            <w:r>
              <w:rPr>
                <w:sz w:val="26"/>
                <w:szCs w:val="26"/>
              </w:rPr>
              <w:t>Biển cầu thang bộ</w:t>
            </w:r>
          </w:p>
        </w:tc>
        <w:tc>
          <w:tcPr>
            <w:tcW w:w="5760" w:type="dxa"/>
            <w:vAlign w:val="center"/>
          </w:tcPr>
          <w:p w14:paraId="1A913E7D">
            <w:pPr>
              <w:spacing w:before="120" w:after="120"/>
              <w:jc w:val="center"/>
              <w:rPr>
                <w:iCs/>
                <w:szCs w:val="24"/>
              </w:rPr>
            </w:pPr>
            <w:r>
              <w:rPr>
                <w14:ligatures w14:val="standardContextual"/>
              </w:rPr>
              <w:drawing>
                <wp:inline distT="0" distB="0" distL="0" distR="0">
                  <wp:extent cx="1156335" cy="808355"/>
                  <wp:effectExtent l="0" t="0" r="571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a:stretch>
                            <a:fillRect/>
                          </a:stretch>
                        </pic:blipFill>
                        <pic:spPr>
                          <a:xfrm>
                            <a:off x="0" y="0"/>
                            <a:ext cx="1156608" cy="808686"/>
                          </a:xfrm>
                          <a:prstGeom prst="rect">
                            <a:avLst/>
                          </a:prstGeom>
                        </pic:spPr>
                      </pic:pic>
                    </a:graphicData>
                  </a:graphic>
                </wp:inline>
              </w:drawing>
            </w:r>
          </w:p>
        </w:tc>
      </w:tr>
      <w:tr w14:paraId="45CB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7955D347">
            <w:pPr>
              <w:spacing w:before="120" w:after="120"/>
              <w:ind w:firstLine="22"/>
              <w:jc w:val="center"/>
              <w:rPr>
                <w:color w:val="000000"/>
              </w:rPr>
            </w:pPr>
            <w:r>
              <w:rPr>
                <w:color w:val="000000"/>
              </w:rPr>
              <w:t>28</w:t>
            </w:r>
          </w:p>
        </w:tc>
        <w:tc>
          <w:tcPr>
            <w:tcW w:w="1770" w:type="dxa"/>
            <w:vAlign w:val="center"/>
          </w:tcPr>
          <w:p w14:paraId="6C97564F">
            <w:pPr>
              <w:spacing w:before="120" w:after="120"/>
              <w:jc w:val="left"/>
              <w:rPr>
                <w:iCs/>
                <w:szCs w:val="24"/>
              </w:rPr>
            </w:pPr>
            <w:r>
              <w:rPr>
                <w:sz w:val="26"/>
                <w:szCs w:val="26"/>
              </w:rPr>
              <w:t>Biển tầng thang bộ</w:t>
            </w:r>
          </w:p>
        </w:tc>
        <w:tc>
          <w:tcPr>
            <w:tcW w:w="5760" w:type="dxa"/>
            <w:vAlign w:val="center"/>
          </w:tcPr>
          <w:p w14:paraId="04D6F6EF">
            <w:pPr>
              <w:spacing w:before="120" w:after="120"/>
              <w:jc w:val="center"/>
              <w:rPr>
                <w:iCs/>
                <w:szCs w:val="24"/>
              </w:rPr>
            </w:pPr>
            <w:r>
              <w:rPr>
                <w14:ligatures w14:val="standardContextual"/>
              </w:rPr>
              <w:drawing>
                <wp:inline distT="0" distB="0" distL="0" distR="0">
                  <wp:extent cx="1156335" cy="745490"/>
                  <wp:effectExtent l="0" t="0" r="5715" b="0"/>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38"/>
                          <a:stretch>
                            <a:fillRect/>
                          </a:stretch>
                        </pic:blipFill>
                        <pic:spPr>
                          <a:xfrm>
                            <a:off x="0" y="0"/>
                            <a:ext cx="1156607" cy="745629"/>
                          </a:xfrm>
                          <a:prstGeom prst="rect">
                            <a:avLst/>
                          </a:prstGeom>
                        </pic:spPr>
                      </pic:pic>
                    </a:graphicData>
                  </a:graphic>
                </wp:inline>
              </w:drawing>
            </w:r>
          </w:p>
        </w:tc>
      </w:tr>
      <w:tr w14:paraId="0EAE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3A78ECDA">
            <w:pPr>
              <w:spacing w:before="120" w:after="120"/>
              <w:ind w:firstLine="22"/>
              <w:jc w:val="center"/>
              <w:rPr>
                <w:color w:val="000000"/>
              </w:rPr>
            </w:pPr>
            <w:r>
              <w:rPr>
                <w:color w:val="000000"/>
              </w:rPr>
              <w:t>29</w:t>
            </w:r>
          </w:p>
        </w:tc>
        <w:tc>
          <w:tcPr>
            <w:tcW w:w="1770" w:type="dxa"/>
            <w:vAlign w:val="center"/>
          </w:tcPr>
          <w:p w14:paraId="4C2334E5">
            <w:pPr>
              <w:spacing w:before="120" w:after="120"/>
              <w:jc w:val="left"/>
              <w:rPr>
                <w:iCs/>
                <w:szCs w:val="24"/>
              </w:rPr>
            </w:pPr>
            <w:r>
              <w:rPr>
                <w:sz w:val="26"/>
                <w:szCs w:val="26"/>
              </w:rPr>
              <w:t>Biển hướng tầng thang bộ</w:t>
            </w:r>
          </w:p>
        </w:tc>
        <w:tc>
          <w:tcPr>
            <w:tcW w:w="5760" w:type="dxa"/>
            <w:vAlign w:val="center"/>
          </w:tcPr>
          <w:p w14:paraId="7DB11CE4">
            <w:pPr>
              <w:spacing w:before="120" w:after="120"/>
              <w:jc w:val="center"/>
              <w:rPr>
                <w:iCs/>
                <w:szCs w:val="24"/>
              </w:rPr>
            </w:pPr>
            <w:r>
              <w:rPr>
                <w14:ligatures w14:val="standardContextual"/>
              </w:rPr>
              <w:drawing>
                <wp:inline distT="0" distB="0" distL="0" distR="0">
                  <wp:extent cx="1156335" cy="734695"/>
                  <wp:effectExtent l="0" t="0" r="5715" b="8255"/>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39"/>
                          <a:stretch>
                            <a:fillRect/>
                          </a:stretch>
                        </pic:blipFill>
                        <pic:spPr>
                          <a:xfrm>
                            <a:off x="0" y="0"/>
                            <a:ext cx="1156606" cy="734787"/>
                          </a:xfrm>
                          <a:prstGeom prst="rect">
                            <a:avLst/>
                          </a:prstGeom>
                        </pic:spPr>
                      </pic:pic>
                    </a:graphicData>
                  </a:graphic>
                </wp:inline>
              </w:drawing>
            </w:r>
          </w:p>
        </w:tc>
      </w:tr>
      <w:tr w14:paraId="55F3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4DCCC801">
            <w:pPr>
              <w:spacing w:before="120" w:after="120"/>
              <w:ind w:firstLine="22"/>
              <w:jc w:val="center"/>
              <w:rPr>
                <w:color w:val="000000"/>
              </w:rPr>
            </w:pPr>
            <w:r>
              <w:rPr>
                <w:color w:val="000000"/>
              </w:rPr>
              <w:t>30</w:t>
            </w:r>
          </w:p>
        </w:tc>
        <w:tc>
          <w:tcPr>
            <w:tcW w:w="1770" w:type="dxa"/>
            <w:vAlign w:val="center"/>
          </w:tcPr>
          <w:p w14:paraId="44219C24">
            <w:pPr>
              <w:spacing w:before="120" w:after="120"/>
              <w:jc w:val="left"/>
              <w:rPr>
                <w:iCs/>
                <w:szCs w:val="24"/>
              </w:rPr>
            </w:pPr>
            <w:r>
              <w:rPr>
                <w:sz w:val="26"/>
                <w:szCs w:val="26"/>
              </w:rPr>
              <w:t>Biển số thang máy</w:t>
            </w:r>
          </w:p>
        </w:tc>
        <w:tc>
          <w:tcPr>
            <w:tcW w:w="5760" w:type="dxa"/>
            <w:vAlign w:val="center"/>
          </w:tcPr>
          <w:p w14:paraId="586FD962">
            <w:pPr>
              <w:spacing w:before="120" w:after="120"/>
              <w:jc w:val="center"/>
              <w:rPr>
                <w:iCs/>
                <w:szCs w:val="24"/>
              </w:rPr>
            </w:pPr>
            <w:r>
              <w:rPr>
                <w14:ligatures w14:val="standardContextual"/>
              </w:rPr>
              <w:drawing>
                <wp:inline distT="0" distB="0" distL="0" distR="0">
                  <wp:extent cx="1209675" cy="7245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0"/>
                          <a:stretch>
                            <a:fillRect/>
                          </a:stretch>
                        </pic:blipFill>
                        <pic:spPr>
                          <a:xfrm>
                            <a:off x="0" y="0"/>
                            <a:ext cx="1218799" cy="730132"/>
                          </a:xfrm>
                          <a:prstGeom prst="rect">
                            <a:avLst/>
                          </a:prstGeom>
                        </pic:spPr>
                      </pic:pic>
                    </a:graphicData>
                  </a:graphic>
                </wp:inline>
              </w:drawing>
            </w:r>
          </w:p>
        </w:tc>
      </w:tr>
      <w:tr w14:paraId="16C3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55" w:type="dxa"/>
            <w:vAlign w:val="center"/>
          </w:tcPr>
          <w:p w14:paraId="761BB3F8">
            <w:pPr>
              <w:spacing w:before="120" w:after="120"/>
              <w:ind w:firstLine="22"/>
              <w:jc w:val="center"/>
              <w:rPr>
                <w:color w:val="000000"/>
              </w:rPr>
            </w:pPr>
            <w:r>
              <w:rPr>
                <w:color w:val="000000"/>
              </w:rPr>
              <w:t>31</w:t>
            </w:r>
          </w:p>
        </w:tc>
        <w:tc>
          <w:tcPr>
            <w:tcW w:w="1770" w:type="dxa"/>
            <w:vAlign w:val="center"/>
          </w:tcPr>
          <w:p w14:paraId="1FD41ABF">
            <w:pPr>
              <w:spacing w:before="120" w:after="120"/>
              <w:jc w:val="left"/>
              <w:rPr>
                <w:iCs/>
                <w:szCs w:val="24"/>
              </w:rPr>
            </w:pPr>
            <w:r>
              <w:rPr>
                <w:sz w:val="26"/>
                <w:szCs w:val="26"/>
              </w:rPr>
              <w:t xml:space="preserve">Biển hiệu tại quầy tiếp đón </w:t>
            </w:r>
          </w:p>
        </w:tc>
        <w:tc>
          <w:tcPr>
            <w:tcW w:w="5760" w:type="dxa"/>
            <w:vAlign w:val="center"/>
          </w:tcPr>
          <w:p w14:paraId="2712C95C">
            <w:pPr>
              <w:spacing w:before="120" w:after="120"/>
              <w:jc w:val="center"/>
              <w:rPr>
                <w:iCs/>
                <w:szCs w:val="24"/>
              </w:rPr>
            </w:pPr>
            <w:r>
              <w:rPr>
                <w:sz w:val="26"/>
                <w:szCs w:val="26"/>
              </w:rPr>
              <w:drawing>
                <wp:inline distT="0" distB="0" distL="0" distR="0">
                  <wp:extent cx="1690370" cy="1040130"/>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1"/>
                          <a:stretch>
                            <a:fillRect/>
                          </a:stretch>
                        </pic:blipFill>
                        <pic:spPr>
                          <a:xfrm>
                            <a:off x="0" y="0"/>
                            <a:ext cx="1700110" cy="1046425"/>
                          </a:xfrm>
                          <a:prstGeom prst="rect">
                            <a:avLst/>
                          </a:prstGeom>
                        </pic:spPr>
                      </pic:pic>
                    </a:graphicData>
                  </a:graphic>
                </wp:inline>
              </w:drawing>
            </w:r>
          </w:p>
        </w:tc>
      </w:tr>
    </w:tbl>
    <w:p w14:paraId="694C18D5">
      <w:pPr>
        <w:spacing w:before="60" w:after="60" w:line="252" w:lineRule="auto"/>
        <w:ind w:firstLine="709"/>
        <w:rPr>
          <w:rStyle w:val="313"/>
          <w:rFonts w:ascii="Times New Roman" w:hAnsi="Times New Roman"/>
          <w:b/>
          <w:sz w:val="28"/>
          <w:szCs w:val="28"/>
        </w:rPr>
      </w:pPr>
    </w:p>
    <w:p w14:paraId="27618816">
      <w:pPr>
        <w:spacing w:before="60" w:after="60" w:line="252" w:lineRule="auto"/>
        <w:ind w:firstLine="709"/>
        <w:rPr>
          <w:rStyle w:val="313"/>
          <w:rFonts w:ascii="Times New Roman" w:hAnsi="Times New Roman"/>
          <w:b/>
          <w:sz w:val="28"/>
          <w:szCs w:val="28"/>
        </w:rPr>
      </w:pPr>
    </w:p>
    <w:p w14:paraId="63AE6C43">
      <w:pPr>
        <w:spacing w:before="60" w:after="60" w:line="252" w:lineRule="auto"/>
        <w:ind w:firstLine="709"/>
        <w:rPr>
          <w:rStyle w:val="313"/>
          <w:rFonts w:ascii="Times New Roman" w:hAnsi="Times New Roman"/>
          <w:b/>
          <w:sz w:val="28"/>
          <w:szCs w:val="28"/>
        </w:rPr>
      </w:pPr>
      <w:r>
        <w:rPr>
          <w:rStyle w:val="313"/>
          <w:rFonts w:ascii="Times New Roman" w:hAnsi="Times New Roman"/>
          <w:b/>
          <w:sz w:val="28"/>
          <w:szCs w:val="28"/>
        </w:rPr>
        <w:t>Phần 2: Nội thất văn phòng nhà C</w:t>
      </w:r>
    </w:p>
    <w:p w14:paraId="357C2FFD">
      <w:pPr>
        <w:spacing w:before="60" w:after="60" w:line="252" w:lineRule="auto"/>
        <w:ind w:firstLine="709"/>
        <w:rPr>
          <w:rStyle w:val="315"/>
        </w:rPr>
      </w:pPr>
      <w:r>
        <w:rPr>
          <w:rStyle w:val="313"/>
          <w:rFonts w:ascii="Times New Roman" w:hAnsi="Times New Roman"/>
          <w:sz w:val="28"/>
          <w:szCs w:val="28"/>
        </w:rPr>
        <w:t>Yêu cầu về thiết kế thể hiện:</w:t>
      </w:r>
      <w:r>
        <w:rPr>
          <w:rStyle w:val="315"/>
        </w:rPr>
        <w:t xml:space="preserve"> </w:t>
      </w:r>
    </w:p>
    <w:p w14:paraId="7849DB18">
      <w:pPr>
        <w:spacing w:before="80" w:after="80" w:line="288" w:lineRule="auto"/>
        <w:ind w:firstLine="709"/>
        <w:rPr>
          <w:sz w:val="28"/>
          <w:szCs w:val="28"/>
          <w:lang w:val="nl-NL"/>
        </w:rPr>
      </w:pPr>
      <w:r>
        <w:rPr>
          <w:sz w:val="28"/>
          <w:szCs w:val="28"/>
          <w:lang w:val="nl-NL"/>
        </w:rPr>
        <w:t xml:space="preserve">- Đối với Quầy tiếp đón hành chính, Quầy tiếp đón, Quầy kệ thuốc, Tủ văn phòng (gỗ), Bàn văn phòng (lấy mẫu), Bàn làm việc, Bàn lục giác, Tủ lavabo, kệ đựng CPU,... (có hình ảnh mẫu kèm theo E-HSMT). </w:t>
      </w:r>
    </w:p>
    <w:p w14:paraId="44670DEC">
      <w:pPr>
        <w:spacing w:before="80" w:after="80" w:line="288" w:lineRule="auto"/>
        <w:ind w:firstLine="709"/>
        <w:rPr>
          <w:sz w:val="28"/>
          <w:szCs w:val="28"/>
          <w:lang w:val="nl-NL"/>
        </w:rPr>
      </w:pPr>
      <w:r>
        <w:rPr>
          <w:sz w:val="28"/>
          <w:szCs w:val="28"/>
          <w:lang w:val="nl-NL"/>
        </w:rPr>
        <w:t xml:space="preserve">+ Nhà thầu căn cứ vào hình ảnh mẫu tham khảo (mẫu) của loại hàng hóa, sản phẩm và nhà thầu đề xuất cấu hình đáp ứng tối thiểu trong Chương V E-HSMT này. </w:t>
      </w:r>
    </w:p>
    <w:p w14:paraId="1EEE991D">
      <w:pPr>
        <w:spacing w:before="60" w:after="60" w:line="252" w:lineRule="auto"/>
        <w:ind w:firstLine="709"/>
        <w:jc w:val="left"/>
        <w:rPr>
          <w:color w:val="000000"/>
          <w:sz w:val="28"/>
          <w:szCs w:val="28"/>
        </w:rPr>
      </w:pPr>
      <w:r>
        <w:rPr>
          <w:sz w:val="28"/>
          <w:szCs w:val="28"/>
          <w:lang w:val="nl-NL"/>
        </w:rPr>
        <w:t>+ Sau khi trúng thầu và các bên ký Hợp đồng, nhà thầu và bộ phận phụ trách của Chủ đầu tư kết hợp với yêu cầu của đơn vị sử dụng (Khoa,Phòng,Trung tâm) trong Bệnh viện để khảo sát vị trí lắp đặt, thống nhất bản vẽ thiết kế trước khi nhà thầu tiến hành thi công lắp đặt.</w:t>
      </w:r>
      <w:r>
        <w:rPr>
          <w:rStyle w:val="315"/>
        </w:rPr>
        <w:t xml:space="preserve"> </w:t>
      </w:r>
    </w:p>
    <w:p w14:paraId="4274ACDA">
      <w:pPr>
        <w:spacing w:after="160" w:line="259" w:lineRule="auto"/>
        <w:ind w:firstLine="709"/>
        <w:rPr>
          <w:sz w:val="28"/>
          <w:szCs w:val="28"/>
          <w:lang w:val="nl-NL"/>
        </w:rPr>
      </w:pPr>
      <w:r>
        <w:rPr>
          <w:sz w:val="28"/>
          <w:szCs w:val="28"/>
          <w:lang w:val="nl-NL"/>
        </w:rPr>
        <w:t>- Đối với hàng hóa ghế, kệ, giường, tủ sắt, bàn giao ban... nhà thầu cung cấp bản vẽ 3D hoặc catalogue, tài liệu kỹ thuật do hãng sản xuất có nội dung chứng minh các đặc tính, thông số kỹ thuật chào thầu; đối với các thiết bị nhập khẩu, ngôn ngữ sử dụng phải là Tiếng Việt hoặc Tiếng Anh.</w:t>
      </w:r>
    </w:p>
    <w:p w14:paraId="1117ED55">
      <w:pPr>
        <w:spacing w:before="60" w:after="60" w:line="252" w:lineRule="auto"/>
        <w:ind w:firstLine="709"/>
        <w:rPr>
          <w:i/>
          <w:sz w:val="28"/>
          <w:szCs w:val="26"/>
          <w:lang w:val="nl-NL"/>
        </w:rPr>
      </w:pPr>
      <w:r>
        <w:rPr>
          <w:i/>
          <w:sz w:val="28"/>
          <w:szCs w:val="26"/>
          <w:lang w:val="nl-NL"/>
        </w:rPr>
        <w:t>Chú ý:</w:t>
      </w:r>
    </w:p>
    <w:p w14:paraId="5DF889F4">
      <w:pPr>
        <w:spacing w:before="60" w:after="60" w:line="252" w:lineRule="auto"/>
        <w:ind w:firstLine="709"/>
        <w:rPr>
          <w:sz w:val="28"/>
          <w:szCs w:val="26"/>
          <w:lang w:val="nl-NL"/>
        </w:rPr>
      </w:pPr>
      <w:r>
        <w:rPr>
          <w:sz w:val="28"/>
          <w:szCs w:val="26"/>
          <w:lang w:val="nl-NL"/>
        </w:rPr>
        <w:t xml:space="preserve">- Model, nhãn hiệu hàng hóa ghi trong E-HSMT ( nếu có) chỉ mang tính chất tham khảo, nhà thầu có thể chào hàng các hàng hóa tính tương đương. Nhà thầu cung cấp các tài liệu để chứng minh hàng hóa chào thầu đáp ứng tất cả các yêu cầu về kỹ thuật nêu trên và lập bảng so sánh tính đáp ứng thông số kỹ thuật giữa hàng hóa chào thầu và thông số kỹ thuật yêu cầu của E-HSMT để bên mời thầu kiểm tra đánh giá E-HSDT. </w:t>
      </w:r>
    </w:p>
    <w:p w14:paraId="22D138B3">
      <w:pPr>
        <w:spacing w:before="60" w:after="60" w:line="252" w:lineRule="auto"/>
        <w:ind w:firstLine="709"/>
        <w:rPr>
          <w:sz w:val="28"/>
          <w:szCs w:val="26"/>
          <w:lang w:val="nl-NL"/>
        </w:rPr>
      </w:pPr>
      <w:r>
        <w:rPr>
          <w:sz w:val="28"/>
          <w:szCs w:val="26"/>
          <w:lang w:val="nl-NL"/>
        </w:rPr>
        <w:t xml:space="preserve">- “Tương đương”: Có đặc tính kỹ thuật tương tự, có tính năng sử dụng, tiêu chuẩn công nghệ và chất lượng hàng hóa là tương đương với đã nêu. Nếu nhà thầu chọn hàng hóa có đặc tính kỹ thuật tương tự, có tính năng sử dụng tiêu chuẩn công nghệ và chất lượng hàng hóa là tương đương với các hàng hóa đã nêu ở trên để chào hàng thì phải ghi rõ nhãn hiệu, model, nơi sản xuất, xuất xứ hàng hóa đó trong E-HSDT và phải có tài liệu chứng minh là tương đương đã nêu trong E-HSMT để bên mời thầu kiểm tra đánh giá E-HSDT. </w:t>
      </w:r>
    </w:p>
    <w:tbl>
      <w:tblPr>
        <w:tblStyle w:val="12"/>
        <w:tblW w:w="9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2430"/>
        <w:gridCol w:w="5760"/>
      </w:tblGrid>
      <w:tr w14:paraId="1B5E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blHeader/>
        </w:trPr>
        <w:tc>
          <w:tcPr>
            <w:tcW w:w="895" w:type="dxa"/>
            <w:shd w:val="clear" w:color="auto" w:fill="E2EFD9" w:themeFill="accent6" w:themeFillTint="33"/>
            <w:vAlign w:val="center"/>
          </w:tcPr>
          <w:p w14:paraId="4F78E373">
            <w:pPr>
              <w:spacing w:before="120" w:after="120"/>
              <w:jc w:val="center"/>
              <w:rPr>
                <w:b/>
                <w:iCs/>
              </w:rPr>
            </w:pPr>
            <w:r>
              <w:rPr>
                <w:b/>
                <w:iCs/>
              </w:rPr>
              <w:t>Hạng mục số</w:t>
            </w:r>
          </w:p>
        </w:tc>
        <w:tc>
          <w:tcPr>
            <w:tcW w:w="2430" w:type="dxa"/>
            <w:shd w:val="clear" w:color="auto" w:fill="E2EFD9" w:themeFill="accent6" w:themeFillTint="33"/>
            <w:vAlign w:val="center"/>
          </w:tcPr>
          <w:p w14:paraId="6BBA83FF">
            <w:pPr>
              <w:spacing w:before="120" w:after="120"/>
              <w:jc w:val="center"/>
              <w:rPr>
                <w:b/>
                <w:iCs/>
              </w:rPr>
            </w:pPr>
            <w:r>
              <w:rPr>
                <w:b/>
                <w:iCs/>
              </w:rPr>
              <w:t>Tên hàng hóa/dịch vụ liên quan</w:t>
            </w:r>
          </w:p>
        </w:tc>
        <w:tc>
          <w:tcPr>
            <w:tcW w:w="5760" w:type="dxa"/>
            <w:shd w:val="clear" w:color="auto" w:fill="E2EFD9" w:themeFill="accent6" w:themeFillTint="33"/>
            <w:vAlign w:val="center"/>
          </w:tcPr>
          <w:p w14:paraId="6D66C9F1">
            <w:pPr>
              <w:spacing w:before="120" w:after="120"/>
              <w:jc w:val="center"/>
              <w:rPr>
                <w:b/>
                <w:iCs/>
              </w:rPr>
            </w:pPr>
            <w:r>
              <w:rPr>
                <w:b/>
                <w:iCs/>
              </w:rPr>
              <w:t>Hình ảnh tham khảo</w:t>
            </w:r>
          </w:p>
        </w:tc>
      </w:tr>
      <w:tr w14:paraId="78FC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blHeader/>
        </w:trPr>
        <w:tc>
          <w:tcPr>
            <w:tcW w:w="895" w:type="dxa"/>
          </w:tcPr>
          <w:p w14:paraId="01A24351">
            <w:pPr>
              <w:spacing w:before="120" w:after="120"/>
              <w:jc w:val="center"/>
              <w:rPr>
                <w:i/>
                <w:iCs/>
              </w:rPr>
            </w:pPr>
            <w:r>
              <w:rPr>
                <w:i/>
                <w:iCs/>
              </w:rPr>
              <w:t>[ghi số hiệu hạng mục]</w:t>
            </w:r>
          </w:p>
        </w:tc>
        <w:tc>
          <w:tcPr>
            <w:tcW w:w="2430" w:type="dxa"/>
          </w:tcPr>
          <w:p w14:paraId="48FD3804">
            <w:pPr>
              <w:spacing w:before="120" w:after="120"/>
              <w:jc w:val="center"/>
              <w:rPr>
                <w:i/>
                <w:iCs/>
              </w:rPr>
            </w:pPr>
            <w:r>
              <w:rPr>
                <w:i/>
                <w:iCs/>
              </w:rPr>
              <w:t>[ghi tên]</w:t>
            </w:r>
          </w:p>
        </w:tc>
        <w:tc>
          <w:tcPr>
            <w:tcW w:w="5760" w:type="dxa"/>
          </w:tcPr>
          <w:p w14:paraId="355AD722">
            <w:pPr>
              <w:spacing w:before="120" w:after="120"/>
              <w:jc w:val="center"/>
              <w:rPr>
                <w:i/>
                <w:iCs/>
              </w:rPr>
            </w:pPr>
            <w:r>
              <w:rPr>
                <w:i/>
                <w:iCs/>
              </w:rPr>
              <w:t>[ghi thông số kỹ thuật và các tiêu chuẩn]</w:t>
            </w:r>
          </w:p>
        </w:tc>
      </w:tr>
      <w:tr w14:paraId="4CF0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7756B0B2">
            <w:pPr>
              <w:spacing w:before="120" w:after="120"/>
              <w:ind w:firstLine="22"/>
              <w:jc w:val="center"/>
              <w:rPr>
                <w:iCs/>
              </w:rPr>
            </w:pPr>
            <w:r>
              <w:rPr>
                <w:color w:val="000000"/>
              </w:rPr>
              <w:t>1</w:t>
            </w:r>
          </w:p>
        </w:tc>
        <w:tc>
          <w:tcPr>
            <w:tcW w:w="2430" w:type="dxa"/>
            <w:vAlign w:val="center"/>
          </w:tcPr>
          <w:p w14:paraId="53C5955F">
            <w:pPr>
              <w:spacing w:before="120" w:after="120"/>
              <w:rPr>
                <w:iCs/>
                <w:szCs w:val="24"/>
              </w:rPr>
            </w:pPr>
            <w:r>
              <w:rPr>
                <w:szCs w:val="24"/>
              </w:rPr>
              <w:t xml:space="preserve">Quầy tiếp đón hành chính </w:t>
            </w:r>
          </w:p>
        </w:tc>
        <w:tc>
          <w:tcPr>
            <w:tcW w:w="5760" w:type="dxa"/>
            <w:vAlign w:val="center"/>
          </w:tcPr>
          <w:p w14:paraId="5E004F54">
            <w:pPr>
              <w:spacing w:before="120" w:after="120"/>
              <w:jc w:val="center"/>
              <w:rPr>
                <w:iCs/>
                <w:szCs w:val="24"/>
              </w:rPr>
            </w:pPr>
            <w:r>
              <w:rPr>
                <w14:ligatures w14:val="standardContextual"/>
              </w:rPr>
              <w:drawing>
                <wp:inline distT="0" distB="0" distL="0" distR="0">
                  <wp:extent cx="2164715" cy="1793240"/>
                  <wp:effectExtent l="0" t="0" r="6985"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5762" cy="1818555"/>
                          </a:xfrm>
                          <a:prstGeom prst="rect">
                            <a:avLst/>
                          </a:prstGeom>
                        </pic:spPr>
                      </pic:pic>
                    </a:graphicData>
                  </a:graphic>
                </wp:inline>
              </w:drawing>
            </w:r>
          </w:p>
        </w:tc>
      </w:tr>
      <w:tr w14:paraId="0534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3307D18D">
            <w:pPr>
              <w:spacing w:before="120" w:after="120"/>
              <w:ind w:firstLine="22"/>
              <w:jc w:val="center"/>
              <w:rPr>
                <w:iCs/>
              </w:rPr>
            </w:pPr>
            <w:r>
              <w:rPr>
                <w:color w:val="000000"/>
              </w:rPr>
              <w:t>2</w:t>
            </w:r>
          </w:p>
        </w:tc>
        <w:tc>
          <w:tcPr>
            <w:tcW w:w="2430" w:type="dxa"/>
            <w:vAlign w:val="center"/>
          </w:tcPr>
          <w:p w14:paraId="4DFEE13E">
            <w:pPr>
              <w:spacing w:before="120" w:after="120"/>
              <w:rPr>
                <w:iCs/>
                <w:szCs w:val="24"/>
              </w:rPr>
            </w:pPr>
            <w:r>
              <w:rPr>
                <w:szCs w:val="24"/>
              </w:rPr>
              <w:t>Quầy tiếp đón</w:t>
            </w:r>
          </w:p>
        </w:tc>
        <w:tc>
          <w:tcPr>
            <w:tcW w:w="5760" w:type="dxa"/>
            <w:vAlign w:val="center"/>
          </w:tcPr>
          <w:p w14:paraId="4613EB41">
            <w:pPr>
              <w:spacing w:before="120" w:after="120"/>
              <w:jc w:val="center"/>
              <w:rPr>
                <w:iCs/>
                <w:szCs w:val="24"/>
              </w:rPr>
            </w:pPr>
            <w:r>
              <w:rPr>
                <w14:ligatures w14:val="standardContextual"/>
              </w:rPr>
              <w:drawing>
                <wp:inline distT="0" distB="0" distL="0" distR="0">
                  <wp:extent cx="2143125" cy="1939925"/>
                  <wp:effectExtent l="0" t="0" r="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4326" cy="1968759"/>
                          </a:xfrm>
                          <a:prstGeom prst="rect">
                            <a:avLst/>
                          </a:prstGeom>
                        </pic:spPr>
                      </pic:pic>
                    </a:graphicData>
                  </a:graphic>
                </wp:inline>
              </w:drawing>
            </w:r>
          </w:p>
        </w:tc>
      </w:tr>
      <w:tr w14:paraId="7634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5A83C176">
            <w:pPr>
              <w:spacing w:before="120" w:after="120"/>
              <w:ind w:firstLine="22"/>
              <w:jc w:val="center"/>
              <w:rPr>
                <w:iCs/>
              </w:rPr>
            </w:pPr>
            <w:r>
              <w:rPr>
                <w:color w:val="000000"/>
              </w:rPr>
              <w:t>3</w:t>
            </w:r>
          </w:p>
        </w:tc>
        <w:tc>
          <w:tcPr>
            <w:tcW w:w="2430" w:type="dxa"/>
            <w:vAlign w:val="center"/>
          </w:tcPr>
          <w:p w14:paraId="0BA1A52F">
            <w:pPr>
              <w:spacing w:before="120" w:after="120"/>
              <w:rPr>
                <w:iCs/>
                <w:szCs w:val="24"/>
              </w:rPr>
            </w:pPr>
            <w:r>
              <w:rPr>
                <w:szCs w:val="24"/>
              </w:rPr>
              <w:t>Quầy kệ thuốc</w:t>
            </w:r>
          </w:p>
        </w:tc>
        <w:tc>
          <w:tcPr>
            <w:tcW w:w="5760" w:type="dxa"/>
            <w:vAlign w:val="center"/>
          </w:tcPr>
          <w:p w14:paraId="534AC355">
            <w:pPr>
              <w:spacing w:before="120" w:after="120"/>
              <w:jc w:val="center"/>
              <w:rPr>
                <w:iCs/>
                <w:szCs w:val="24"/>
              </w:rPr>
            </w:pPr>
            <w:r>
              <w:rPr>
                <w:color w:val="000000"/>
                <w:szCs w:val="24"/>
                <w14:ligatures w14:val="standardContextual"/>
              </w:rPr>
              <w:drawing>
                <wp:inline distT="0" distB="0" distL="0" distR="0">
                  <wp:extent cx="2192655" cy="13887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4204" cy="1421330"/>
                          </a:xfrm>
                          <a:prstGeom prst="rect">
                            <a:avLst/>
                          </a:prstGeom>
                        </pic:spPr>
                      </pic:pic>
                    </a:graphicData>
                  </a:graphic>
                </wp:inline>
              </w:drawing>
            </w:r>
          </w:p>
        </w:tc>
      </w:tr>
      <w:tr w14:paraId="08FD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52E3AEB7">
            <w:pPr>
              <w:spacing w:before="120" w:after="120"/>
              <w:ind w:firstLine="22"/>
              <w:jc w:val="center"/>
              <w:rPr>
                <w:iCs/>
              </w:rPr>
            </w:pPr>
            <w:r>
              <w:rPr>
                <w:color w:val="000000"/>
              </w:rPr>
              <w:t>4</w:t>
            </w:r>
          </w:p>
        </w:tc>
        <w:tc>
          <w:tcPr>
            <w:tcW w:w="2430" w:type="dxa"/>
            <w:vAlign w:val="center"/>
          </w:tcPr>
          <w:p w14:paraId="03B286F7">
            <w:pPr>
              <w:spacing w:before="120" w:after="120"/>
              <w:rPr>
                <w:iCs/>
                <w:szCs w:val="24"/>
              </w:rPr>
            </w:pPr>
            <w:r>
              <w:rPr>
                <w:szCs w:val="24"/>
              </w:rPr>
              <w:t>Tủ văn phòng (treo)</w:t>
            </w:r>
          </w:p>
        </w:tc>
        <w:tc>
          <w:tcPr>
            <w:tcW w:w="5760" w:type="dxa"/>
            <w:vAlign w:val="center"/>
          </w:tcPr>
          <w:p w14:paraId="72F05518">
            <w:pPr>
              <w:spacing w:before="120" w:after="120"/>
              <w:jc w:val="center"/>
              <w:rPr>
                <w:iCs/>
                <w:szCs w:val="24"/>
              </w:rPr>
            </w:pPr>
            <w:r>
              <w:rPr>
                <w:szCs w:val="24"/>
              </w:rPr>
              <w:drawing>
                <wp:inline distT="0" distB="0" distL="0" distR="0">
                  <wp:extent cx="1915795" cy="1558290"/>
                  <wp:effectExtent l="0" t="0" r="825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5"/>
                          <a:stretch>
                            <a:fillRect/>
                          </a:stretch>
                        </pic:blipFill>
                        <pic:spPr>
                          <a:xfrm>
                            <a:off x="0" y="0"/>
                            <a:ext cx="1944299" cy="1581670"/>
                          </a:xfrm>
                          <a:prstGeom prst="rect">
                            <a:avLst/>
                          </a:prstGeom>
                        </pic:spPr>
                      </pic:pic>
                    </a:graphicData>
                  </a:graphic>
                </wp:inline>
              </w:drawing>
            </w:r>
          </w:p>
        </w:tc>
      </w:tr>
      <w:tr w14:paraId="44B2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7DB43611">
            <w:pPr>
              <w:spacing w:before="120" w:after="120"/>
              <w:ind w:firstLine="22"/>
              <w:jc w:val="center"/>
              <w:rPr>
                <w:iCs/>
              </w:rPr>
            </w:pPr>
            <w:r>
              <w:rPr>
                <w:color w:val="000000"/>
              </w:rPr>
              <w:t>5</w:t>
            </w:r>
          </w:p>
        </w:tc>
        <w:tc>
          <w:tcPr>
            <w:tcW w:w="2430" w:type="dxa"/>
            <w:vAlign w:val="center"/>
          </w:tcPr>
          <w:p w14:paraId="058B21EA">
            <w:pPr>
              <w:spacing w:before="120" w:after="120"/>
              <w:rPr>
                <w:iCs/>
                <w:szCs w:val="24"/>
              </w:rPr>
            </w:pPr>
            <w:r>
              <w:rPr>
                <w:szCs w:val="24"/>
              </w:rPr>
              <w:t>Bàn làm việc</w:t>
            </w:r>
          </w:p>
        </w:tc>
        <w:tc>
          <w:tcPr>
            <w:tcW w:w="5760" w:type="dxa"/>
            <w:vAlign w:val="center"/>
          </w:tcPr>
          <w:p w14:paraId="45A0CBAC">
            <w:pPr>
              <w:spacing w:before="120" w:after="120"/>
              <w:jc w:val="center"/>
              <w:rPr>
                <w:iCs/>
                <w:szCs w:val="24"/>
              </w:rPr>
            </w:pPr>
            <w:r>
              <w:rPr>
                <w:szCs w:val="24"/>
                <w14:ligatures w14:val="standardContextual"/>
              </w:rPr>
              <w:drawing>
                <wp:inline distT="0" distB="0" distL="0" distR="0">
                  <wp:extent cx="1796415" cy="970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7722" cy="1046290"/>
                          </a:xfrm>
                          <a:prstGeom prst="rect">
                            <a:avLst/>
                          </a:prstGeom>
                        </pic:spPr>
                      </pic:pic>
                    </a:graphicData>
                  </a:graphic>
                </wp:inline>
              </w:drawing>
            </w:r>
          </w:p>
        </w:tc>
      </w:tr>
      <w:tr w14:paraId="55E1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0CD1445E">
            <w:pPr>
              <w:spacing w:before="120" w:after="120"/>
              <w:ind w:firstLine="22"/>
              <w:jc w:val="center"/>
              <w:rPr>
                <w:iCs/>
              </w:rPr>
            </w:pPr>
            <w:r>
              <w:rPr>
                <w:color w:val="000000"/>
              </w:rPr>
              <w:t>6</w:t>
            </w:r>
          </w:p>
        </w:tc>
        <w:tc>
          <w:tcPr>
            <w:tcW w:w="2430" w:type="dxa"/>
            <w:vAlign w:val="center"/>
          </w:tcPr>
          <w:p w14:paraId="53387E99">
            <w:pPr>
              <w:spacing w:before="120" w:after="120"/>
              <w:rPr>
                <w:iCs/>
                <w:szCs w:val="24"/>
              </w:rPr>
            </w:pPr>
            <w:r>
              <w:rPr>
                <w:szCs w:val="24"/>
              </w:rPr>
              <w:t>Bàn giao ban</w:t>
            </w:r>
          </w:p>
        </w:tc>
        <w:tc>
          <w:tcPr>
            <w:tcW w:w="5760" w:type="dxa"/>
            <w:vAlign w:val="center"/>
          </w:tcPr>
          <w:p w14:paraId="395D931E">
            <w:pPr>
              <w:spacing w:before="120" w:after="120"/>
              <w:jc w:val="center"/>
              <w:rPr>
                <w:iCs/>
                <w:szCs w:val="24"/>
              </w:rPr>
            </w:pPr>
            <w:r>
              <w:rPr>
                <w:szCs w:val="24"/>
              </w:rPr>
              <w:drawing>
                <wp:inline distT="0" distB="0" distL="0" distR="0">
                  <wp:extent cx="1584960" cy="1067435"/>
                  <wp:effectExtent l="0" t="0" r="0" b="0"/>
                  <wp:docPr id="43" name="Picture 43" descr="D:\Công việc\2026\HCQT\4. Nội thất nhà C\Bản vẽ mẫu\BẢN VẼ NỘI THẤT VP\Mẫu bàn\BV.NT.BG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Công việc\2026\HCQT\4. Nội thất nhà C\Bản vẽ mẫu\BẢN VẼ NỘI THẤT VP\Mẫu bàn\BV.NT.BGB.1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28583" cy="1096497"/>
                          </a:xfrm>
                          <a:prstGeom prst="rect">
                            <a:avLst/>
                          </a:prstGeom>
                          <a:noFill/>
                          <a:ln>
                            <a:noFill/>
                          </a:ln>
                        </pic:spPr>
                      </pic:pic>
                    </a:graphicData>
                  </a:graphic>
                </wp:inline>
              </w:drawing>
            </w:r>
          </w:p>
        </w:tc>
      </w:tr>
      <w:tr w14:paraId="3697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4E2CC25C">
            <w:pPr>
              <w:spacing w:before="120" w:after="120"/>
              <w:ind w:firstLine="22"/>
              <w:jc w:val="center"/>
              <w:rPr>
                <w:iCs/>
              </w:rPr>
            </w:pPr>
            <w:r>
              <w:rPr>
                <w:color w:val="000000"/>
              </w:rPr>
              <w:t>7</w:t>
            </w:r>
          </w:p>
        </w:tc>
        <w:tc>
          <w:tcPr>
            <w:tcW w:w="2430" w:type="dxa"/>
            <w:vAlign w:val="center"/>
          </w:tcPr>
          <w:p w14:paraId="26292E1F">
            <w:pPr>
              <w:spacing w:before="120" w:after="120"/>
              <w:rPr>
                <w:iCs/>
                <w:szCs w:val="24"/>
              </w:rPr>
            </w:pPr>
            <w:r>
              <w:rPr>
                <w:szCs w:val="24"/>
              </w:rPr>
              <w:t>Ghế văn phòng (trưởng khoa)</w:t>
            </w:r>
          </w:p>
        </w:tc>
        <w:tc>
          <w:tcPr>
            <w:tcW w:w="5760" w:type="dxa"/>
          </w:tcPr>
          <w:p w14:paraId="14DB27EB">
            <w:pPr>
              <w:spacing w:before="120" w:after="120"/>
              <w:jc w:val="center"/>
              <w:rPr>
                <w:iCs/>
                <w:szCs w:val="24"/>
              </w:rPr>
            </w:pPr>
            <w:r>
              <w:rPr>
                <w:szCs w:val="24"/>
              </w:rPr>
              <w:drawing>
                <wp:inline distT="0" distB="0" distL="0" distR="0">
                  <wp:extent cx="1327785" cy="1725295"/>
                  <wp:effectExtent l="0" t="0" r="5715" b="8255"/>
                  <wp:docPr id="42" name="Picture 42" descr="D:\Công việc\2026\HCQT\4. Nội thất nhà C\Bản vẽ mẫu\BẢN VẼ NỘI THẤT VP\Mẫu ghê\BV.NT.GV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Công việc\2026\HCQT\4. Nội thất nhà C\Bản vẽ mẫu\BẢN VẼ NỘI THẤT VP\Mẫu ghê\BV.NT.GVP.1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327785" cy="1725295"/>
                          </a:xfrm>
                          <a:prstGeom prst="rect">
                            <a:avLst/>
                          </a:prstGeom>
                          <a:noFill/>
                          <a:ln>
                            <a:noFill/>
                          </a:ln>
                        </pic:spPr>
                      </pic:pic>
                    </a:graphicData>
                  </a:graphic>
                </wp:inline>
              </w:drawing>
            </w:r>
          </w:p>
        </w:tc>
      </w:tr>
      <w:tr w14:paraId="12A9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5C22A388">
            <w:pPr>
              <w:spacing w:before="120" w:after="120"/>
              <w:ind w:firstLine="22"/>
              <w:jc w:val="center"/>
              <w:rPr>
                <w:iCs/>
              </w:rPr>
            </w:pPr>
            <w:r>
              <w:rPr>
                <w:color w:val="000000"/>
              </w:rPr>
              <w:t>8</w:t>
            </w:r>
          </w:p>
        </w:tc>
        <w:tc>
          <w:tcPr>
            <w:tcW w:w="2430" w:type="dxa"/>
            <w:vAlign w:val="center"/>
          </w:tcPr>
          <w:p w14:paraId="37E8716C">
            <w:pPr>
              <w:spacing w:before="120" w:after="120"/>
              <w:rPr>
                <w:iCs/>
                <w:szCs w:val="24"/>
              </w:rPr>
            </w:pPr>
            <w:r>
              <w:rPr>
                <w:szCs w:val="24"/>
              </w:rPr>
              <w:t>Ghế văn phòng</w:t>
            </w:r>
          </w:p>
        </w:tc>
        <w:tc>
          <w:tcPr>
            <w:tcW w:w="5760" w:type="dxa"/>
          </w:tcPr>
          <w:p w14:paraId="6B540DFB">
            <w:pPr>
              <w:spacing w:before="120" w:after="120"/>
              <w:jc w:val="center"/>
              <w:rPr>
                <w:iCs/>
                <w:szCs w:val="24"/>
              </w:rPr>
            </w:pPr>
            <w:r>
              <w:rPr>
                <w:szCs w:val="24"/>
              </w:rPr>
              <w:drawing>
                <wp:inline distT="0" distB="0" distL="0" distR="0">
                  <wp:extent cx="1693545" cy="1693545"/>
                  <wp:effectExtent l="0" t="0" r="1905" b="1905"/>
                  <wp:docPr id="44" name="Picture 44" descr="D:\Công việc\2026\HCQT\4. Nội thất nhà C\Bản vẽ mẫu\BẢN VẼ NỘI THẤT VP\Mẫu ghê\BV.NT.GN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Công việc\2026\HCQT\4. Nội thất nhà C\Bản vẽ mẫu\BẢN VẼ NỘI THẤT VP\Mẫu ghê\BV.NT.GNV.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2519" cy="1702519"/>
                          </a:xfrm>
                          <a:prstGeom prst="rect">
                            <a:avLst/>
                          </a:prstGeom>
                          <a:noFill/>
                          <a:ln>
                            <a:noFill/>
                          </a:ln>
                        </pic:spPr>
                      </pic:pic>
                    </a:graphicData>
                  </a:graphic>
                </wp:inline>
              </w:drawing>
            </w:r>
          </w:p>
        </w:tc>
      </w:tr>
      <w:tr w14:paraId="49C8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009E3CC1">
            <w:pPr>
              <w:spacing w:before="120" w:after="120"/>
              <w:ind w:firstLine="22"/>
              <w:jc w:val="center"/>
              <w:rPr>
                <w:iCs/>
              </w:rPr>
            </w:pPr>
            <w:r>
              <w:rPr>
                <w:color w:val="000000"/>
              </w:rPr>
              <w:t>9</w:t>
            </w:r>
          </w:p>
        </w:tc>
        <w:tc>
          <w:tcPr>
            <w:tcW w:w="2430" w:type="dxa"/>
            <w:vAlign w:val="center"/>
          </w:tcPr>
          <w:p w14:paraId="518D6BD0">
            <w:pPr>
              <w:spacing w:before="120" w:after="120"/>
              <w:rPr>
                <w:iCs/>
                <w:szCs w:val="24"/>
              </w:rPr>
            </w:pPr>
            <w:r>
              <w:rPr>
                <w:szCs w:val="24"/>
              </w:rPr>
              <w:t>Ghế chân quỳ (Giao ban)</w:t>
            </w:r>
          </w:p>
        </w:tc>
        <w:tc>
          <w:tcPr>
            <w:tcW w:w="5760" w:type="dxa"/>
          </w:tcPr>
          <w:p w14:paraId="396DF124">
            <w:pPr>
              <w:spacing w:before="120" w:after="120"/>
              <w:jc w:val="center"/>
              <w:rPr>
                <w:iCs/>
                <w:szCs w:val="24"/>
              </w:rPr>
            </w:pPr>
            <w:r>
              <w:rPr>
                <w:szCs w:val="24"/>
              </w:rPr>
              <w:drawing>
                <wp:inline distT="0" distB="0" distL="0" distR="0">
                  <wp:extent cx="1748790" cy="1898015"/>
                  <wp:effectExtent l="0" t="0" r="3810" b="6985"/>
                  <wp:docPr id="47" name="Picture 47" descr="D:\Công việc\2026\HCQT\4. Nội thất nhà C\Bản vẽ mẫu\BẢN VẼ NỘI THẤT VP\Mẫu ghê\BV.NT.G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Công việc\2026\HCQT\4. Nội thất nhà C\Bản vẽ mẫu\BẢN VẼ NỘI THẤT VP\Mẫu ghê\BV.NT.GK.1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852829" cy="2010968"/>
                          </a:xfrm>
                          <a:prstGeom prst="rect">
                            <a:avLst/>
                          </a:prstGeom>
                          <a:noFill/>
                          <a:ln>
                            <a:noFill/>
                          </a:ln>
                        </pic:spPr>
                      </pic:pic>
                    </a:graphicData>
                  </a:graphic>
                </wp:inline>
              </w:drawing>
            </w:r>
          </w:p>
        </w:tc>
      </w:tr>
      <w:tr w14:paraId="2ADF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37100A5F">
            <w:pPr>
              <w:spacing w:before="120" w:after="120"/>
              <w:ind w:firstLine="22"/>
              <w:jc w:val="center"/>
              <w:rPr>
                <w:iCs/>
              </w:rPr>
            </w:pPr>
            <w:r>
              <w:rPr>
                <w:color w:val="000000"/>
              </w:rPr>
              <w:t>10</w:t>
            </w:r>
          </w:p>
        </w:tc>
        <w:tc>
          <w:tcPr>
            <w:tcW w:w="2430" w:type="dxa"/>
            <w:vAlign w:val="center"/>
          </w:tcPr>
          <w:p w14:paraId="7D6AB55A">
            <w:pPr>
              <w:spacing w:before="120" w:after="120"/>
              <w:rPr>
                <w:iCs/>
                <w:szCs w:val="24"/>
              </w:rPr>
            </w:pPr>
            <w:r>
              <w:rPr>
                <w:szCs w:val="24"/>
              </w:rPr>
              <w:t>Ghế chân quỳ (bệnh nhân)</w:t>
            </w:r>
          </w:p>
        </w:tc>
        <w:tc>
          <w:tcPr>
            <w:tcW w:w="5760" w:type="dxa"/>
          </w:tcPr>
          <w:p w14:paraId="01BC2B8B">
            <w:pPr>
              <w:spacing w:before="120" w:after="120"/>
              <w:jc w:val="center"/>
              <w:rPr>
                <w:iCs/>
                <w:szCs w:val="24"/>
              </w:rPr>
            </w:pPr>
            <w:r>
              <w:rPr>
                <w:szCs w:val="24"/>
              </w:rPr>
              <w:drawing>
                <wp:inline distT="0" distB="0" distL="0" distR="0">
                  <wp:extent cx="1651635" cy="1629410"/>
                  <wp:effectExtent l="0" t="0" r="5715" b="8890"/>
                  <wp:docPr id="52" name="Picture 52" descr="D:\Công việc\2026\HCQT\4. Nội thất nhà C\Bản vẽ mẫu\BẢN VẼ NỘI THẤT VP\Mẫu ghê\BV.NT.GB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Công việc\2026\HCQT\4. Nội thất nhà C\Bản vẽ mẫu\BẢN VẼ NỘI THẤT VP\Mẫu ghê\BV.NT.GBN.1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67479" cy="1645655"/>
                          </a:xfrm>
                          <a:prstGeom prst="rect">
                            <a:avLst/>
                          </a:prstGeom>
                          <a:noFill/>
                          <a:ln>
                            <a:noFill/>
                          </a:ln>
                        </pic:spPr>
                      </pic:pic>
                    </a:graphicData>
                  </a:graphic>
                </wp:inline>
              </w:drawing>
            </w:r>
          </w:p>
        </w:tc>
      </w:tr>
      <w:tr w14:paraId="303E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4F905CFE">
            <w:pPr>
              <w:spacing w:before="120" w:after="120"/>
              <w:ind w:firstLine="22"/>
              <w:jc w:val="center"/>
              <w:rPr>
                <w:iCs/>
              </w:rPr>
            </w:pPr>
            <w:r>
              <w:rPr>
                <w:color w:val="000000"/>
              </w:rPr>
              <w:t>11</w:t>
            </w:r>
          </w:p>
        </w:tc>
        <w:tc>
          <w:tcPr>
            <w:tcW w:w="2430" w:type="dxa"/>
            <w:vAlign w:val="center"/>
          </w:tcPr>
          <w:p w14:paraId="704C4A32">
            <w:pPr>
              <w:spacing w:before="120" w:after="120"/>
              <w:rPr>
                <w:iCs/>
                <w:szCs w:val="24"/>
              </w:rPr>
            </w:pPr>
            <w:r>
              <w:rPr>
                <w:szCs w:val="24"/>
              </w:rPr>
              <w:t>Ghế phòng chức năng (lấy máu)</w:t>
            </w:r>
          </w:p>
        </w:tc>
        <w:tc>
          <w:tcPr>
            <w:tcW w:w="5760" w:type="dxa"/>
          </w:tcPr>
          <w:p w14:paraId="39C75CC5">
            <w:pPr>
              <w:spacing w:before="120" w:after="120"/>
              <w:jc w:val="center"/>
              <w:rPr>
                <w:iCs/>
                <w:szCs w:val="24"/>
              </w:rPr>
            </w:pPr>
            <w:r>
              <w:drawing>
                <wp:inline distT="0" distB="0" distL="0" distR="0">
                  <wp:extent cx="1673860" cy="1360170"/>
                  <wp:effectExtent l="0" t="0" r="2540" b="0"/>
                  <wp:docPr id="26" name="Picture 26" descr="Ghế chức năng GCN10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hế chức năng GCN102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07574" cy="1388032"/>
                          </a:xfrm>
                          <a:prstGeom prst="rect">
                            <a:avLst/>
                          </a:prstGeom>
                          <a:noFill/>
                          <a:ln>
                            <a:noFill/>
                          </a:ln>
                        </pic:spPr>
                      </pic:pic>
                    </a:graphicData>
                  </a:graphic>
                </wp:inline>
              </w:drawing>
            </w:r>
          </w:p>
        </w:tc>
      </w:tr>
      <w:tr w14:paraId="6A367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7475A1CB">
            <w:pPr>
              <w:spacing w:before="120" w:after="120"/>
              <w:ind w:firstLine="22"/>
              <w:jc w:val="center"/>
              <w:rPr>
                <w:iCs/>
              </w:rPr>
            </w:pPr>
            <w:r>
              <w:rPr>
                <w:color w:val="000000"/>
              </w:rPr>
              <w:t>12</w:t>
            </w:r>
          </w:p>
        </w:tc>
        <w:tc>
          <w:tcPr>
            <w:tcW w:w="2430" w:type="dxa"/>
            <w:vAlign w:val="center"/>
          </w:tcPr>
          <w:p w14:paraId="5FCCED98">
            <w:pPr>
              <w:spacing w:before="40" w:after="40"/>
              <w:rPr>
                <w:szCs w:val="24"/>
              </w:rPr>
            </w:pPr>
            <w:r>
              <w:rPr>
                <w:szCs w:val="24"/>
              </w:rPr>
              <w:t xml:space="preserve">Ghế bệnh nhân </w:t>
            </w:r>
          </w:p>
          <w:p w14:paraId="53C3BC01">
            <w:pPr>
              <w:spacing w:before="120" w:after="120"/>
              <w:rPr>
                <w:iCs/>
                <w:szCs w:val="24"/>
              </w:rPr>
            </w:pPr>
            <w:r>
              <w:rPr>
                <w:szCs w:val="24"/>
              </w:rPr>
              <w:t>(lấy mẫu)</w:t>
            </w:r>
          </w:p>
        </w:tc>
        <w:tc>
          <w:tcPr>
            <w:tcW w:w="5760" w:type="dxa"/>
          </w:tcPr>
          <w:p w14:paraId="17105FC3">
            <w:pPr>
              <w:spacing w:before="120" w:after="120"/>
              <w:jc w:val="center"/>
              <w:rPr>
                <w:iCs/>
                <w:szCs w:val="24"/>
              </w:rPr>
            </w:pPr>
            <w:r>
              <w:rPr>
                <w14:ligatures w14:val="standardContextual"/>
              </w:rPr>
              <w:drawing>
                <wp:inline distT="0" distB="0" distL="0" distR="0">
                  <wp:extent cx="1169035" cy="1078230"/>
                  <wp:effectExtent l="0" t="0" r="0" b="7620"/>
                  <wp:docPr id="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9"/>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174750" cy="1083460"/>
                          </a:xfrm>
                          <a:prstGeom prst="rect">
                            <a:avLst/>
                          </a:prstGeom>
                          <a:noFill/>
                          <a:ln>
                            <a:noFill/>
                          </a:ln>
                        </pic:spPr>
                      </pic:pic>
                    </a:graphicData>
                  </a:graphic>
                </wp:inline>
              </w:drawing>
            </w:r>
          </w:p>
        </w:tc>
      </w:tr>
      <w:tr w14:paraId="7F02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4678BB2A">
            <w:pPr>
              <w:spacing w:before="120" w:after="120"/>
              <w:ind w:firstLine="22"/>
              <w:jc w:val="center"/>
              <w:rPr>
                <w:iCs/>
              </w:rPr>
            </w:pPr>
            <w:r>
              <w:rPr>
                <w:color w:val="000000"/>
              </w:rPr>
              <w:t>13</w:t>
            </w:r>
          </w:p>
        </w:tc>
        <w:tc>
          <w:tcPr>
            <w:tcW w:w="2430" w:type="dxa"/>
            <w:vAlign w:val="center"/>
          </w:tcPr>
          <w:p w14:paraId="20B11D8A">
            <w:pPr>
              <w:spacing w:before="120" w:after="120"/>
              <w:rPr>
                <w:iCs/>
                <w:szCs w:val="24"/>
              </w:rPr>
            </w:pPr>
            <w:r>
              <w:rPr>
                <w:szCs w:val="24"/>
              </w:rPr>
              <w:t>Tủ hồ sơ sắt 3 khoang kính</w:t>
            </w:r>
          </w:p>
        </w:tc>
        <w:tc>
          <w:tcPr>
            <w:tcW w:w="5760" w:type="dxa"/>
          </w:tcPr>
          <w:p w14:paraId="45C70475">
            <w:pPr>
              <w:spacing w:before="120" w:after="120"/>
              <w:jc w:val="center"/>
              <w:rPr>
                <w:iCs/>
                <w:szCs w:val="24"/>
              </w:rPr>
            </w:pPr>
            <w:r>
              <w:rPr>
                <w:szCs w:val="24"/>
                <w14:ligatures w14:val="standardContextual"/>
              </w:rPr>
              <w:drawing>
                <wp:inline distT="0" distB="0" distL="0" distR="0">
                  <wp:extent cx="1877060" cy="1947545"/>
                  <wp:effectExtent l="0" t="0" r="8890" b="0"/>
                  <wp:docPr id="48" name="Picture 48" descr="D:\Công việc\2026\HCQT\4. Nội thất nhà C\Bản vẽ mẫu\BẢN VẼ NỘI THẤT VP\Mẫu tủ\BV.NT.TVP.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Công việc\2026\HCQT\4. Nội thất nhà C\Bản vẽ mẫu\BẢN VẼ NỘI THẤT VP\Mẫu tủ\BV.NT.TVP.0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98300" cy="1970114"/>
                          </a:xfrm>
                          <a:prstGeom prst="rect">
                            <a:avLst/>
                          </a:prstGeom>
                          <a:noFill/>
                          <a:ln>
                            <a:noFill/>
                          </a:ln>
                        </pic:spPr>
                      </pic:pic>
                    </a:graphicData>
                  </a:graphic>
                </wp:inline>
              </w:drawing>
            </w:r>
          </w:p>
        </w:tc>
      </w:tr>
      <w:tr w14:paraId="0B32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2D80A1A3">
            <w:pPr>
              <w:spacing w:before="120" w:after="120"/>
              <w:ind w:firstLine="22"/>
              <w:jc w:val="center"/>
              <w:rPr>
                <w:iCs/>
              </w:rPr>
            </w:pPr>
            <w:r>
              <w:rPr>
                <w:color w:val="000000"/>
              </w:rPr>
              <w:t>14</w:t>
            </w:r>
          </w:p>
        </w:tc>
        <w:tc>
          <w:tcPr>
            <w:tcW w:w="2430" w:type="dxa"/>
            <w:vAlign w:val="center"/>
          </w:tcPr>
          <w:p w14:paraId="3AC5C6C0">
            <w:pPr>
              <w:spacing w:before="120" w:after="120"/>
              <w:rPr>
                <w:iCs/>
                <w:szCs w:val="24"/>
              </w:rPr>
            </w:pPr>
            <w:r>
              <w:rPr>
                <w:szCs w:val="24"/>
              </w:rPr>
              <w:t>Tủ tài liệu cánh lùa</w:t>
            </w:r>
          </w:p>
        </w:tc>
        <w:tc>
          <w:tcPr>
            <w:tcW w:w="5760" w:type="dxa"/>
          </w:tcPr>
          <w:p w14:paraId="50669A1A">
            <w:pPr>
              <w:spacing w:before="120" w:after="120"/>
              <w:jc w:val="center"/>
              <w:rPr>
                <w:iCs/>
                <w:szCs w:val="24"/>
              </w:rPr>
            </w:pPr>
            <w:r>
              <w:rPr>
                <w:szCs w:val="24"/>
                <w14:ligatures w14:val="standardContextual"/>
              </w:rPr>
              <w:drawing>
                <wp:inline distT="0" distB="0" distL="0" distR="0">
                  <wp:extent cx="1979295" cy="1979295"/>
                  <wp:effectExtent l="0" t="0" r="1905" b="1905"/>
                  <wp:docPr id="51" name="Picture 51" descr="D:\Công việc\2026\HCQT\4. Nội thất nhà C\Bản vẽ mẫu\BẢN VẼ NỘI THẤT VP\Mẫu tủ\BV.NT.TV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Công việc\2026\HCQT\4. Nội thất nhà C\Bản vẽ mẫu\BẢN VẼ NỘI THẤT VP\Mẫu tủ\BV.NT.TVP.0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003958" cy="2003958"/>
                          </a:xfrm>
                          <a:prstGeom prst="rect">
                            <a:avLst/>
                          </a:prstGeom>
                          <a:noFill/>
                          <a:ln>
                            <a:noFill/>
                          </a:ln>
                        </pic:spPr>
                      </pic:pic>
                    </a:graphicData>
                  </a:graphic>
                </wp:inline>
              </w:drawing>
            </w:r>
          </w:p>
        </w:tc>
      </w:tr>
      <w:tr w14:paraId="6A9F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337A472D">
            <w:pPr>
              <w:spacing w:before="120" w:after="120"/>
              <w:ind w:firstLine="22"/>
              <w:jc w:val="center"/>
              <w:rPr>
                <w:iCs/>
              </w:rPr>
            </w:pPr>
            <w:r>
              <w:rPr>
                <w:color w:val="000000"/>
              </w:rPr>
              <w:t>15</w:t>
            </w:r>
          </w:p>
        </w:tc>
        <w:tc>
          <w:tcPr>
            <w:tcW w:w="2430" w:type="dxa"/>
            <w:vAlign w:val="center"/>
          </w:tcPr>
          <w:p w14:paraId="75094969">
            <w:pPr>
              <w:spacing w:before="120" w:after="120"/>
              <w:rPr>
                <w:iCs/>
                <w:szCs w:val="24"/>
              </w:rPr>
            </w:pPr>
            <w:r>
              <w:rPr>
                <w:szCs w:val="24"/>
              </w:rPr>
              <w:t>Tủ locker 2 ngăn</w:t>
            </w:r>
          </w:p>
        </w:tc>
        <w:tc>
          <w:tcPr>
            <w:tcW w:w="5760" w:type="dxa"/>
          </w:tcPr>
          <w:p w14:paraId="0052269A">
            <w:pPr>
              <w:spacing w:before="120" w:after="120"/>
              <w:jc w:val="center"/>
              <w:rPr>
                <w:iCs/>
                <w:szCs w:val="24"/>
              </w:rPr>
            </w:pPr>
            <w:r>
              <w:rPr>
                <w:szCs w:val="24"/>
                <w14:ligatures w14:val="standardContextual"/>
              </w:rPr>
              <w:drawing>
                <wp:inline distT="0" distB="0" distL="0" distR="0">
                  <wp:extent cx="862965" cy="1294765"/>
                  <wp:effectExtent l="0" t="0" r="0" b="635"/>
                  <wp:docPr id="55" name="Picture 55" descr="D:\Công việc\2026\HCQT\4. Nội thất nhà C\Bản vẽ mẫu\BẢN VẼ NỘI THẤT VP\Mẫu tủ\BV.NT.TL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Công việc\2026\HCQT\4. Nội thất nhà C\Bản vẽ mẫu\BẢN VẼ NỘI THẤT VP\Mẫu tủ\BV.NT.TLK.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883596" cy="1325542"/>
                          </a:xfrm>
                          <a:prstGeom prst="rect">
                            <a:avLst/>
                          </a:prstGeom>
                          <a:noFill/>
                          <a:ln>
                            <a:noFill/>
                          </a:ln>
                        </pic:spPr>
                      </pic:pic>
                    </a:graphicData>
                  </a:graphic>
                </wp:inline>
              </w:drawing>
            </w:r>
          </w:p>
        </w:tc>
      </w:tr>
      <w:tr w14:paraId="6073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06E3A588">
            <w:pPr>
              <w:spacing w:before="120" w:after="120"/>
              <w:ind w:firstLine="22"/>
              <w:jc w:val="center"/>
              <w:rPr>
                <w:iCs/>
              </w:rPr>
            </w:pPr>
            <w:r>
              <w:rPr>
                <w:color w:val="000000"/>
              </w:rPr>
              <w:t>16</w:t>
            </w:r>
          </w:p>
        </w:tc>
        <w:tc>
          <w:tcPr>
            <w:tcW w:w="2430" w:type="dxa"/>
            <w:vAlign w:val="center"/>
          </w:tcPr>
          <w:p w14:paraId="6652141E">
            <w:pPr>
              <w:spacing w:before="120" w:after="120"/>
              <w:rPr>
                <w:iCs/>
                <w:szCs w:val="24"/>
              </w:rPr>
            </w:pPr>
            <w:r>
              <w:rPr>
                <w:szCs w:val="24"/>
              </w:rPr>
              <w:t>Tủ ghép đựng hồ sơ</w:t>
            </w:r>
          </w:p>
        </w:tc>
        <w:tc>
          <w:tcPr>
            <w:tcW w:w="5760" w:type="dxa"/>
          </w:tcPr>
          <w:p w14:paraId="75DAA833">
            <w:pPr>
              <w:spacing w:before="120" w:after="120"/>
              <w:jc w:val="center"/>
              <w:rPr>
                <w:iCs/>
                <w:szCs w:val="24"/>
              </w:rPr>
            </w:pPr>
            <w:r>
              <w:rPr>
                <w:szCs w:val="24"/>
                <w14:ligatures w14:val="standardContextual"/>
              </w:rPr>
              <w:drawing>
                <wp:inline distT="0" distB="0" distL="0" distR="0">
                  <wp:extent cx="1506855" cy="1506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47140" cy="1547140"/>
                          </a:xfrm>
                          <a:prstGeom prst="rect">
                            <a:avLst/>
                          </a:prstGeom>
                        </pic:spPr>
                      </pic:pic>
                    </a:graphicData>
                  </a:graphic>
                </wp:inline>
              </w:drawing>
            </w:r>
          </w:p>
        </w:tc>
      </w:tr>
      <w:tr w14:paraId="51BA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4E496F9D">
            <w:pPr>
              <w:spacing w:before="120" w:after="120"/>
              <w:ind w:firstLine="22"/>
              <w:jc w:val="center"/>
              <w:rPr>
                <w:iCs/>
              </w:rPr>
            </w:pPr>
            <w:r>
              <w:rPr>
                <w:color w:val="000000"/>
              </w:rPr>
              <w:t>17</w:t>
            </w:r>
          </w:p>
        </w:tc>
        <w:tc>
          <w:tcPr>
            <w:tcW w:w="2430" w:type="dxa"/>
            <w:vAlign w:val="center"/>
          </w:tcPr>
          <w:p w14:paraId="724BC22F">
            <w:pPr>
              <w:spacing w:before="120" w:after="120"/>
              <w:rPr>
                <w:iCs/>
                <w:szCs w:val="24"/>
              </w:rPr>
            </w:pPr>
            <w:r>
              <w:rPr>
                <w:szCs w:val="24"/>
              </w:rPr>
              <w:t>Giường nhân viên</w:t>
            </w:r>
          </w:p>
        </w:tc>
        <w:tc>
          <w:tcPr>
            <w:tcW w:w="5760" w:type="dxa"/>
            <w:vAlign w:val="bottom"/>
          </w:tcPr>
          <w:p w14:paraId="5F657158">
            <w:pPr>
              <w:spacing w:before="120" w:after="120"/>
              <w:jc w:val="center"/>
              <w:rPr>
                <w:iCs/>
                <w:szCs w:val="24"/>
              </w:rPr>
            </w:pPr>
            <w:r>
              <w:rPr>
                <w:szCs w:val="24"/>
                <w14:ligatures w14:val="standardContextual"/>
              </w:rPr>
              <w:drawing>
                <wp:inline distT="0" distB="0" distL="0" distR="0">
                  <wp:extent cx="1499870" cy="1118870"/>
                  <wp:effectExtent l="0" t="0" r="5080" b="5080"/>
                  <wp:docPr id="58" name="Picture 58" descr="D:\Công việc\2026\HCQT\4. Nội thất nhà C\Bản vẽ mẫu\BẢN VẼ NỘI THẤT VP\Mẫu tủ\BV.NT.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Công việc\2026\HCQT\4. Nội thất nhà C\Bản vẽ mẫu\BẢN VẼ NỘI THẤT VP\Mẫu tủ\BV.NT.G.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519755" cy="1134065"/>
                          </a:xfrm>
                          <a:prstGeom prst="rect">
                            <a:avLst/>
                          </a:prstGeom>
                          <a:noFill/>
                          <a:ln>
                            <a:noFill/>
                          </a:ln>
                        </pic:spPr>
                      </pic:pic>
                    </a:graphicData>
                  </a:graphic>
                </wp:inline>
              </w:drawing>
            </w:r>
          </w:p>
        </w:tc>
      </w:tr>
      <w:tr w14:paraId="25DC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6DC17592">
            <w:pPr>
              <w:spacing w:before="120" w:after="120"/>
              <w:ind w:firstLine="22"/>
              <w:jc w:val="center"/>
              <w:rPr>
                <w:iCs/>
              </w:rPr>
            </w:pPr>
            <w:r>
              <w:rPr>
                <w:color w:val="000000"/>
              </w:rPr>
              <w:t>18</w:t>
            </w:r>
          </w:p>
        </w:tc>
        <w:tc>
          <w:tcPr>
            <w:tcW w:w="2430" w:type="dxa"/>
            <w:vAlign w:val="center"/>
          </w:tcPr>
          <w:p w14:paraId="31C861F1">
            <w:pPr>
              <w:spacing w:before="120" w:after="120"/>
              <w:rPr>
                <w:iCs/>
                <w:szCs w:val="24"/>
              </w:rPr>
            </w:pPr>
            <w:r>
              <w:rPr>
                <w:szCs w:val="24"/>
              </w:rPr>
              <w:t>Bàn lục giác</w:t>
            </w:r>
          </w:p>
        </w:tc>
        <w:tc>
          <w:tcPr>
            <w:tcW w:w="5760" w:type="dxa"/>
          </w:tcPr>
          <w:p w14:paraId="6F6236C9">
            <w:pPr>
              <w:spacing w:before="120" w:after="120"/>
              <w:jc w:val="center"/>
              <w:rPr>
                <w:iCs/>
                <w:szCs w:val="24"/>
              </w:rPr>
            </w:pPr>
            <w:r>
              <w:rPr>
                <w:szCs w:val="24"/>
                <w14:ligatures w14:val="standardContextual"/>
              </w:rPr>
              <w:drawing>
                <wp:inline distT="0" distB="0" distL="0" distR="0">
                  <wp:extent cx="2125980" cy="1673225"/>
                  <wp:effectExtent l="0" t="0" r="762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30383" cy="1755679"/>
                          </a:xfrm>
                          <a:prstGeom prst="rect">
                            <a:avLst/>
                          </a:prstGeom>
                        </pic:spPr>
                      </pic:pic>
                    </a:graphicData>
                  </a:graphic>
                </wp:inline>
              </w:drawing>
            </w:r>
          </w:p>
        </w:tc>
      </w:tr>
      <w:tr w14:paraId="2D18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1E06C00B">
            <w:pPr>
              <w:spacing w:before="120" w:after="120"/>
              <w:ind w:firstLine="22"/>
              <w:jc w:val="center"/>
              <w:rPr>
                <w:iCs/>
              </w:rPr>
            </w:pPr>
            <w:r>
              <w:rPr>
                <w:color w:val="000000"/>
              </w:rPr>
              <w:t>19</w:t>
            </w:r>
          </w:p>
        </w:tc>
        <w:tc>
          <w:tcPr>
            <w:tcW w:w="2430" w:type="dxa"/>
            <w:vAlign w:val="center"/>
          </w:tcPr>
          <w:p w14:paraId="040227CA">
            <w:pPr>
              <w:spacing w:before="120" w:after="120"/>
              <w:rPr>
                <w:iCs/>
                <w:szCs w:val="24"/>
              </w:rPr>
            </w:pPr>
            <w:r>
              <w:rPr>
                <w:szCs w:val="24"/>
              </w:rPr>
              <w:t>Tủ lavabo</w:t>
            </w:r>
          </w:p>
        </w:tc>
        <w:tc>
          <w:tcPr>
            <w:tcW w:w="5760" w:type="dxa"/>
          </w:tcPr>
          <w:p w14:paraId="61BD0FED">
            <w:pPr>
              <w:spacing w:before="120" w:after="120"/>
              <w:jc w:val="center"/>
              <w:rPr>
                <w:iCs/>
                <w:szCs w:val="24"/>
              </w:rPr>
            </w:pPr>
            <w:r>
              <w:rPr>
                <w:szCs w:val="24"/>
                <w14:ligatures w14:val="standardContextual"/>
              </w:rPr>
              <w:drawing>
                <wp:inline distT="0" distB="0" distL="0" distR="0">
                  <wp:extent cx="1478915" cy="1126490"/>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60" cstate="print">
                            <a:extLst>
                              <a:ext uri="{28A0092B-C50C-407E-A947-70E740481C1C}">
                                <a14:useLocalDpi xmlns:a14="http://schemas.microsoft.com/office/drawing/2010/main" val="0"/>
                              </a:ext>
                            </a:extLst>
                          </a:blip>
                          <a:srcRect l="7753" t="7813" b="11971"/>
                          <a:stretch>
                            <a:fillRect/>
                          </a:stretch>
                        </pic:blipFill>
                        <pic:spPr>
                          <a:xfrm>
                            <a:off x="0" y="0"/>
                            <a:ext cx="1538036" cy="1171355"/>
                          </a:xfrm>
                          <a:prstGeom prst="rect">
                            <a:avLst/>
                          </a:prstGeom>
                          <a:ln>
                            <a:noFill/>
                          </a:ln>
                        </pic:spPr>
                      </pic:pic>
                    </a:graphicData>
                  </a:graphic>
                </wp:inline>
              </w:drawing>
            </w:r>
          </w:p>
        </w:tc>
      </w:tr>
      <w:tr w14:paraId="4112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2EC919B1">
            <w:pPr>
              <w:spacing w:before="120" w:after="120"/>
              <w:ind w:firstLine="22"/>
              <w:jc w:val="center"/>
              <w:rPr>
                <w:iCs/>
              </w:rPr>
            </w:pPr>
            <w:r>
              <w:rPr>
                <w:color w:val="000000"/>
              </w:rPr>
              <w:t>20</w:t>
            </w:r>
          </w:p>
        </w:tc>
        <w:tc>
          <w:tcPr>
            <w:tcW w:w="2430" w:type="dxa"/>
            <w:vAlign w:val="center"/>
          </w:tcPr>
          <w:p w14:paraId="73EB78F5">
            <w:pPr>
              <w:spacing w:before="120" w:after="120"/>
              <w:rPr>
                <w:iCs/>
                <w:szCs w:val="24"/>
              </w:rPr>
            </w:pPr>
            <w:r>
              <w:rPr>
                <w:szCs w:val="24"/>
              </w:rPr>
              <w:t>Ghế băng chờ 4 chỗ ngồi</w:t>
            </w:r>
          </w:p>
        </w:tc>
        <w:tc>
          <w:tcPr>
            <w:tcW w:w="5760" w:type="dxa"/>
          </w:tcPr>
          <w:p w14:paraId="2B8C5128">
            <w:pPr>
              <w:spacing w:before="120" w:after="120"/>
              <w:jc w:val="center"/>
              <w:rPr>
                <w:iCs/>
                <w:szCs w:val="24"/>
              </w:rPr>
            </w:pPr>
            <w:r>
              <w:rPr>
                <w:szCs w:val="24"/>
                <w14:ligatures w14:val="standardContextual"/>
              </w:rPr>
              <w:drawing>
                <wp:inline distT="0" distB="0" distL="0" distR="0">
                  <wp:extent cx="2000250" cy="9575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61" cstate="print">
                            <a:extLst>
                              <a:ext uri="{28A0092B-C50C-407E-A947-70E740481C1C}">
                                <a14:useLocalDpi xmlns:a14="http://schemas.microsoft.com/office/drawing/2010/main" val="0"/>
                              </a:ext>
                            </a:extLst>
                          </a:blip>
                          <a:srcRect t="21144" b="19945"/>
                          <a:stretch>
                            <a:fillRect/>
                          </a:stretch>
                        </pic:blipFill>
                        <pic:spPr>
                          <a:xfrm>
                            <a:off x="0" y="0"/>
                            <a:ext cx="2089570" cy="1000668"/>
                          </a:xfrm>
                          <a:prstGeom prst="rect">
                            <a:avLst/>
                          </a:prstGeom>
                          <a:ln>
                            <a:noFill/>
                          </a:ln>
                        </pic:spPr>
                      </pic:pic>
                    </a:graphicData>
                  </a:graphic>
                </wp:inline>
              </w:drawing>
            </w:r>
          </w:p>
        </w:tc>
      </w:tr>
      <w:tr w14:paraId="6478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722D7F83">
            <w:pPr>
              <w:spacing w:before="120" w:after="120"/>
              <w:ind w:firstLine="22"/>
              <w:jc w:val="center"/>
              <w:rPr>
                <w:iCs/>
              </w:rPr>
            </w:pPr>
            <w:r>
              <w:rPr>
                <w:color w:val="000000"/>
              </w:rPr>
              <w:t>21</w:t>
            </w:r>
          </w:p>
        </w:tc>
        <w:tc>
          <w:tcPr>
            <w:tcW w:w="2430" w:type="dxa"/>
            <w:vAlign w:val="center"/>
          </w:tcPr>
          <w:p w14:paraId="5681BECC">
            <w:pPr>
              <w:spacing w:before="120" w:after="120"/>
              <w:rPr>
                <w:iCs/>
                <w:szCs w:val="24"/>
              </w:rPr>
            </w:pPr>
            <w:r>
              <w:rPr>
                <w:szCs w:val="24"/>
              </w:rPr>
              <w:t>Ghế băng chờ 5 chỗ ngồi</w:t>
            </w:r>
          </w:p>
        </w:tc>
        <w:tc>
          <w:tcPr>
            <w:tcW w:w="5760" w:type="dxa"/>
          </w:tcPr>
          <w:p w14:paraId="4A817BD7">
            <w:pPr>
              <w:spacing w:before="120" w:after="120"/>
              <w:jc w:val="center"/>
              <w:rPr>
                <w:iCs/>
                <w:szCs w:val="24"/>
              </w:rPr>
            </w:pPr>
            <w:r>
              <w:rPr>
                <w14:ligatures w14:val="standardContextual"/>
              </w:rPr>
              <w:drawing>
                <wp:inline distT="0" distB="0" distL="0" distR="0">
                  <wp:extent cx="1891030" cy="1075055"/>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pic:cNvPicPr>
                        </pic:nvPicPr>
                        <pic:blipFill>
                          <a:blip r:embed="rId62"/>
                          <a:stretch>
                            <a:fillRect/>
                          </a:stretch>
                        </pic:blipFill>
                        <pic:spPr>
                          <a:xfrm>
                            <a:off x="0" y="0"/>
                            <a:ext cx="1891393" cy="1075244"/>
                          </a:xfrm>
                          <a:prstGeom prst="rect">
                            <a:avLst/>
                          </a:prstGeom>
                        </pic:spPr>
                      </pic:pic>
                    </a:graphicData>
                  </a:graphic>
                </wp:inline>
              </w:drawing>
            </w:r>
          </w:p>
        </w:tc>
      </w:tr>
      <w:tr w14:paraId="61C5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0633053D">
            <w:pPr>
              <w:spacing w:before="120" w:after="120"/>
              <w:ind w:firstLine="22"/>
              <w:jc w:val="center"/>
              <w:rPr>
                <w:iCs/>
              </w:rPr>
            </w:pPr>
            <w:r>
              <w:rPr>
                <w:color w:val="000000"/>
              </w:rPr>
              <w:t>22</w:t>
            </w:r>
          </w:p>
        </w:tc>
        <w:tc>
          <w:tcPr>
            <w:tcW w:w="2430" w:type="dxa"/>
            <w:vAlign w:val="center"/>
          </w:tcPr>
          <w:p w14:paraId="6E5CA81C">
            <w:pPr>
              <w:spacing w:before="120" w:after="120"/>
              <w:rPr>
                <w:iCs/>
                <w:szCs w:val="24"/>
              </w:rPr>
            </w:pPr>
            <w:r>
              <w:rPr>
                <w:szCs w:val="24"/>
              </w:rPr>
              <w:t>Ghế băng chờ 5 chỗ ngồi</w:t>
            </w:r>
          </w:p>
        </w:tc>
        <w:tc>
          <w:tcPr>
            <w:tcW w:w="5760" w:type="dxa"/>
          </w:tcPr>
          <w:p w14:paraId="73AA27CA">
            <w:pPr>
              <w:spacing w:before="120" w:after="120"/>
              <w:jc w:val="center"/>
              <w:rPr>
                <w:iCs/>
                <w:szCs w:val="24"/>
              </w:rPr>
            </w:pPr>
            <w:r>
              <w:rPr>
                <w14:ligatures w14:val="standardContextual"/>
              </w:rPr>
              <w:drawing>
                <wp:inline distT="0" distB="0" distL="0" distR="0">
                  <wp:extent cx="2051685" cy="1218565"/>
                  <wp:effectExtent l="0" t="0" r="5715" b="635"/>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051957" cy="1218961"/>
                          </a:xfrm>
                          <a:prstGeom prst="rect">
                            <a:avLst/>
                          </a:prstGeom>
                          <a:noFill/>
                          <a:ln>
                            <a:noFill/>
                          </a:ln>
                        </pic:spPr>
                      </pic:pic>
                    </a:graphicData>
                  </a:graphic>
                </wp:inline>
              </w:drawing>
            </w:r>
          </w:p>
        </w:tc>
      </w:tr>
      <w:tr w14:paraId="68F4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6D018D4F">
            <w:pPr>
              <w:spacing w:before="120" w:after="120"/>
              <w:ind w:firstLine="22"/>
              <w:jc w:val="center"/>
              <w:rPr>
                <w:iCs/>
              </w:rPr>
            </w:pPr>
            <w:r>
              <w:rPr>
                <w:color w:val="000000"/>
              </w:rPr>
              <w:t>23</w:t>
            </w:r>
          </w:p>
        </w:tc>
        <w:tc>
          <w:tcPr>
            <w:tcW w:w="2430" w:type="dxa"/>
            <w:vAlign w:val="center"/>
          </w:tcPr>
          <w:p w14:paraId="6F96F6F3">
            <w:pPr>
              <w:spacing w:before="120" w:after="120"/>
              <w:rPr>
                <w:iCs/>
                <w:szCs w:val="24"/>
              </w:rPr>
            </w:pPr>
            <w:r>
              <w:rPr>
                <w:szCs w:val="24"/>
              </w:rPr>
              <w:t>Kệ đựng CPU máy tính</w:t>
            </w:r>
          </w:p>
        </w:tc>
        <w:tc>
          <w:tcPr>
            <w:tcW w:w="5760" w:type="dxa"/>
          </w:tcPr>
          <w:p w14:paraId="0D8CADCF">
            <w:pPr>
              <w:spacing w:before="120" w:after="120"/>
              <w:jc w:val="center"/>
              <w:rPr>
                <w:iCs/>
                <w:szCs w:val="24"/>
              </w:rPr>
            </w:pPr>
            <w:r>
              <w:rPr>
                <w14:ligatures w14:val="standardContextual"/>
              </w:rPr>
              <w:drawing>
                <wp:inline distT="0" distB="0" distL="0" distR="0">
                  <wp:extent cx="1228725" cy="920750"/>
                  <wp:effectExtent l="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244936" cy="933272"/>
                          </a:xfrm>
                          <a:prstGeom prst="rect">
                            <a:avLst/>
                          </a:prstGeom>
                          <a:noFill/>
                          <a:ln>
                            <a:noFill/>
                          </a:ln>
                        </pic:spPr>
                      </pic:pic>
                    </a:graphicData>
                  </a:graphic>
                </wp:inline>
              </w:drawing>
            </w:r>
          </w:p>
        </w:tc>
      </w:tr>
      <w:tr w14:paraId="22F1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0A3D633F">
            <w:pPr>
              <w:spacing w:before="120" w:after="120"/>
              <w:ind w:firstLine="22"/>
              <w:jc w:val="center"/>
              <w:rPr>
                <w:iCs/>
              </w:rPr>
            </w:pPr>
            <w:r>
              <w:rPr>
                <w:color w:val="000000"/>
              </w:rPr>
              <w:t>24</w:t>
            </w:r>
          </w:p>
        </w:tc>
        <w:tc>
          <w:tcPr>
            <w:tcW w:w="2430" w:type="dxa"/>
            <w:vAlign w:val="center"/>
          </w:tcPr>
          <w:p w14:paraId="70151FB5">
            <w:pPr>
              <w:spacing w:before="120" w:after="120"/>
              <w:rPr>
                <w:iCs/>
                <w:szCs w:val="24"/>
              </w:rPr>
            </w:pPr>
            <w:r>
              <w:rPr>
                <w:szCs w:val="24"/>
              </w:rPr>
              <w:t>Bàn văn phòng (lấy mẫu)</w:t>
            </w:r>
          </w:p>
        </w:tc>
        <w:tc>
          <w:tcPr>
            <w:tcW w:w="5760" w:type="dxa"/>
            <w:vAlign w:val="center"/>
          </w:tcPr>
          <w:p w14:paraId="756E48F4">
            <w:pPr>
              <w:spacing w:before="120" w:after="120"/>
              <w:jc w:val="center"/>
              <w:rPr>
                <w:iCs/>
                <w:szCs w:val="24"/>
              </w:rPr>
            </w:pPr>
            <w:r>
              <w:rPr>
                <w:szCs w:val="24"/>
                <w14:ligatures w14:val="standardContextual"/>
              </w:rPr>
              <w:drawing>
                <wp:inline distT="0" distB="0" distL="0" distR="0">
                  <wp:extent cx="2202815" cy="141160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65"/>
                          <a:stretch>
                            <a:fillRect/>
                          </a:stretch>
                        </pic:blipFill>
                        <pic:spPr>
                          <a:xfrm>
                            <a:off x="0" y="0"/>
                            <a:ext cx="2206176" cy="1413987"/>
                          </a:xfrm>
                          <a:prstGeom prst="rect">
                            <a:avLst/>
                          </a:prstGeom>
                        </pic:spPr>
                      </pic:pic>
                    </a:graphicData>
                  </a:graphic>
                </wp:inline>
              </w:drawing>
            </w:r>
          </w:p>
        </w:tc>
      </w:tr>
      <w:tr w14:paraId="7D6F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2CE89841">
            <w:pPr>
              <w:spacing w:before="120" w:after="120"/>
              <w:ind w:firstLine="22"/>
              <w:jc w:val="center"/>
              <w:rPr>
                <w:iCs/>
              </w:rPr>
            </w:pPr>
            <w:r>
              <w:rPr>
                <w:color w:val="000000"/>
              </w:rPr>
              <w:t>25</w:t>
            </w:r>
          </w:p>
        </w:tc>
        <w:tc>
          <w:tcPr>
            <w:tcW w:w="2430" w:type="dxa"/>
            <w:vAlign w:val="center"/>
          </w:tcPr>
          <w:p w14:paraId="7225BBE5">
            <w:pPr>
              <w:spacing w:before="120" w:after="120"/>
              <w:rPr>
                <w:iCs/>
                <w:szCs w:val="24"/>
              </w:rPr>
            </w:pPr>
            <w:r>
              <w:rPr>
                <w:szCs w:val="24"/>
              </w:rPr>
              <w:t xml:space="preserve">Tủ văn phòng </w:t>
            </w:r>
          </w:p>
        </w:tc>
        <w:tc>
          <w:tcPr>
            <w:tcW w:w="5760" w:type="dxa"/>
            <w:vAlign w:val="center"/>
          </w:tcPr>
          <w:p w14:paraId="2CA62891">
            <w:pPr>
              <w:spacing w:before="120" w:after="120"/>
              <w:jc w:val="center"/>
              <w:rPr>
                <w:iCs/>
                <w:szCs w:val="24"/>
              </w:rPr>
            </w:pPr>
            <w:r>
              <w:rPr>
                <w14:ligatures w14:val="standardContextual"/>
              </w:rPr>
              <w:drawing>
                <wp:inline distT="0" distB="0" distL="0" distR="0">
                  <wp:extent cx="1809750" cy="1033780"/>
                  <wp:effectExtent l="0" t="0" r="0" b="0"/>
                  <wp:docPr id="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9750" cy="1034143"/>
                          </a:xfrm>
                          <a:prstGeom prst="rect">
                            <a:avLst/>
                          </a:prstGeom>
                        </pic:spPr>
                      </pic:pic>
                    </a:graphicData>
                  </a:graphic>
                </wp:inline>
              </w:drawing>
            </w:r>
          </w:p>
        </w:tc>
      </w:tr>
      <w:tr w14:paraId="4BCF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95" w:type="dxa"/>
            <w:vAlign w:val="center"/>
          </w:tcPr>
          <w:p w14:paraId="2ACE03D1">
            <w:pPr>
              <w:spacing w:before="120" w:after="120"/>
              <w:ind w:firstLine="22"/>
              <w:jc w:val="center"/>
              <w:rPr>
                <w:iCs/>
              </w:rPr>
            </w:pPr>
            <w:r>
              <w:rPr>
                <w:color w:val="000000"/>
              </w:rPr>
              <w:t>26</w:t>
            </w:r>
          </w:p>
        </w:tc>
        <w:tc>
          <w:tcPr>
            <w:tcW w:w="2430" w:type="dxa"/>
            <w:vAlign w:val="center"/>
          </w:tcPr>
          <w:p w14:paraId="3C752EFC">
            <w:pPr>
              <w:spacing w:before="120" w:after="120"/>
              <w:rPr>
                <w:iCs/>
                <w:szCs w:val="24"/>
              </w:rPr>
            </w:pPr>
            <w:r>
              <w:rPr>
                <w:szCs w:val="24"/>
              </w:rPr>
              <w:t>Ghế xoay inox (bệnh nhân khám)</w:t>
            </w:r>
          </w:p>
        </w:tc>
        <w:tc>
          <w:tcPr>
            <w:tcW w:w="5760" w:type="dxa"/>
            <w:vAlign w:val="center"/>
          </w:tcPr>
          <w:p w14:paraId="76984D04">
            <w:pPr>
              <w:spacing w:before="120" w:after="120"/>
              <w:jc w:val="center"/>
              <w:rPr>
                <w:iCs/>
                <w:szCs w:val="24"/>
              </w:rPr>
            </w:pPr>
            <w:r>
              <w:rPr>
                <w14:ligatures w14:val="standardContextual"/>
              </w:rPr>
              <w:drawing>
                <wp:inline distT="0" distB="0" distL="0" distR="0">
                  <wp:extent cx="1604010" cy="1604010"/>
                  <wp:effectExtent l="0" t="0" r="0" b="0"/>
                  <wp:docPr id="40" name="Picture 40" descr="D:\Công việc\CV HCQT\Mr.Long\CV Hành chính- Quản trị\2.Mua sắm nội thất\6. Noi thất. Tâng 2-C\Nội thất tâng 2\PA. Trình HDKH\PA. TRình HDKH.9.2.1\M.Noi thất\2. Nội thất\Mẫu ghê\1672824581mau-ghe-xoay-i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Công việc\CV HCQT\Mr.Long\CV Hành chính- Quản trị\2.Mua sắm nội thất\6. Noi thất. Tâng 2-C\Nội thất tâng 2\PA. Trình HDKH\PA. TRình HDKH.9.2.1\M.Noi thất\2. Nội thất\Mẫu ghê\1672824581mau-ghe-xoay-inox.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618086" cy="1618086"/>
                          </a:xfrm>
                          <a:prstGeom prst="rect">
                            <a:avLst/>
                          </a:prstGeom>
                          <a:noFill/>
                          <a:ln>
                            <a:noFill/>
                          </a:ln>
                        </pic:spPr>
                      </pic:pic>
                    </a:graphicData>
                  </a:graphic>
                </wp:inline>
              </w:drawing>
            </w:r>
          </w:p>
        </w:tc>
      </w:tr>
    </w:tbl>
    <w:p w14:paraId="7179F3F8">
      <w:pPr>
        <w:spacing w:before="120" w:after="120" w:line="264" w:lineRule="auto"/>
        <w:ind w:firstLine="567"/>
        <w:rPr>
          <w:b/>
          <w:i/>
          <w:sz w:val="28"/>
          <w:szCs w:val="28"/>
          <w:lang w:val="nl-NL"/>
        </w:rPr>
      </w:pPr>
    </w:p>
    <w:p w14:paraId="6E91732B">
      <w:pPr>
        <w:spacing w:after="160" w:line="259" w:lineRule="auto"/>
        <w:jc w:val="left"/>
        <w:rPr>
          <w:b/>
          <w:i/>
          <w:sz w:val="28"/>
          <w:szCs w:val="28"/>
          <w:lang w:val="nl-NL"/>
        </w:rPr>
      </w:pPr>
      <w:r>
        <w:rPr>
          <w:b/>
          <w:i/>
          <w:sz w:val="28"/>
          <w:szCs w:val="28"/>
          <w:lang w:val="nl-NL"/>
        </w:rPr>
        <w:br w:type="page"/>
      </w:r>
    </w:p>
    <w:p w14:paraId="5CFC1F0C">
      <w:pPr>
        <w:spacing w:before="120" w:after="120" w:line="380" w:lineRule="atLeast"/>
        <w:ind w:firstLine="567"/>
        <w:rPr>
          <w:b/>
          <w:i/>
          <w:sz w:val="28"/>
          <w:szCs w:val="28"/>
          <w:lang w:val="nl-NL"/>
        </w:rPr>
      </w:pPr>
      <w:r>
        <w:rPr>
          <w:b/>
          <w:i/>
          <w:sz w:val="28"/>
          <w:szCs w:val="28"/>
          <w:lang w:val="nl-NL"/>
        </w:rPr>
        <w:t>1.3. Các yêu cầu khác</w:t>
      </w:r>
    </w:p>
    <w:p w14:paraId="4F3FF4E3">
      <w:pPr>
        <w:tabs>
          <w:tab w:val="left" w:pos="567"/>
        </w:tabs>
        <w:spacing w:before="120" w:after="120" w:line="380" w:lineRule="atLeast"/>
        <w:ind w:firstLine="567"/>
        <w:rPr>
          <w:b/>
          <w:sz w:val="28"/>
          <w:szCs w:val="28"/>
        </w:rPr>
      </w:pPr>
      <w:r>
        <w:rPr>
          <w:b/>
          <w:sz w:val="28"/>
          <w:szCs w:val="28"/>
        </w:rPr>
        <w:t>- Tiêu chuẩn về chất lượng hàng hóa:</w:t>
      </w:r>
    </w:p>
    <w:p w14:paraId="63A28706">
      <w:pPr>
        <w:spacing w:before="120" w:after="120" w:line="380" w:lineRule="atLeast"/>
        <w:ind w:firstLine="567"/>
        <w:rPr>
          <w:sz w:val="28"/>
          <w:szCs w:val="28"/>
          <w:lang w:val="nl-NL"/>
        </w:rPr>
      </w:pPr>
      <w:r>
        <w:rPr>
          <w:sz w:val="28"/>
          <w:szCs w:val="28"/>
          <w:lang w:val="nl-NL"/>
        </w:rPr>
        <w:t>+ Hàng hóa nhập khẩu: có cam kết cung cấp các giấy tờ kèm theo chứng nhận CO, CQ.</w:t>
      </w:r>
    </w:p>
    <w:p w14:paraId="6D22D3DC">
      <w:pPr>
        <w:spacing w:before="120" w:after="120" w:line="380" w:lineRule="atLeast"/>
        <w:ind w:firstLine="567"/>
        <w:rPr>
          <w:rStyle w:val="313"/>
          <w:rFonts w:ascii="Times New Roman" w:hAnsi="Times New Roman"/>
          <w:sz w:val="28"/>
          <w:szCs w:val="28"/>
        </w:rPr>
      </w:pPr>
      <w:r>
        <w:rPr>
          <w:sz w:val="28"/>
          <w:szCs w:val="28"/>
          <w:lang w:val="nl-NL"/>
        </w:rPr>
        <w:t xml:space="preserve">+ Hàng hóa trong nước: </w:t>
      </w:r>
      <w:r>
        <w:rPr>
          <w:rStyle w:val="313"/>
          <w:rFonts w:ascii="Times New Roman" w:hAnsi="Times New Roman"/>
          <w:sz w:val="28"/>
          <w:szCs w:val="28"/>
        </w:rPr>
        <w:t>có cam kết xuất trình đầy đủ bản gốc hoặc bản chụp chứng thực các giấy tờ liên quan như: Phiếu xuất xưởng khi bàn giao.</w:t>
      </w:r>
    </w:p>
    <w:p w14:paraId="6C26813A">
      <w:pPr>
        <w:spacing w:before="120" w:after="120" w:line="380" w:lineRule="atLeast"/>
        <w:ind w:firstLine="567"/>
        <w:rPr>
          <w:rStyle w:val="313"/>
          <w:rFonts w:ascii="Times New Roman" w:hAnsi="Times New Roman"/>
          <w:sz w:val="28"/>
          <w:szCs w:val="28"/>
        </w:rPr>
      </w:pPr>
      <w:r>
        <w:rPr>
          <w:rStyle w:val="313"/>
          <w:rFonts w:ascii="Times New Roman" w:hAnsi="Times New Roman"/>
          <w:sz w:val="28"/>
          <w:szCs w:val="28"/>
        </w:rPr>
        <w:t>Đối với vật liệu ván gỗ công nghiệp MDF chống ẩm và Mica: Nhà thầu cam kết c</w:t>
      </w:r>
      <w:r>
        <w:rPr>
          <w:color w:val="000000"/>
          <w:sz w:val="28"/>
          <w:szCs w:val="28"/>
        </w:rPr>
        <w:t>ung cấp tài liệu để chứng minh nguồn nguyên liệu gỗ MDF đầu vào hợp pháp đáp ứng tiêu chuẩn chất kỹ thuật cho gói thầu này khi trúng thầu và thực hiện hợp đồng.</w:t>
      </w:r>
    </w:p>
    <w:p w14:paraId="1C3873E6">
      <w:pPr>
        <w:spacing w:before="120" w:after="120" w:line="380" w:lineRule="atLeast"/>
        <w:ind w:firstLine="567"/>
        <w:rPr>
          <w:rStyle w:val="313"/>
          <w:rFonts w:ascii="Times New Roman" w:hAnsi="Times New Roman"/>
          <w:b/>
          <w:sz w:val="28"/>
          <w:szCs w:val="28"/>
        </w:rPr>
      </w:pPr>
      <w:r>
        <w:rPr>
          <w:rStyle w:val="313"/>
          <w:rFonts w:ascii="Times New Roman" w:hAnsi="Times New Roman"/>
          <w:b/>
          <w:sz w:val="28"/>
          <w:szCs w:val="28"/>
        </w:rPr>
        <w:t>- Yêu cầu về vận chuyển và lắp đặt:</w:t>
      </w:r>
    </w:p>
    <w:p w14:paraId="3CC312B3">
      <w:pPr>
        <w:spacing w:before="120" w:after="120" w:line="380" w:lineRule="atLeast"/>
        <w:ind w:firstLine="567"/>
        <w:rPr>
          <w:rStyle w:val="313"/>
          <w:rFonts w:ascii="Times New Roman" w:hAnsi="Times New Roman"/>
          <w:sz w:val="28"/>
          <w:szCs w:val="28"/>
        </w:rPr>
      </w:pPr>
      <w:r>
        <w:rPr>
          <w:rStyle w:val="313"/>
          <w:rFonts w:ascii="Times New Roman" w:hAnsi="Times New Roman"/>
          <w:sz w:val="28"/>
          <w:szCs w:val="28"/>
        </w:rPr>
        <w:t>+ Hàng hóa phải được vận chuyển đến và vị trí lắp đặt theo yêu cầu của Chủ đầu tư.</w:t>
      </w:r>
    </w:p>
    <w:p w14:paraId="22B13632">
      <w:pPr>
        <w:spacing w:before="120" w:after="120" w:line="380" w:lineRule="atLeast"/>
        <w:ind w:firstLine="567"/>
        <w:rPr>
          <w:b/>
          <w:sz w:val="28"/>
          <w:szCs w:val="28"/>
          <w:lang w:val="nl-NL"/>
        </w:rPr>
      </w:pPr>
      <w:r>
        <w:rPr>
          <w:b/>
          <w:sz w:val="28"/>
          <w:szCs w:val="28"/>
          <w:lang w:val="nl-NL"/>
        </w:rPr>
        <w:t>- Yêu cầu an toàn lao động, vệ sinh môi trường và phòng chống cháy nổ:</w:t>
      </w:r>
    </w:p>
    <w:p w14:paraId="0378D57D">
      <w:pPr>
        <w:pStyle w:val="241"/>
        <w:spacing w:after="120" w:line="380" w:lineRule="atLeast"/>
        <w:ind w:firstLine="567"/>
        <w:jc w:val="both"/>
        <w:rPr>
          <w:b w:val="0"/>
          <w:sz w:val="28"/>
          <w:szCs w:val="28"/>
          <w:lang w:val="nl-NL"/>
        </w:rPr>
      </w:pPr>
      <w:r>
        <w:rPr>
          <w:b w:val="0"/>
          <w:sz w:val="28"/>
          <w:szCs w:val="28"/>
          <w:lang w:val="nl-NL"/>
        </w:rPr>
        <w:t>+ Nhà thầu phải chấp hành nghiêm chỉnh Quy phạm an toàn lao động và hoàn toàn chịu trách nhiệm về bảo hiểm, an toàn lao động, an toàn trong phòng chống cháy nổ cho người và phương tiện theo các quy định hiện hành trong suốt thời gian cung cấp hàng hóa.</w:t>
      </w:r>
    </w:p>
    <w:p w14:paraId="4DA2CE29">
      <w:pPr>
        <w:pStyle w:val="241"/>
        <w:spacing w:after="120" w:line="380" w:lineRule="atLeast"/>
        <w:ind w:firstLine="567"/>
        <w:jc w:val="both"/>
        <w:rPr>
          <w:b w:val="0"/>
          <w:sz w:val="28"/>
          <w:szCs w:val="28"/>
          <w:lang w:val="nl-NL"/>
        </w:rPr>
      </w:pPr>
      <w:r>
        <w:rPr>
          <w:b w:val="0"/>
          <w:sz w:val="28"/>
          <w:szCs w:val="28"/>
          <w:lang w:val="nl-NL"/>
        </w:rPr>
        <w:t>+ Trong suốt quá trình cung cấp và lắp đặt hàng hóa, Nhà thầu phải có biện pháp đảm bảo toàn bộ công trường luôn sạch sẽ, gọn gàng; tất cả các máy móc, dụng cụ… Nhà thầu huy động để thực hiện gói thầu phải để gọn gàng, ngăn nắp, không được cản trở giao thông, hoạt động chuyên môn của Bệnh viện cũng như mỹ quan nơi làm việc. Các loại phế thải (bao gồm rác thải, ...) phải được xử lý hoặc thu gom đúng nơi quy định. Nhà thầu phải tự thoả thuận với địa phương về vị trí xỷ lý và chịu toàn bộ kinh phí vận chuyển các phế thải (nếu có) đến nơi quy định.</w:t>
      </w:r>
    </w:p>
    <w:p w14:paraId="79CBEC1C">
      <w:pPr>
        <w:pStyle w:val="241"/>
        <w:spacing w:after="120" w:line="380" w:lineRule="atLeast"/>
        <w:ind w:firstLine="567"/>
        <w:jc w:val="both"/>
        <w:rPr>
          <w:b w:val="0"/>
          <w:sz w:val="28"/>
          <w:szCs w:val="28"/>
          <w:lang w:val="nl-NL"/>
        </w:rPr>
      </w:pPr>
      <w:r>
        <w:rPr>
          <w:b w:val="0"/>
          <w:sz w:val="28"/>
          <w:szCs w:val="28"/>
          <w:lang w:val="nl-NL"/>
        </w:rPr>
        <w:t>+ Sau khi cung cấp và lắp đặt hoàn thành Nhà thầu phải chuyển toàn bộ vật tư, vật liệu thừa, trang thiết bị... của Nhà thầu ra khỏi trụ sở làm việc của Chủ đầu tư hoàn trả mặt bằng để nghiệm thu, bàn giao.</w:t>
      </w:r>
    </w:p>
    <w:p w14:paraId="1F2DD99F">
      <w:pPr>
        <w:pStyle w:val="241"/>
        <w:spacing w:after="120" w:line="380" w:lineRule="atLeast"/>
        <w:ind w:firstLine="567"/>
        <w:jc w:val="both"/>
        <w:rPr>
          <w:b w:val="0"/>
          <w:sz w:val="28"/>
          <w:szCs w:val="28"/>
          <w:lang w:val="nl-NL"/>
        </w:rPr>
      </w:pPr>
      <w:r>
        <w:rPr>
          <w:b w:val="0"/>
          <w:sz w:val="28"/>
          <w:szCs w:val="28"/>
          <w:lang w:val="nl-NL"/>
        </w:rPr>
        <w:t>+ Trong quá trình bảo hành, các hư hỏng thuộc về lỗi của Nhà thầu thì Nhà thầu có trách nhiệm sửa chữa ngay khi nhận được thông báo của Chủ đầu tư</w:t>
      </w:r>
    </w:p>
    <w:p w14:paraId="3D026E85">
      <w:pPr>
        <w:pStyle w:val="241"/>
        <w:spacing w:after="120" w:line="380" w:lineRule="atLeast"/>
        <w:ind w:firstLine="567"/>
        <w:jc w:val="both"/>
        <w:rPr>
          <w:b w:val="0"/>
          <w:sz w:val="28"/>
          <w:szCs w:val="28"/>
          <w:lang w:val="nl-NL"/>
        </w:rPr>
      </w:pPr>
      <w:r>
        <w:rPr>
          <w:b w:val="0"/>
          <w:sz w:val="28"/>
          <w:szCs w:val="28"/>
          <w:lang w:val="nl-NL"/>
        </w:rPr>
        <w:t>+ Tất cả nhân sự tham gia thực hiện gói thầu khi ra vào cơ quan phải tuân thủ quy chế làm việc và quy định ra vào cơ quan của Chủ đầu tư.</w:t>
      </w:r>
    </w:p>
    <w:p w14:paraId="2156C247">
      <w:pPr>
        <w:pStyle w:val="241"/>
        <w:spacing w:after="120" w:line="380" w:lineRule="atLeast"/>
        <w:ind w:firstLine="709"/>
        <w:jc w:val="both"/>
        <w:rPr>
          <w:b w:val="0"/>
          <w:bCs/>
          <w:sz w:val="28"/>
          <w:szCs w:val="28"/>
          <w:lang w:val="nl-NL"/>
        </w:rPr>
      </w:pPr>
      <w:r>
        <w:rPr>
          <w:sz w:val="28"/>
          <w:szCs w:val="28"/>
          <w:lang w:val="nl-NL"/>
        </w:rPr>
        <w:t xml:space="preserve">Mục 2. Bản vẽ: </w:t>
      </w:r>
    </w:p>
    <w:p w14:paraId="1867EF18">
      <w:pPr>
        <w:pStyle w:val="241"/>
        <w:spacing w:after="120" w:line="380" w:lineRule="atLeast"/>
        <w:ind w:firstLine="709"/>
        <w:jc w:val="both"/>
        <w:rPr>
          <w:b w:val="0"/>
          <w:bCs/>
          <w:sz w:val="28"/>
          <w:szCs w:val="28"/>
          <w:lang w:val="nl-NL"/>
        </w:rPr>
      </w:pPr>
      <w:r>
        <w:rPr>
          <w:b w:val="0"/>
          <w:bCs/>
          <w:sz w:val="28"/>
          <w:szCs w:val="28"/>
          <w:lang w:val="nl-NL"/>
        </w:rPr>
        <w:t>Phần 1: Cung cấp bảng biển nhà C: Không kèm bản vẽ.</w:t>
      </w:r>
    </w:p>
    <w:p w14:paraId="664C2244">
      <w:pPr>
        <w:pStyle w:val="241"/>
        <w:spacing w:after="120" w:line="380" w:lineRule="atLeast"/>
        <w:ind w:firstLine="709"/>
        <w:jc w:val="both"/>
        <w:rPr>
          <w:b w:val="0"/>
          <w:bCs/>
          <w:sz w:val="28"/>
          <w:szCs w:val="28"/>
          <w:lang w:val="nl-NL"/>
        </w:rPr>
      </w:pPr>
      <w:r>
        <w:rPr>
          <w:b w:val="0"/>
          <w:bCs/>
          <w:sz w:val="28"/>
          <w:szCs w:val="28"/>
          <w:lang w:val="nl-NL"/>
        </w:rPr>
        <w:t>Phần 2: Cung cấp nội thất văn phòng nhà C.</w:t>
      </w:r>
    </w:p>
    <w:p w14:paraId="11CB6D89">
      <w:pPr>
        <w:pStyle w:val="316"/>
        <w:spacing w:after="120" w:line="380" w:lineRule="atLeast"/>
        <w:jc w:val="both"/>
        <w:rPr>
          <w:i/>
          <w:sz w:val="28"/>
          <w:szCs w:val="28"/>
          <w:lang w:val="nl-NL"/>
        </w:rPr>
      </w:pPr>
      <w:r>
        <w:rPr>
          <w:sz w:val="28"/>
        </w:rPr>
        <mc:AlternateContent>
          <mc:Choice Requires="wps">
            <w:drawing>
              <wp:anchor distT="45720" distB="45720" distL="114300" distR="114300" simplePos="0" relativeHeight="251659264" behindDoc="0" locked="0" layoutInCell="1" allowOverlap="1">
                <wp:simplePos x="0" y="0"/>
                <wp:positionH relativeFrom="column">
                  <wp:posOffset>-32385</wp:posOffset>
                </wp:positionH>
                <wp:positionV relativeFrom="paragraph">
                  <wp:posOffset>2392680</wp:posOffset>
                </wp:positionV>
                <wp:extent cx="5772150" cy="3276600"/>
                <wp:effectExtent l="0" t="0" r="19050" b="1905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72150" cy="3276600"/>
                        </a:xfrm>
                        <a:prstGeom prst="rect">
                          <a:avLst/>
                        </a:prstGeom>
                        <a:solidFill>
                          <a:srgbClr val="FFFFFF"/>
                        </a:solidFill>
                        <a:ln w="9525">
                          <a:solidFill>
                            <a:srgbClr val="000000"/>
                          </a:solidFill>
                          <a:miter lim="800000"/>
                        </a:ln>
                      </wps:spPr>
                      <wps:txbx>
                        <w:txbxContent>
                          <w:p w14:paraId="6D4AEA42">
                            <w:pPr>
                              <w:jc w:val="center"/>
                              <w:rPr>
                                <w:sz w:val="28"/>
                              </w:rPr>
                            </w:pPr>
                            <w:r>
                              <w:rPr>
                                <w:b/>
                                <w:sz w:val="28"/>
                              </w:rPr>
                              <w:object>
                                <v:shape id="_x0000_i1025" o:spt="75" type="#_x0000_t75" style="height:228.9pt;width:394.65pt;" o:ole="t" filled="f" o:preferrelative="t" stroked="f" coordsize="21600,21600">
                                  <v:path/>
                                  <v:fill on="f" focussize="0,0"/>
                                  <v:stroke on="f" joinstyle="miter"/>
                                  <v:imagedata r:id="rId69" o:title=""/>
                                  <o:lock v:ext="edit" aspectratio="t"/>
                                  <w10:wrap type="none"/>
                                  <w10:anchorlock/>
                                </v:shape>
                                <o:OLEObject Type="Embed" ProgID="FoxitReader.Document" ShapeID="_x0000_i1025" DrawAspect="Content" ObjectID="_1468075725" r:id="rId68">
                                  <o:LockedField>false</o:LockedField>
                                </o:OLEObject>
                              </w:object>
                            </w:r>
                          </w:p>
                          <w:p w14:paraId="6E09D338">
                            <w:pPr>
                              <w:jc w:val="center"/>
                            </w:pPr>
                            <w:r>
                              <w:rPr>
                                <w:sz w:val="28"/>
                              </w:rPr>
                              <w:t>Số hiệu bản vẽ: BVMB.01_Quầy HC_T1</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5pt;margin-top:188.4pt;height:258pt;width:454.5pt;mso-wrap-distance-bottom:3.6pt;mso-wrap-distance-left:9pt;mso-wrap-distance-right:9pt;mso-wrap-distance-top:3.6pt;z-index:251659264;mso-width-relative:page;mso-height-relative:page;" fillcolor="#FFFFFF" filled="t" stroked="t" coordsize="21600,21600" o:gfxdata="UEsDBAoAAAAAAIdO4kAAAAAAAAAAAAAAAAAEAAAAZHJzL1BLAwQUAAAACACHTuJAY+SGPtkAAAAK&#10;AQAADwAAAGRycy9kb3ducmV2LnhtbE2PwU7DMBBE70j8g7VIXFBrp4E0CXF6QALBDQqCqxu7SYS9&#10;Drablr9nOcFxtU9vZprNyVk2mxBHjxKypQBmsPN6xF7C2+v9ogQWk0KtrEcj4dtE2LTnZ42qtT/i&#10;i5m3qWckwVgrCUNKU8157AbjVFz6ySD99j44legMPddBHUnuLF8JUXCnRqSEQU3mbjDd5/bgJJTX&#10;j/NHfMqf37tib6t0tZ4fvoKUlxeZuAWWzCn9wfBbn6pDS512/oA6MithcZMRKSFfFzSBgErkFbAd&#10;2atVCbxt+P8J7Q9QSwMEFAAAAAgAh07iQEvRmCQtAgAAfQQAAA4AAABkcnMvZTJvRG9jLnhtbK1U&#10;zW7bMAy+D9g7CLovdrz8tEacokuQYUDXDWj3AIosx8IkUZOU2NnTj5LTLMg2oIf5IJAi9ZH8SHpx&#10;12tFDsJ5Caai41FOiTAcaml2Ff32vHl3Q4kPzNRMgREVPQpP75Zv3yw6W4oCWlC1cARBjC87W9E2&#10;BFtmmeet0MyPwAqDxgacZgFVt8tqxzpE1yor8nyWdeBq64AL7/F2PRjpCdG9BhCaRnKxBr7XwoQB&#10;1QnFApbkW2k9XaZsm0bw8KVpvAhEVRQrDenEIChv45ktF6zcOWZbyU8psNekcFWTZtJg0DPUmgVG&#10;9k7+AaUld+ChCSMOOhsKSYxgFeP8ipunllmRakGqvT2T7v8fLH88fHVE1hUtxnNKDNPY8mfRB/IB&#10;elJEfjrrS3R7sugYerzGqUm1evsA/LsnBlYtMztx7xx0rWA15jeOL7OLpwOOjyDb7jPUGIbtAySg&#10;vnE6kod0EETH3hzPvYmpcLyczufFeIomjrb3xXw2y1P3Mla+PLfOh48CNIlCRR02P8Gzw4MPMR1W&#10;vrjEaB6UrDdSqaS43XalHDkwHJRN+lIFV27KkK6it9NiOjDwT4g8fX+D0DLg/iipK3pz6aTMibDI&#10;0cBW6Lf9qQFbqI9InYNhgnF/UWjB/aSkw+mtqP+xZ05Qoj4ZpP92PJnEcU/KZDovUHGXlu2lhRmO&#10;UBUNlAziKqQVicQYuMc2NTIRGPs5ZHLKFacy8XraoDj2l3ry+v3XW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SGPtkAAAAKAQAADwAAAAAAAAABACAAAAAiAAAAZHJzL2Rvd25yZXYueG1sUEsB&#10;AhQAFAAAAAgAh07iQEvRmCQtAgAAfQQAAA4AAAAAAAAAAQAgAAAAKAEAAGRycy9lMm9Eb2MueG1s&#10;UEsFBgAAAAAGAAYAWQEAAMcFAAAAAA==&#10;">
                <v:fill on="t" focussize="0,0"/>
                <v:stroke color="#000000" miterlimit="8" joinstyle="miter"/>
                <v:imagedata o:title=""/>
                <o:lock v:ext="edit" aspectratio="f"/>
                <v:textbox>
                  <w:txbxContent>
                    <w:p w14:paraId="6D4AEA42">
                      <w:pPr>
                        <w:jc w:val="center"/>
                        <w:rPr>
                          <w:sz w:val="28"/>
                        </w:rPr>
                      </w:pPr>
                      <w:r>
                        <w:rPr>
                          <w:b/>
                          <w:sz w:val="28"/>
                        </w:rPr>
                        <w:object>
                          <v:shape id="_x0000_i1025" o:spt="75" type="#_x0000_t75" style="height:228.9pt;width:394.65pt;" o:ole="t" filled="f" o:preferrelative="t" stroked="f" coordsize="21600,21600">
                            <v:path/>
                            <v:fill on="f" focussize="0,0"/>
                            <v:stroke on="f" joinstyle="miter"/>
                            <v:imagedata r:id="rId69" o:title=""/>
                            <o:lock v:ext="edit" aspectratio="t"/>
                            <w10:wrap type="none"/>
                            <w10:anchorlock/>
                          </v:shape>
                          <o:OLEObject Type="Embed" ProgID="FoxitReader.Document" ShapeID="_x0000_i1025" DrawAspect="Content" ObjectID="_1468075726" r:id="rId70">
                            <o:LockedField>false</o:LockedField>
                          </o:OLEObject>
                        </w:object>
                      </w:r>
                    </w:p>
                    <w:p w14:paraId="6E09D338">
                      <w:pPr>
                        <w:jc w:val="center"/>
                      </w:pPr>
                      <w:r>
                        <w:rPr>
                          <w:sz w:val="28"/>
                        </w:rPr>
                        <w:t>Số hiệu bản vẽ: BVMB.01_Quầy HC_T1</w:t>
                      </w:r>
                    </w:p>
                  </w:txbxContent>
                </v:textbox>
                <w10:wrap type="square"/>
              </v:shape>
            </w:pict>
          </mc:Fallback>
        </mc:AlternateContent>
      </w:r>
      <w:r>
        <w:rPr>
          <w:i/>
          <w:sz w:val="28"/>
          <w:szCs w:val="28"/>
          <w:lang w:val="nl-NL"/>
        </w:rPr>
        <w:t xml:space="preserve">          Bản vẽ mặt bằng bố trí nội thất</w:t>
      </w:r>
    </w:p>
    <w:tbl>
      <w:tblPr>
        <w:tblStyle w:val="6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3062"/>
        <w:gridCol w:w="2608"/>
        <w:gridCol w:w="2835"/>
      </w:tblGrid>
      <w:tr w14:paraId="45E7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4435EAA6">
            <w:pPr>
              <w:pStyle w:val="316"/>
              <w:spacing w:before="60" w:after="60" w:line="320" w:lineRule="atLeast"/>
              <w:jc w:val="left"/>
              <w:rPr>
                <w:sz w:val="26"/>
                <w:szCs w:val="26"/>
                <w:lang w:val="nl-NL"/>
              </w:rPr>
            </w:pPr>
            <w:r>
              <w:rPr>
                <w:sz w:val="26"/>
                <w:szCs w:val="26"/>
                <w:lang w:val="nl-NL"/>
              </w:rPr>
              <w:t>Stt</w:t>
            </w:r>
          </w:p>
        </w:tc>
        <w:tc>
          <w:tcPr>
            <w:tcW w:w="3062" w:type="dxa"/>
          </w:tcPr>
          <w:p w14:paraId="6377BFE3">
            <w:pPr>
              <w:pStyle w:val="316"/>
              <w:spacing w:before="60" w:after="60" w:line="320" w:lineRule="atLeast"/>
              <w:jc w:val="left"/>
              <w:rPr>
                <w:sz w:val="26"/>
                <w:szCs w:val="26"/>
                <w:lang w:val="nl-NL"/>
              </w:rPr>
            </w:pPr>
            <w:r>
              <w:rPr>
                <w:sz w:val="26"/>
                <w:szCs w:val="26"/>
                <w:lang w:val="nl-NL"/>
              </w:rPr>
              <w:t>Số bản vẽ</w:t>
            </w:r>
          </w:p>
        </w:tc>
        <w:tc>
          <w:tcPr>
            <w:tcW w:w="2608" w:type="dxa"/>
          </w:tcPr>
          <w:p w14:paraId="040962A7">
            <w:pPr>
              <w:pStyle w:val="316"/>
              <w:spacing w:before="60" w:after="60" w:line="320" w:lineRule="atLeast"/>
              <w:jc w:val="left"/>
              <w:rPr>
                <w:sz w:val="26"/>
                <w:szCs w:val="26"/>
                <w:lang w:val="nl-NL"/>
              </w:rPr>
            </w:pPr>
            <w:r>
              <w:rPr>
                <w:sz w:val="26"/>
                <w:szCs w:val="26"/>
                <w:lang w:val="nl-NL"/>
              </w:rPr>
              <w:t>Nội dung công việc</w:t>
            </w:r>
          </w:p>
        </w:tc>
        <w:tc>
          <w:tcPr>
            <w:tcW w:w="2835" w:type="dxa"/>
          </w:tcPr>
          <w:p w14:paraId="771A4574">
            <w:pPr>
              <w:pStyle w:val="316"/>
              <w:spacing w:before="60" w:after="60" w:line="320" w:lineRule="atLeast"/>
              <w:jc w:val="left"/>
              <w:rPr>
                <w:sz w:val="26"/>
                <w:szCs w:val="26"/>
                <w:lang w:val="nl-NL"/>
              </w:rPr>
            </w:pPr>
            <w:r>
              <w:rPr>
                <w:sz w:val="26"/>
                <w:szCs w:val="26"/>
                <w:lang w:val="nl-NL"/>
              </w:rPr>
              <w:t>Mục công việc</w:t>
            </w:r>
          </w:p>
        </w:tc>
      </w:tr>
      <w:tr w14:paraId="365A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62" w:type="dxa"/>
            <w:vAlign w:val="center"/>
          </w:tcPr>
          <w:p w14:paraId="5C51DC81">
            <w:pPr>
              <w:pStyle w:val="316"/>
              <w:spacing w:before="60" w:after="60" w:line="320" w:lineRule="atLeast"/>
              <w:rPr>
                <w:b w:val="0"/>
                <w:sz w:val="26"/>
                <w:szCs w:val="26"/>
                <w:lang w:val="nl-NL"/>
              </w:rPr>
            </w:pPr>
            <w:r>
              <w:rPr>
                <w:b w:val="0"/>
                <w:sz w:val="26"/>
                <w:szCs w:val="26"/>
                <w:lang w:val="nl-NL"/>
              </w:rPr>
              <w:t>1</w:t>
            </w:r>
          </w:p>
        </w:tc>
        <w:tc>
          <w:tcPr>
            <w:tcW w:w="3062" w:type="dxa"/>
            <w:vAlign w:val="center"/>
          </w:tcPr>
          <w:p w14:paraId="4B852052">
            <w:pPr>
              <w:pStyle w:val="316"/>
              <w:spacing w:before="60" w:after="60" w:line="320" w:lineRule="atLeast"/>
              <w:jc w:val="left"/>
              <w:rPr>
                <w:b w:val="0"/>
                <w:sz w:val="26"/>
                <w:szCs w:val="26"/>
                <w:lang w:val="nl-NL"/>
              </w:rPr>
            </w:pPr>
            <w:r>
              <w:rPr>
                <w:b w:val="0"/>
                <w:sz w:val="26"/>
                <w:szCs w:val="26"/>
                <w:lang w:val="nl-NL"/>
              </w:rPr>
              <w:t>BVMB.01_Quầy HC_T1</w:t>
            </w:r>
          </w:p>
        </w:tc>
        <w:tc>
          <w:tcPr>
            <w:tcW w:w="2608" w:type="dxa"/>
            <w:vAlign w:val="center"/>
          </w:tcPr>
          <w:p w14:paraId="4D35D35D">
            <w:pPr>
              <w:pStyle w:val="316"/>
              <w:spacing w:before="60" w:after="60" w:line="320" w:lineRule="atLeast"/>
              <w:jc w:val="left"/>
              <w:rPr>
                <w:b w:val="0"/>
                <w:sz w:val="26"/>
                <w:szCs w:val="26"/>
                <w:lang w:val="nl-NL"/>
              </w:rPr>
            </w:pPr>
            <w:r>
              <w:rPr>
                <w:b w:val="0"/>
                <w:sz w:val="26"/>
                <w:szCs w:val="26"/>
                <w:lang w:val="nl-NL"/>
              </w:rPr>
              <w:t xml:space="preserve">Quầy tiếp đón hành chính </w:t>
            </w:r>
          </w:p>
        </w:tc>
        <w:tc>
          <w:tcPr>
            <w:tcW w:w="2835" w:type="dxa"/>
            <w:vAlign w:val="center"/>
          </w:tcPr>
          <w:p w14:paraId="24FA6E01">
            <w:pPr>
              <w:pStyle w:val="316"/>
              <w:spacing w:before="60" w:after="60" w:line="320" w:lineRule="atLeast"/>
              <w:jc w:val="left"/>
              <w:rPr>
                <w:b w:val="0"/>
                <w:sz w:val="26"/>
                <w:szCs w:val="26"/>
                <w:lang w:val="nl-NL"/>
              </w:rPr>
            </w:pPr>
            <w:r>
              <w:rPr>
                <w:b w:val="0"/>
                <w:sz w:val="26"/>
                <w:szCs w:val="26"/>
                <w:lang w:val="nl-NL"/>
              </w:rPr>
              <w:t>Mục số 1/Phần 1</w:t>
            </w:r>
          </w:p>
        </w:tc>
      </w:tr>
      <w:tr w14:paraId="7313C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575CA053">
            <w:pPr>
              <w:pStyle w:val="316"/>
              <w:spacing w:before="60" w:after="60" w:line="320" w:lineRule="atLeast"/>
              <w:rPr>
                <w:b w:val="0"/>
                <w:sz w:val="26"/>
                <w:szCs w:val="26"/>
                <w:lang w:val="nl-NL"/>
              </w:rPr>
            </w:pPr>
            <w:r>
              <w:rPr>
                <w:b w:val="0"/>
                <w:sz w:val="26"/>
                <w:szCs w:val="26"/>
                <w:lang w:val="nl-NL"/>
              </w:rPr>
              <w:t>2</w:t>
            </w:r>
          </w:p>
        </w:tc>
        <w:tc>
          <w:tcPr>
            <w:tcW w:w="3062" w:type="dxa"/>
            <w:vAlign w:val="center"/>
          </w:tcPr>
          <w:p w14:paraId="177F77A2">
            <w:pPr>
              <w:pStyle w:val="316"/>
              <w:spacing w:before="60" w:after="60" w:line="320" w:lineRule="atLeast"/>
              <w:jc w:val="left"/>
              <w:rPr>
                <w:b w:val="0"/>
                <w:sz w:val="26"/>
                <w:szCs w:val="26"/>
                <w:lang w:val="nl-NL"/>
              </w:rPr>
            </w:pPr>
            <w:r>
              <w:rPr>
                <w:b w:val="0"/>
                <w:sz w:val="26"/>
                <w:szCs w:val="26"/>
                <w:lang w:val="nl-NL"/>
              </w:rPr>
              <w:t>BVMB.02_Quầy HC_T2,3,4,6,7,8</w:t>
            </w:r>
          </w:p>
        </w:tc>
        <w:tc>
          <w:tcPr>
            <w:tcW w:w="2608" w:type="dxa"/>
            <w:vAlign w:val="center"/>
          </w:tcPr>
          <w:p w14:paraId="101D2F69">
            <w:pPr>
              <w:pStyle w:val="316"/>
              <w:spacing w:before="60" w:after="60" w:line="320" w:lineRule="atLeast"/>
              <w:jc w:val="left"/>
              <w:rPr>
                <w:b w:val="0"/>
                <w:sz w:val="26"/>
                <w:szCs w:val="26"/>
                <w:lang w:val="nl-NL"/>
              </w:rPr>
            </w:pPr>
            <w:r>
              <w:rPr>
                <w:b w:val="0"/>
                <w:sz w:val="26"/>
                <w:szCs w:val="26"/>
                <w:lang w:val="nl-NL"/>
              </w:rPr>
              <w:t>Quầy tiếp đón</w:t>
            </w:r>
          </w:p>
        </w:tc>
        <w:tc>
          <w:tcPr>
            <w:tcW w:w="2835" w:type="dxa"/>
            <w:vAlign w:val="center"/>
          </w:tcPr>
          <w:p w14:paraId="4AB09367">
            <w:pPr>
              <w:pStyle w:val="316"/>
              <w:spacing w:before="60" w:after="60" w:line="320" w:lineRule="atLeast"/>
              <w:jc w:val="left"/>
              <w:rPr>
                <w:b w:val="0"/>
                <w:sz w:val="26"/>
                <w:szCs w:val="26"/>
                <w:lang w:val="nl-NL"/>
              </w:rPr>
            </w:pPr>
            <w:r>
              <w:rPr>
                <w:b w:val="0"/>
                <w:sz w:val="26"/>
                <w:szCs w:val="26"/>
                <w:lang w:val="nl-NL"/>
              </w:rPr>
              <w:t>Mục số 2/Phần 1</w:t>
            </w:r>
          </w:p>
        </w:tc>
      </w:tr>
      <w:tr w14:paraId="2740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58182639">
            <w:pPr>
              <w:pStyle w:val="316"/>
              <w:spacing w:before="60" w:after="60" w:line="320" w:lineRule="atLeast"/>
              <w:rPr>
                <w:b w:val="0"/>
                <w:sz w:val="26"/>
                <w:szCs w:val="26"/>
                <w:lang w:val="nl-NL"/>
              </w:rPr>
            </w:pPr>
            <w:r>
              <w:rPr>
                <w:b w:val="0"/>
                <w:sz w:val="26"/>
                <w:szCs w:val="26"/>
                <w:lang w:val="nl-NL"/>
              </w:rPr>
              <w:t>3</w:t>
            </w:r>
          </w:p>
        </w:tc>
        <w:tc>
          <w:tcPr>
            <w:tcW w:w="3062" w:type="dxa"/>
            <w:vAlign w:val="center"/>
          </w:tcPr>
          <w:p w14:paraId="317F2E34">
            <w:pPr>
              <w:pStyle w:val="316"/>
              <w:spacing w:before="60" w:after="60" w:line="320" w:lineRule="atLeast"/>
              <w:jc w:val="left"/>
              <w:rPr>
                <w:b w:val="0"/>
                <w:sz w:val="26"/>
                <w:szCs w:val="26"/>
                <w:lang w:val="nl-NL"/>
              </w:rPr>
            </w:pPr>
            <w:r>
              <w:rPr>
                <w:b w:val="0"/>
                <w:sz w:val="26"/>
                <w:szCs w:val="26"/>
                <w:lang w:val="nl-NL"/>
              </w:rPr>
              <w:t>BVMB.03_PK_T2</w:t>
            </w:r>
          </w:p>
        </w:tc>
        <w:tc>
          <w:tcPr>
            <w:tcW w:w="2608" w:type="dxa"/>
            <w:vAlign w:val="center"/>
          </w:tcPr>
          <w:p w14:paraId="771C3E07">
            <w:pPr>
              <w:pStyle w:val="316"/>
              <w:spacing w:before="60" w:after="60" w:line="320" w:lineRule="atLeast"/>
              <w:jc w:val="left"/>
              <w:rPr>
                <w:b w:val="0"/>
                <w:sz w:val="26"/>
                <w:szCs w:val="26"/>
                <w:lang w:val="nl-NL"/>
              </w:rPr>
            </w:pPr>
            <w:r>
              <w:rPr>
                <w:b w:val="0"/>
                <w:sz w:val="26"/>
                <w:szCs w:val="26"/>
                <w:lang w:val="nl-NL"/>
              </w:rPr>
              <w:t xml:space="preserve">Phòng khám </w:t>
            </w:r>
          </w:p>
        </w:tc>
        <w:tc>
          <w:tcPr>
            <w:tcW w:w="2835" w:type="dxa"/>
            <w:vAlign w:val="center"/>
          </w:tcPr>
          <w:p w14:paraId="11849B24">
            <w:pPr>
              <w:pStyle w:val="316"/>
              <w:spacing w:before="60" w:after="60" w:line="320" w:lineRule="atLeast"/>
              <w:jc w:val="left"/>
              <w:rPr>
                <w:b w:val="0"/>
                <w:sz w:val="26"/>
                <w:szCs w:val="26"/>
                <w:lang w:val="nl-NL"/>
              </w:rPr>
            </w:pPr>
            <w:r>
              <w:rPr>
                <w:b w:val="0"/>
                <w:sz w:val="26"/>
                <w:szCs w:val="26"/>
                <w:lang w:val="nl-NL"/>
              </w:rPr>
              <w:t>Mục số 4, 5/Phần 1</w:t>
            </w:r>
          </w:p>
        </w:tc>
      </w:tr>
      <w:tr w14:paraId="19FC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6D94FB76">
            <w:pPr>
              <w:pStyle w:val="316"/>
              <w:spacing w:before="60" w:after="60" w:line="320" w:lineRule="atLeast"/>
              <w:rPr>
                <w:b w:val="0"/>
                <w:sz w:val="26"/>
                <w:szCs w:val="26"/>
                <w:lang w:val="nl-NL"/>
              </w:rPr>
            </w:pPr>
            <w:r>
              <w:rPr>
                <w:b w:val="0"/>
                <w:sz w:val="26"/>
                <w:szCs w:val="26"/>
                <w:lang w:val="nl-NL"/>
              </w:rPr>
              <w:t>4</w:t>
            </w:r>
          </w:p>
        </w:tc>
        <w:tc>
          <w:tcPr>
            <w:tcW w:w="3062" w:type="dxa"/>
            <w:vAlign w:val="center"/>
          </w:tcPr>
          <w:p w14:paraId="077FD1EF">
            <w:pPr>
              <w:pStyle w:val="316"/>
              <w:spacing w:before="60" w:after="60" w:line="320" w:lineRule="atLeast"/>
              <w:jc w:val="left"/>
              <w:rPr>
                <w:b w:val="0"/>
                <w:sz w:val="26"/>
                <w:szCs w:val="26"/>
                <w:lang w:val="nl-NL"/>
              </w:rPr>
            </w:pPr>
            <w:r>
              <w:rPr>
                <w:b w:val="0"/>
                <w:sz w:val="26"/>
                <w:szCs w:val="26"/>
                <w:lang w:val="nl-NL"/>
              </w:rPr>
              <w:t>BVMB.04_QT_T1</w:t>
            </w:r>
          </w:p>
        </w:tc>
        <w:tc>
          <w:tcPr>
            <w:tcW w:w="2608" w:type="dxa"/>
            <w:vAlign w:val="center"/>
          </w:tcPr>
          <w:p w14:paraId="4DA57F3C">
            <w:pPr>
              <w:pStyle w:val="316"/>
              <w:spacing w:before="60" w:after="60" w:line="320" w:lineRule="atLeast"/>
              <w:jc w:val="left"/>
              <w:rPr>
                <w:b w:val="0"/>
                <w:sz w:val="26"/>
                <w:szCs w:val="26"/>
                <w:lang w:val="nl-NL"/>
              </w:rPr>
            </w:pPr>
            <w:r>
              <w:rPr>
                <w:b w:val="0"/>
                <w:sz w:val="26"/>
                <w:szCs w:val="26"/>
                <w:lang w:val="nl-NL"/>
              </w:rPr>
              <w:t>Quầy thuốc</w:t>
            </w:r>
          </w:p>
        </w:tc>
        <w:tc>
          <w:tcPr>
            <w:tcW w:w="2835" w:type="dxa"/>
            <w:vAlign w:val="center"/>
          </w:tcPr>
          <w:p w14:paraId="610F1097">
            <w:pPr>
              <w:pStyle w:val="316"/>
              <w:spacing w:before="60" w:after="60" w:line="320" w:lineRule="atLeast"/>
              <w:jc w:val="left"/>
              <w:rPr>
                <w:b w:val="0"/>
                <w:sz w:val="26"/>
                <w:szCs w:val="26"/>
                <w:lang w:val="nl-NL"/>
              </w:rPr>
            </w:pPr>
            <w:r>
              <w:rPr>
                <w:b w:val="0"/>
                <w:sz w:val="26"/>
                <w:szCs w:val="26"/>
                <w:lang w:val="nl-NL"/>
              </w:rPr>
              <w:t>Mục số 3/Phần 1</w:t>
            </w:r>
          </w:p>
        </w:tc>
      </w:tr>
    </w:tbl>
    <w:p w14:paraId="60B9DF02">
      <w:pPr>
        <w:spacing w:after="160" w:line="259" w:lineRule="auto"/>
        <w:jc w:val="left"/>
        <w:rPr>
          <w:sz w:val="30"/>
          <w:lang w:val="vi-VN"/>
        </w:rPr>
      </w:pPr>
      <w:r>
        <w:rPr>
          <w:sz w:val="28"/>
        </w:rPr>
        <mc:AlternateContent>
          <mc:Choice Requires="wps">
            <w:drawing>
              <wp:anchor distT="45720" distB="45720" distL="114300" distR="114300" simplePos="0" relativeHeight="251661312" behindDoc="0" locked="0" layoutInCell="1" allowOverlap="1">
                <wp:simplePos x="0" y="0"/>
                <wp:positionH relativeFrom="column">
                  <wp:posOffset>113665</wp:posOffset>
                </wp:positionH>
                <wp:positionV relativeFrom="paragraph">
                  <wp:posOffset>0</wp:posOffset>
                </wp:positionV>
                <wp:extent cx="5762625" cy="3067050"/>
                <wp:effectExtent l="0" t="0" r="28575" b="19050"/>
                <wp:wrapSquare wrapText="bothSides"/>
                <wp:docPr id="41"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62625" cy="3067050"/>
                        </a:xfrm>
                        <a:prstGeom prst="rect">
                          <a:avLst/>
                        </a:prstGeom>
                        <a:solidFill>
                          <a:srgbClr val="FFFFFF"/>
                        </a:solidFill>
                        <a:ln w="9525">
                          <a:solidFill>
                            <a:srgbClr val="000000"/>
                          </a:solidFill>
                          <a:miter lim="800000"/>
                        </a:ln>
                      </wps:spPr>
                      <wps:txbx>
                        <w:txbxContent>
                          <w:p w14:paraId="0199C210">
                            <w:pPr>
                              <w:jc w:val="center"/>
                              <w:rPr>
                                <w:sz w:val="28"/>
                              </w:rPr>
                            </w:pPr>
                            <w:r>
                              <w:rPr>
                                <w:sz w:val="28"/>
                              </w:rPr>
                              <w:object>
                                <v:shape id="_x0000_i1026" o:spt="75" type="#_x0000_t75" style="height:217.35pt;width:398.7pt;" o:ole="t" filled="f" o:preferrelative="t" stroked="f" coordsize="21600,21600">
                                  <v:path/>
                                  <v:fill on="f" focussize="0,0"/>
                                  <v:stroke on="f" joinstyle="miter"/>
                                  <v:imagedata r:id="rId72" o:title=""/>
                                  <o:lock v:ext="edit" aspectratio="t"/>
                                  <w10:wrap type="none"/>
                                  <w10:anchorlock/>
                                </v:shape>
                                <o:OLEObject Type="Embed" ProgID="FoxitReader.Document" ShapeID="_x0000_i1026" DrawAspect="Content" ObjectID="_1468075727" r:id="rId71">
                                  <o:LockedField>false</o:LockedField>
                                </o:OLEObject>
                              </w:object>
                            </w:r>
                          </w:p>
                          <w:p w14:paraId="02B684E8">
                            <w:pPr>
                              <w:jc w:val="center"/>
                            </w:pPr>
                            <w:r>
                              <w:rPr>
                                <w:sz w:val="28"/>
                              </w:rPr>
                              <w:t>Số hiệu bản vẽ: BVMB.02_Quầy HC_T2,3,4,6,7,8</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95pt;margin-top:0pt;height:241.5pt;width:453.75pt;mso-wrap-distance-bottom:3.6pt;mso-wrap-distance-left:9pt;mso-wrap-distance-right:9pt;mso-wrap-distance-top:3.6pt;z-index:251661312;mso-width-relative:page;mso-height-relative:page;" fillcolor="#FFFFFF" filled="t" stroked="t" coordsize="21600,21600" o:gfxdata="UEsDBAoAAAAAAIdO4kAAAAAAAAAAAAAAAAAEAAAAZHJzL1BLAwQUAAAACACHTuJAdV6vidYAAAAH&#10;AQAADwAAAGRycy9kb3ducmV2LnhtbE2PwU7DMBBE70j8g7VIXBC124Y2CXF6QALBDQqCqxtvk4h4&#10;HWw3LX/PcoLjaEYzb6rNyQ1iwhB7TxrmMwUCqfG2p1bD2+v9dQ4iJkPWDJ5QwzdG2NTnZ5UprT/S&#10;C07b1AouoVgaDV1KYyllbDp0Js78iMTe3gdnEsvQShvMkcvdIBdKraQzPfFCZ0a867D53B6chjx7&#10;nD7i0/L5vVnthyJdraeHr6D15cVc3YJIeEp/YfjFZ3SomWnnD2SjGFivC05q4EPsFoubDMROQ5Yv&#10;Fci6kv/56x9QSwMEFAAAAAgAh07iQNlIWfUrAgAAfAQAAA4AAABkcnMvZTJvRG9jLnhtbK1U247b&#10;IBB9r9R/QLw3dtJcdq04q22iVJW220q7/QCMcYwKDAUSO/36DjibRmlV7UP9gBhmOMw5M+PlXa8V&#10;OQjnJZiSjkc5JcJwqKXZlfTb8/bdDSU+MFMzBUaU9Cg8vVu9fbPsbCEm0IKqhSMIYnzR2ZK2Idgi&#10;yzxvhWZ+BFYYdDbgNAtoul1WO9YhulbZJM/nWQeutg648B5PN4OTnhDdawChaSQXG+B7LUwYUJ1Q&#10;LCAl30rr6Spl2zSChy9N40UgqqTINKQVH8F9FddstWTFzjHbSn5Kgb0mhStOmkmDj56hNiwwsnfy&#10;DygtuQMPTRhx0NlAJCmCLMb5lTZPLbMicUGpvT2L7v8fLH88fHVE1iWdjikxTGPFn0UfyAfoySTK&#10;01lfYNSTxbjQ4zE2TaLq7QPw754YWLfM7MS9c9C1gtWY3jjezC6uDjg+glTdZ6jxGbYPkID6xumo&#10;HapBEB1LczyXJqbC8XC2mE/mkxklHH3v8/kin6XiZax4uW6dDx8FaBI3JXVY+wTPDg8+xHRY8RIS&#10;X/OgZL2VSiXD7aq1cuTAsE+26UsMrsKUIV1Jb2eYyL8h8vT9DULLgOOjpC7pzWWQMifBokaDWqGv&#10;+lMBKqiPKJ2DoYFxfHHTgvtJSYfNW1L/Y8+coER9Mij/7Xg6jd2ejOlsMUHDXXqqSw8zHKFKGigZ&#10;tuuQJiRSNHCPZWpkEjDWc8jklCs2ZdL1NECx6y/tFPX7p7H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Ver4nWAAAABwEAAA8AAAAAAAAAAQAgAAAAIgAAAGRycy9kb3ducmV2LnhtbFBLAQIUABQA&#10;AAAIAIdO4kDZSFn1KwIAAHwEAAAOAAAAAAAAAAEAIAAAACUBAABkcnMvZTJvRG9jLnhtbFBLBQYA&#10;AAAABgAGAFkBAADCBQAAAAA=&#10;">
                <v:fill on="t" focussize="0,0"/>
                <v:stroke color="#000000" miterlimit="8" joinstyle="miter"/>
                <v:imagedata o:title=""/>
                <o:lock v:ext="edit" aspectratio="f"/>
                <v:textbox>
                  <w:txbxContent>
                    <w:p w14:paraId="0199C210">
                      <w:pPr>
                        <w:jc w:val="center"/>
                        <w:rPr>
                          <w:sz w:val="28"/>
                        </w:rPr>
                      </w:pPr>
                      <w:r>
                        <w:rPr>
                          <w:sz w:val="28"/>
                        </w:rPr>
                        <w:object>
                          <v:shape id="_x0000_i1026" o:spt="75" type="#_x0000_t75" style="height:217.35pt;width:398.7pt;" o:ole="t" filled="f" o:preferrelative="t" stroked="f" coordsize="21600,21600">
                            <v:path/>
                            <v:fill on="f" focussize="0,0"/>
                            <v:stroke on="f" joinstyle="miter"/>
                            <v:imagedata r:id="rId72" o:title=""/>
                            <o:lock v:ext="edit" aspectratio="t"/>
                            <w10:wrap type="none"/>
                            <w10:anchorlock/>
                          </v:shape>
                          <o:OLEObject Type="Embed" ProgID="FoxitReader.Document" ShapeID="_x0000_i1026" DrawAspect="Content" ObjectID="_1468075728" r:id="rId73">
                            <o:LockedField>false</o:LockedField>
                          </o:OLEObject>
                        </w:object>
                      </w:r>
                    </w:p>
                    <w:p w14:paraId="02B684E8">
                      <w:pPr>
                        <w:jc w:val="center"/>
                      </w:pPr>
                      <w:r>
                        <w:rPr>
                          <w:sz w:val="28"/>
                        </w:rPr>
                        <w:t>Số hiệu bản vẽ: BVMB.02_Quầy HC_T2,3,4,6,7,8</w:t>
                      </w:r>
                    </w:p>
                  </w:txbxContent>
                </v:textbox>
                <w10:wrap type="square"/>
              </v:shape>
            </w:pict>
          </mc:Fallback>
        </mc:AlternateContent>
      </w:r>
      <w:r>
        <w:rPr>
          <w:sz w:val="28"/>
        </w:rPr>
        <mc:AlternateContent>
          <mc:Choice Requires="wps">
            <w:drawing>
              <wp:anchor distT="45720" distB="45720" distL="114300" distR="114300" simplePos="0" relativeHeight="251662336" behindDoc="0" locked="0" layoutInCell="1" allowOverlap="1">
                <wp:simplePos x="0" y="0"/>
                <wp:positionH relativeFrom="margin">
                  <wp:posOffset>77470</wp:posOffset>
                </wp:positionH>
                <wp:positionV relativeFrom="paragraph">
                  <wp:posOffset>3090545</wp:posOffset>
                </wp:positionV>
                <wp:extent cx="5806440" cy="2950210"/>
                <wp:effectExtent l="0" t="0" r="22860" b="21590"/>
                <wp:wrapSquare wrapText="bothSides"/>
                <wp:docPr id="3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06440" cy="2950210"/>
                        </a:xfrm>
                        <a:prstGeom prst="rect">
                          <a:avLst/>
                        </a:prstGeom>
                        <a:solidFill>
                          <a:srgbClr val="FFFFFF"/>
                        </a:solidFill>
                        <a:ln w="9525">
                          <a:solidFill>
                            <a:srgbClr val="000000"/>
                          </a:solidFill>
                          <a:miter lim="800000"/>
                        </a:ln>
                      </wps:spPr>
                      <wps:txbx>
                        <w:txbxContent>
                          <w:p w14:paraId="6FF6D95D">
                            <w:pPr>
                              <w:jc w:val="center"/>
                              <w:rPr>
                                <w:sz w:val="28"/>
                              </w:rPr>
                            </w:pPr>
                            <w:r>
                              <w:rPr>
                                <w:sz w:val="28"/>
                              </w:rPr>
                              <w:object>
                                <v:shape id="_x0000_i1027" o:spt="75" type="#_x0000_t75" style="height:206.5pt;width:406.2pt;" o:ole="t" filled="f" o:preferrelative="t" stroked="f" coordsize="21600,21600">
                                  <v:path/>
                                  <v:fill on="f" focussize="0,0"/>
                                  <v:stroke on="f" joinstyle="miter"/>
                                  <v:imagedata r:id="rId75" o:title=""/>
                                  <o:lock v:ext="edit" aspectratio="t"/>
                                  <w10:wrap type="none"/>
                                  <w10:anchorlock/>
                                </v:shape>
                                <o:OLEObject Type="Embed" ProgID="FoxitReader.Document" ShapeID="_x0000_i1027" DrawAspect="Content" ObjectID="_1468075729" r:id="rId74">
                                  <o:LockedField>false</o:LockedField>
                                </o:OLEObject>
                              </w:object>
                            </w:r>
                          </w:p>
                          <w:p w14:paraId="6BFDA60A">
                            <w:pPr>
                              <w:jc w:val="center"/>
                            </w:pPr>
                            <w:r>
                              <w:rPr>
                                <w:sz w:val="28"/>
                              </w:rPr>
                              <w:t>Số hiệu bản vẽ: BVMB.03_PK_T2</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1pt;margin-top:243.35pt;height:232.3pt;width:457.2pt;mso-position-horizontal-relative:margin;mso-wrap-distance-bottom:3.6pt;mso-wrap-distance-left:9pt;mso-wrap-distance-right:9pt;mso-wrap-distance-top:3.6pt;z-index:251662336;mso-width-relative:page;mso-height-relative:page;" fillcolor="#FFFFFF" filled="t" stroked="t" coordsize="21600,21600" o:gfxdata="UEsDBAoAAAAAAIdO4kAAAAAAAAAAAAAAAAAEAAAAZHJzL1BLAwQUAAAACACHTuJA6eHIj9kAAAAK&#10;AQAADwAAAGRycy9kb3ducmV2LnhtbE2PwU7DMAyG70i8Q2QkLoil7UbWlaY7IIHgBgNt16zJ2orE&#10;KUnWjbfHnODmX/70+3O9PjvLJhPi4FFCPsuAGWy9HrCT8PH+eFsCi0mhVtajkfBtIqyby4taVdqf&#10;8M1Mm9QxKsFYKQl9SmPFeWx741Sc+dEg7Q4+OJUoho7roE5U7iwvskxwpwakC70azUNv2s/N0Uko&#10;F8/TLr7MX7etONhVullOT19ByuurPLsHlsw5/cHwq0/q0JDT3h9RR2YpFwWREhalWAIjYFUIAWxP&#10;w10+B97U/P8LzQ9QSwMEFAAAAAgAh07iQNPn8cgqAgAAfAQAAA4AAABkcnMvZTJvRG9jLnhtbK2U&#10;zY7bIBDH75X6Doh7Y8dNtokVZ7VNlKrS9kPa7QMQjGNUYCiQ2Nun74C9aZS20h7qAwJm+DPzm8Gr&#10;214rchLOSzAVnU5ySoThUEtzqOi3x92bBSU+MFMzBUZU9El4ert+/WrV2VIU0IKqhSMoYnzZ2Yq2&#10;IdgyyzxvhWZ+AlYYNDbgNAu4dIesdqxDda2yIs9vsg5cbR1w4T3ubgcjHRXdSwShaSQXW+BHLUwY&#10;VJ1QLGBKvpXW03WKtmkED1+axotAVEUx05BGvATn+zhm6xUrD47ZVvIxBPaSEK5y0kwavPQstWWB&#10;kaOTf0hpyR14aMKEg86GRBIRzGKaX7F5aJkVKRdE7e0Zuv9/svzz6asjsq7oW0RimMaKP4o+kPfQ&#10;kyLi6awv0evBol/ocRubJqXq7T3w754Y2LTMHMSdc9C1gtUY3jSezC6ODjo+iuy7T1DjNewYIAn1&#10;jdORHdIgqI5xPJ1LE0PhuDlf5DezGZo42orlPC+mqXgZK5+PW+fDBwGaxElFHdY+ybPTvQ8xHFY+&#10;u8TbPChZ76RSaeEO+41y5MSwT3bpSxlcuSlDuoou58V8IPBPiTx9f5PQMuDzUVJXdHHppMwILDIa&#10;aIV+348F2EP9hOgcDA2MzxcnLbiflHTYvBX1P47MCUrUR4P4l9PEKqTFbP6uQHDu0rK/tDDDUaqi&#10;gZJhugnphUQwBu6wTI1MAGM9h0jGWLEpE9fxAcWuv1wnr98/jf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eHIj9kAAAAKAQAADwAAAAAAAAABACAAAAAiAAAAZHJzL2Rvd25yZXYueG1sUEsBAhQA&#10;FAAAAAgAh07iQNPn8cgqAgAAfAQAAA4AAAAAAAAAAQAgAAAAKAEAAGRycy9lMm9Eb2MueG1sUEsF&#10;BgAAAAAGAAYAWQEAAMQFAAAAAA==&#10;">
                <v:fill on="t" focussize="0,0"/>
                <v:stroke color="#000000" miterlimit="8" joinstyle="miter"/>
                <v:imagedata o:title=""/>
                <o:lock v:ext="edit" aspectratio="f"/>
                <v:textbox>
                  <w:txbxContent>
                    <w:p w14:paraId="6FF6D95D">
                      <w:pPr>
                        <w:jc w:val="center"/>
                        <w:rPr>
                          <w:sz w:val="28"/>
                        </w:rPr>
                      </w:pPr>
                      <w:r>
                        <w:rPr>
                          <w:sz w:val="28"/>
                        </w:rPr>
                        <w:object>
                          <v:shape id="_x0000_i1027" o:spt="75" type="#_x0000_t75" style="height:206.5pt;width:406.2pt;" o:ole="t" filled="f" o:preferrelative="t" stroked="f" coordsize="21600,21600">
                            <v:path/>
                            <v:fill on="f" focussize="0,0"/>
                            <v:stroke on="f" joinstyle="miter"/>
                            <v:imagedata r:id="rId75" o:title=""/>
                            <o:lock v:ext="edit" aspectratio="t"/>
                            <w10:wrap type="none"/>
                            <w10:anchorlock/>
                          </v:shape>
                          <o:OLEObject Type="Embed" ProgID="FoxitReader.Document" ShapeID="_x0000_i1027" DrawAspect="Content" ObjectID="_1468075730" r:id="rId76">
                            <o:LockedField>false</o:LockedField>
                          </o:OLEObject>
                        </w:object>
                      </w:r>
                    </w:p>
                    <w:p w14:paraId="6BFDA60A">
                      <w:pPr>
                        <w:jc w:val="center"/>
                      </w:pPr>
                      <w:r>
                        <w:rPr>
                          <w:sz w:val="28"/>
                        </w:rPr>
                        <w:t>Số hiệu bản vẽ: BVMB.03_PK_T2</w:t>
                      </w:r>
                    </w:p>
                  </w:txbxContent>
                </v:textbox>
                <w10:wrap type="square"/>
              </v:shape>
            </w:pict>
          </mc:Fallback>
        </mc:AlternateContent>
      </w:r>
      <w:r>
        <w:rPr>
          <w:sz w:val="28"/>
        </w:rPr>
        <mc:AlternateContent>
          <mc:Choice Requires="wps">
            <w:drawing>
              <wp:anchor distT="45720" distB="45720" distL="114300" distR="114300" simplePos="0" relativeHeight="251660288" behindDoc="0" locked="0" layoutInCell="1" allowOverlap="1">
                <wp:simplePos x="0" y="0"/>
                <wp:positionH relativeFrom="column">
                  <wp:posOffset>65405</wp:posOffset>
                </wp:positionH>
                <wp:positionV relativeFrom="paragraph">
                  <wp:posOffset>6061075</wp:posOffset>
                </wp:positionV>
                <wp:extent cx="5762625" cy="3067050"/>
                <wp:effectExtent l="0" t="0" r="28575" b="19050"/>
                <wp:wrapSquare wrapText="bothSides"/>
                <wp:docPr id="5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62625" cy="3067050"/>
                        </a:xfrm>
                        <a:prstGeom prst="rect">
                          <a:avLst/>
                        </a:prstGeom>
                        <a:solidFill>
                          <a:srgbClr val="FFFFFF"/>
                        </a:solidFill>
                        <a:ln w="9525">
                          <a:solidFill>
                            <a:srgbClr val="000000"/>
                          </a:solidFill>
                          <a:miter lim="800000"/>
                        </a:ln>
                      </wps:spPr>
                      <wps:txbx>
                        <w:txbxContent>
                          <w:p w14:paraId="32411ADA">
                            <w:pPr>
                              <w:jc w:val="center"/>
                              <w:rPr>
                                <w:sz w:val="28"/>
                              </w:rPr>
                            </w:pPr>
                            <w:r>
                              <w:rPr>
                                <w:sz w:val="28"/>
                              </w:rPr>
                              <w:object>
                                <v:shape id="_x0000_i1028" o:spt="75" type="#_x0000_t75" style="height:216pt;width:417.75pt;" o:ole="t" filled="f" o:preferrelative="t" stroked="f" coordsize="21600,21600">
                                  <v:path/>
                                  <v:fill on="f" focussize="0,0"/>
                                  <v:stroke on="f" joinstyle="miter"/>
                                  <v:imagedata r:id="rId78" o:title=""/>
                                  <o:lock v:ext="edit" aspectratio="t"/>
                                  <w10:wrap type="none"/>
                                  <w10:anchorlock/>
                                </v:shape>
                                <o:OLEObject Type="Embed" ProgID="FoxitReader.Document" ShapeID="_x0000_i1028" DrawAspect="Content" ObjectID="_1468075731" r:id="rId77">
                                  <o:LockedField>false</o:LockedField>
                                </o:OLEObject>
                              </w:object>
                            </w:r>
                          </w:p>
                          <w:p w14:paraId="06AFEE32">
                            <w:pPr>
                              <w:jc w:val="center"/>
                            </w:pPr>
                            <w:r>
                              <w:rPr>
                                <w:sz w:val="28"/>
                              </w:rPr>
                              <w:t>Số hiệu bản vẽ: BVMB.04_QT_T1</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15pt;margin-top:477.25pt;height:241.5pt;width:453.75pt;mso-wrap-distance-bottom:3.6pt;mso-wrap-distance-left:9pt;mso-wrap-distance-right:9pt;mso-wrap-distance-top:3.6pt;z-index:251660288;mso-width-relative:page;mso-height-relative:page;" fillcolor="#FFFFFF" filled="t" stroked="t" coordsize="21600,21600" o:gfxdata="UEsDBAoAAAAAAIdO4kAAAAAAAAAAAAAAAAAEAAAAZHJzL1BLAwQUAAAACACHTuJAQcXMy9kAAAAL&#10;AQAADwAAAGRycy9kb3ducmV2LnhtbE2PMU/DMBSEdyT+g/WQWBB1QpKmCXE6IIFgg4La1Y3dJMJ+&#10;Drabln/PY4LxdKe775r12Ro2ax9GhwLSRQJMY+fUiL2Aj/fH2xWwECUqaRxqAd86wLq9vGhkrdwJ&#10;3/S8iT2jEgy1FDDEONWch27QVoaFmzSSd3DeykjS91x5eaJya/hdkiy5lSPSwiAn/TDo7nNztAJW&#10;+fO8Cy/Z67ZbHkwVb8r56csLcX2VJvfAoj7HvzD84hM6tMS0d0dUgRnSSUZJAVWRF8AoUKUlfdmT&#10;k2dlAbxt+P8P7Q9QSwMEFAAAAAgAh07iQLEHyY8rAgAAfAQAAA4AAABkcnMvZTJvRG9jLnhtbK1U&#10;wY7TMBC9I/EPlu80aWi726jpamlVhLQsSLt8gOs4jYXtMbbbpHw9Y6dbqoLQHsjB8njGz/PezGRx&#10;12tFDsJ5Caai41FOiTAcaml2Ff32vHl3S4kPzNRMgREVPQpP75Zv3yw6W4oCWlC1cARBjC87W9E2&#10;BFtmmeet0MyPwAqDzgacZgFNt8tqxzpE1yor8nyWdeBq64AL7/F0PTjpCdG9BhCaRnKxBr7XwoQB&#10;1QnFAlLyrbSeLlO2TSN4+NI0XgSiKopMQ1rxEdxv45otF6zcOWZbyU8psNekcMVJM2nw0TPUmgVG&#10;9k7+AaUld+ChCSMOOhuIJEWQxTi/0uapZVYkLii1t2fR/f+D5Y+Hr47IuqLTOSWGaaz4s+gD+QA9&#10;KaI8nfUlRj1ZjAs9HmPTJKrePgD/7omBVcvMTtw7B10rWI3pjePN7OLqgOMjyLb7DDU+w/YBElDf&#10;OB21QzUIomNpjufSxFQ4Hk5vZsWsmFLC0fc+n93k01S8jJUv163z4aMATeKmog5rn+DZ4cGHmA4r&#10;X0Liax6UrDdSqWS43XalHDkw7JNN+hKDqzBlSFfR+RQT+TdEnr6/QWgZcHyU1BW9vQxS5iRY1GhQ&#10;K/Tb/lSALdRHlM7B0MA4vrhpwf2kpMPmraj/sWdOUKI+GZR/Pp5MYrcnYzK9KdBwl57tpYcZjlAV&#10;DZQM21VIExIpGrjHMjUyCRjrOWRyyhWbMul6GqDY9Zd2ivr901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HFzMvZAAAACwEAAA8AAAAAAAAAAQAgAAAAIgAAAGRycy9kb3ducmV2LnhtbFBLAQIU&#10;ABQAAAAIAIdO4kCxB8mPKwIAAHwEAAAOAAAAAAAAAAEAIAAAACgBAABkcnMvZTJvRG9jLnhtbFBL&#10;BQYAAAAABgAGAFkBAADFBQAAAAA=&#10;">
                <v:fill on="t" focussize="0,0"/>
                <v:stroke color="#000000" miterlimit="8" joinstyle="miter"/>
                <v:imagedata o:title=""/>
                <o:lock v:ext="edit" aspectratio="f"/>
                <v:textbox>
                  <w:txbxContent>
                    <w:p w14:paraId="32411ADA">
                      <w:pPr>
                        <w:jc w:val="center"/>
                        <w:rPr>
                          <w:sz w:val="28"/>
                        </w:rPr>
                      </w:pPr>
                      <w:r>
                        <w:rPr>
                          <w:sz w:val="28"/>
                        </w:rPr>
                        <w:object>
                          <v:shape id="_x0000_i1028" o:spt="75" type="#_x0000_t75" style="height:216pt;width:417.75pt;" o:ole="t" filled="f" o:preferrelative="t" stroked="f" coordsize="21600,21600">
                            <v:path/>
                            <v:fill on="f" focussize="0,0"/>
                            <v:stroke on="f" joinstyle="miter"/>
                            <v:imagedata r:id="rId78" o:title=""/>
                            <o:lock v:ext="edit" aspectratio="t"/>
                            <w10:wrap type="none"/>
                            <w10:anchorlock/>
                          </v:shape>
                          <o:OLEObject Type="Embed" ProgID="FoxitReader.Document" ShapeID="_x0000_i1028" DrawAspect="Content" ObjectID="_1468075732" r:id="rId79">
                            <o:LockedField>false</o:LockedField>
                          </o:OLEObject>
                        </w:object>
                      </w:r>
                    </w:p>
                    <w:p w14:paraId="06AFEE32">
                      <w:pPr>
                        <w:jc w:val="center"/>
                      </w:pPr>
                      <w:r>
                        <w:rPr>
                          <w:sz w:val="28"/>
                        </w:rPr>
                        <w:t>Số hiệu bản vẽ: BVMB.04_QT_T1</w:t>
                      </w:r>
                    </w:p>
                  </w:txbxContent>
                </v:textbox>
                <w10:wrap type="square"/>
              </v:shape>
            </w:pict>
          </mc:Fallback>
        </mc:AlternateContent>
      </w:r>
      <w:r>
        <w:rPr>
          <w:sz w:val="28"/>
        </w:rPr>
        <w:br w:type="page"/>
      </w:r>
      <w:bookmarkEnd w:id="0"/>
      <w:bookmarkEnd w:id="1"/>
    </w:p>
    <w:sectPr>
      <w:headerReference r:id="rId5" w:type="default"/>
      <w:footerReference r:id="rId6" w:type="default"/>
      <w:footnotePr>
        <w:numRestart w:val="eachPage"/>
      </w:footnotePr>
      <w:endnotePr>
        <w:numFmt w:val="decimal"/>
      </w:endnotePr>
      <w:pgSz w:w="11906" w:h="16838"/>
      <w:pgMar w:top="1134" w:right="1134" w:bottom="1134" w:left="1701" w:header="720" w:footer="255"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Times New Roman Bold">
    <w:altName w:val="Times New Roman"/>
    <w:panose1 w:val="02020803070505020304"/>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CG Times">
    <w:altName w:val="Times New Roman"/>
    <w:panose1 w:val="00000000000000000000"/>
    <w:charset w:val="00"/>
    <w:family w:val="roman"/>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auto"/>
    <w:pitch w:val="default"/>
    <w:sig w:usb0="E4002EFF" w:usb1="C0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
    <w:altName w:val="Times New Roman"/>
    <w:panose1 w:val="02020603050405020304"/>
    <w:charset w:val="00"/>
    <w:family w:val="roman"/>
    <w:pitch w:val="default"/>
    <w:sig w:usb0="00000000" w:usb1="00000000" w:usb2="00000009" w:usb3="00000000" w:csb0="000001FF" w:csb1="00000000"/>
  </w:font>
  <w:font w:name="Book Antiqua">
    <w:panose1 w:val="02040602050305030304"/>
    <w:charset w:val="00"/>
    <w:family w:val="roman"/>
    <w:pitch w:val="default"/>
    <w:sig w:usb0="00000287" w:usb1="000000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Helvetica Neue">
    <w:altName w:val="Times New Roman"/>
    <w:panose1 w:val="02000A03050000090004"/>
    <w:charset w:val="00"/>
    <w:family w:val="auto"/>
    <w:pitch w:val="default"/>
    <w:sig w:usb0="00000000" w:usb1="00000000" w:usb2="00000000" w:usb3="00000000" w:csb0="00000001" w:csb1="00000000"/>
  </w:font>
  <w:font w:name="‚l‚r –¾’©">
    <w:altName w:val="Segoe Print"/>
    <w:panose1 w:val="00000000000000000000"/>
    <w:charset w:val="00"/>
    <w:family w:val="roman"/>
    <w:pitch w:val="default"/>
    <w:sig w:usb0="00000000" w:usb1="00000000" w:usb2="00000000" w:usb3="00000000" w:csb0="00000001" w:csb1="00000000"/>
  </w:font>
  <w:font w:name="Arial-BoldMT">
    <w:altName w:val="Arial"/>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Optima">
    <w:altName w:val="Segoe Print"/>
    <w:panose1 w:val="00000000000000000000"/>
    <w:charset w:val="00"/>
    <w:family w:val="swiss"/>
    <w:pitch w:val="default"/>
    <w:sig w:usb0="00000000" w:usb1="00000000" w:usb2="00000000" w:usb3="00000000" w:csb0="00000001" w:csb1="00000000"/>
  </w:font>
  <w:font w:name=".VnTime">
    <w:panose1 w:val="020B7200000000000000"/>
    <w:charset w:val="00"/>
    <w:family w:val="swiss"/>
    <w:pitch w:val="default"/>
    <w:sig w:usb0="00000000" w:usb1="00000000" w:usb2="00000000" w:usb3="00000000" w:csb0="00000000" w:csb1="00000000"/>
  </w:font>
  <w:font w:name=".VnArial">
    <w:altName w:val=".VnArial Narrow"/>
    <w:panose1 w:val="020B7200000000000000"/>
    <w:charset w:val="00"/>
    <w:family w:val="swiss"/>
    <w:pitch w:val="default"/>
    <w:sig w:usb0="00000000" w:usb1="00000000" w:usb2="00000000" w:usb3="00000000" w:csb0="00000011" w:csb1="00000000"/>
  </w:font>
  <w:font w:name=".VnArial Narrow">
    <w:panose1 w:val="020B72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font>
  <w:font w:name="Calibri">
    <w:panose1 w:val="020F0502020204030204"/>
    <w:charset w:val="00"/>
    <w:family w:val="auto"/>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AF921">
    <w:pPr>
      <w:pStyle w:val="3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8633603"/>
      <w:docPartObj>
        <w:docPartGallery w:val="autotext"/>
      </w:docPartObj>
    </w:sdtPr>
    <w:sdtEndPr>
      <w:rPr>
        <w:sz w:val="28"/>
        <w:szCs w:val="28"/>
      </w:rPr>
    </w:sdtEndPr>
    <w:sdtContent>
      <w:p w14:paraId="52863960">
        <w:pPr>
          <w:pStyle w:val="33"/>
          <w:jc w:val="center"/>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182</w:t>
        </w:r>
        <w:r>
          <w:rPr>
            <w:sz w:val="28"/>
            <w:szCs w:val="28"/>
          </w:rPr>
          <w:fldChar w:fldCharType="end"/>
        </w:r>
      </w:p>
    </w:sdtContent>
  </w:sdt>
  <w:p w14:paraId="0253FBFC">
    <w:pPr>
      <w:pStyle w:val="3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706641"/>
    <w:multiLevelType w:val="multilevel"/>
    <w:tmpl w:val="0C706641"/>
    <w:lvl w:ilvl="0" w:tentative="0">
      <w:start w:val="1"/>
      <w:numFmt w:val="decimal"/>
      <w:pStyle w:val="307"/>
      <w:lvlText w:val="%1."/>
      <w:lvlJc w:val="left"/>
      <w:pPr>
        <w:ind w:left="360" w:hanging="360"/>
      </w:pPr>
      <w:rPr>
        <w:rFonts w:hint="default"/>
        <w:b/>
      </w:rPr>
    </w:lvl>
    <w:lvl w:ilvl="1" w:tentative="0">
      <w:start w:val="1"/>
      <w:numFmt w:val="decimal"/>
      <w:lvlText w:val="%1.%2."/>
      <w:lvlJc w:val="left"/>
      <w:pPr>
        <w:ind w:left="792" w:hanging="432"/>
      </w:pPr>
      <w:rPr>
        <w:rFonts w:hint="default"/>
      </w:rPr>
    </w:lvl>
    <w:lvl w:ilvl="2" w:tentative="0">
      <w:start w:val="1"/>
      <w:numFmt w:val="decimal"/>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
    <w:nsid w:val="3ED10A5F"/>
    <w:multiLevelType w:val="multilevel"/>
    <w:tmpl w:val="3ED10A5F"/>
    <w:lvl w:ilvl="0" w:tentative="0">
      <w:start w:val="1"/>
      <w:numFmt w:val="decimal"/>
      <w:isLgl/>
      <w:lvlText w:val="%1."/>
      <w:lvlJc w:val="left"/>
      <w:pPr>
        <w:tabs>
          <w:tab w:val="left" w:pos="576"/>
        </w:tabs>
        <w:ind w:left="432" w:hanging="432"/>
      </w:pPr>
      <w:rPr>
        <w:rFonts w:hint="default"/>
        <w:b/>
        <w:i w:val="0"/>
        <w:sz w:val="24"/>
      </w:rPr>
    </w:lvl>
    <w:lvl w:ilvl="1" w:tentative="0">
      <w:start w:val="1"/>
      <w:numFmt w:val="decimal"/>
      <w:lvlText w:val="%1.%2"/>
      <w:lvlJc w:val="left"/>
      <w:pPr>
        <w:tabs>
          <w:tab w:val="left" w:pos="504"/>
        </w:tabs>
        <w:ind w:left="504" w:hanging="504"/>
      </w:pPr>
      <w:rPr>
        <w:rFonts w:hint="default" w:ascii="Times New Roman" w:hAnsi="Times New Roman"/>
        <w:b w:val="0"/>
        <w:i w:val="0"/>
        <w:sz w:val="24"/>
      </w:rPr>
    </w:lvl>
    <w:lvl w:ilvl="2" w:tentative="0">
      <w:start w:val="1"/>
      <w:numFmt w:val="lowerLetter"/>
      <w:lvlText w:val="(%3)"/>
      <w:lvlJc w:val="left"/>
      <w:pPr>
        <w:tabs>
          <w:tab w:val="left" w:pos="864"/>
        </w:tabs>
        <w:ind w:left="432" w:firstLine="144"/>
      </w:pPr>
      <w:rPr>
        <w:rFonts w:hint="default" w:ascii="Times New Roman" w:hAnsi="Times New Roman"/>
        <w:b w:val="0"/>
        <w:i w:val="0"/>
        <w:sz w:val="24"/>
      </w:rPr>
    </w:lvl>
    <w:lvl w:ilvl="3" w:tentative="0">
      <w:start w:val="1"/>
      <w:numFmt w:val="lowerRoman"/>
      <w:lvlText w:val="(%4)"/>
      <w:lvlJc w:val="left"/>
      <w:pPr>
        <w:tabs>
          <w:tab w:val="left" w:pos="1512"/>
        </w:tabs>
        <w:ind w:left="1512" w:hanging="648"/>
      </w:pPr>
      <w:rPr>
        <w:rFonts w:hint="default" w:ascii="Times New Roman" w:hAnsi="Times New Roman"/>
        <w:b w:val="0"/>
        <w:i w:val="0"/>
        <w:sz w:val="24"/>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hideSpellingErrors/>
  <w:documentProtection w:enforcement="0"/>
  <w:defaultTabStop w:val="720"/>
  <w:characterSpacingControl w:val="doNotCompress"/>
  <w:footnotePr>
    <w:numRestart w:val="eachPage"/>
    <w:footnote w:id="0"/>
    <w:footnote w:id="1"/>
  </w:footnotePr>
  <w:endnotePr>
    <w:numFmt w:val="decimal"/>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72F"/>
    <w:rsid w:val="00000081"/>
    <w:rsid w:val="000001AD"/>
    <w:rsid w:val="000004B5"/>
    <w:rsid w:val="0000177C"/>
    <w:rsid w:val="00002192"/>
    <w:rsid w:val="0000239B"/>
    <w:rsid w:val="00003B56"/>
    <w:rsid w:val="00003D2D"/>
    <w:rsid w:val="000046ED"/>
    <w:rsid w:val="00005364"/>
    <w:rsid w:val="000058AB"/>
    <w:rsid w:val="00005B1C"/>
    <w:rsid w:val="00007802"/>
    <w:rsid w:val="0000787F"/>
    <w:rsid w:val="0001066D"/>
    <w:rsid w:val="00010BE9"/>
    <w:rsid w:val="00011106"/>
    <w:rsid w:val="0001129E"/>
    <w:rsid w:val="00013081"/>
    <w:rsid w:val="000141C8"/>
    <w:rsid w:val="000148B0"/>
    <w:rsid w:val="00014F30"/>
    <w:rsid w:val="00015255"/>
    <w:rsid w:val="00016D42"/>
    <w:rsid w:val="000172CC"/>
    <w:rsid w:val="00017D5C"/>
    <w:rsid w:val="00020B6E"/>
    <w:rsid w:val="0002103A"/>
    <w:rsid w:val="0002274C"/>
    <w:rsid w:val="0002293A"/>
    <w:rsid w:val="000237C4"/>
    <w:rsid w:val="000238D2"/>
    <w:rsid w:val="000246B4"/>
    <w:rsid w:val="0002542D"/>
    <w:rsid w:val="00025456"/>
    <w:rsid w:val="00025845"/>
    <w:rsid w:val="00025F78"/>
    <w:rsid w:val="00026D6E"/>
    <w:rsid w:val="0002753A"/>
    <w:rsid w:val="00027775"/>
    <w:rsid w:val="000305AC"/>
    <w:rsid w:val="00030B30"/>
    <w:rsid w:val="00030BFE"/>
    <w:rsid w:val="000310A6"/>
    <w:rsid w:val="00031BBF"/>
    <w:rsid w:val="0003230A"/>
    <w:rsid w:val="00032B0F"/>
    <w:rsid w:val="00032E80"/>
    <w:rsid w:val="00033738"/>
    <w:rsid w:val="000337C3"/>
    <w:rsid w:val="0003471D"/>
    <w:rsid w:val="0003561F"/>
    <w:rsid w:val="000357CE"/>
    <w:rsid w:val="00035F3B"/>
    <w:rsid w:val="00036070"/>
    <w:rsid w:val="00036B62"/>
    <w:rsid w:val="000374F4"/>
    <w:rsid w:val="00037DFA"/>
    <w:rsid w:val="0004149E"/>
    <w:rsid w:val="000435E2"/>
    <w:rsid w:val="00043A42"/>
    <w:rsid w:val="000445B9"/>
    <w:rsid w:val="00044720"/>
    <w:rsid w:val="00045765"/>
    <w:rsid w:val="000458C9"/>
    <w:rsid w:val="0004640C"/>
    <w:rsid w:val="00046468"/>
    <w:rsid w:val="0004698B"/>
    <w:rsid w:val="00046C60"/>
    <w:rsid w:val="00046D3C"/>
    <w:rsid w:val="0004724D"/>
    <w:rsid w:val="000476F7"/>
    <w:rsid w:val="0005025E"/>
    <w:rsid w:val="00051BA7"/>
    <w:rsid w:val="00052851"/>
    <w:rsid w:val="00052E76"/>
    <w:rsid w:val="0005321A"/>
    <w:rsid w:val="000535C7"/>
    <w:rsid w:val="00053EF0"/>
    <w:rsid w:val="000541D6"/>
    <w:rsid w:val="0005514B"/>
    <w:rsid w:val="00055C02"/>
    <w:rsid w:val="00057175"/>
    <w:rsid w:val="0005772F"/>
    <w:rsid w:val="000577E3"/>
    <w:rsid w:val="00060899"/>
    <w:rsid w:val="00060D8C"/>
    <w:rsid w:val="0006101F"/>
    <w:rsid w:val="0006209D"/>
    <w:rsid w:val="00062B7F"/>
    <w:rsid w:val="0006303A"/>
    <w:rsid w:val="00063523"/>
    <w:rsid w:val="0006361B"/>
    <w:rsid w:val="00063990"/>
    <w:rsid w:val="00064DBB"/>
    <w:rsid w:val="0006511D"/>
    <w:rsid w:val="00065399"/>
    <w:rsid w:val="00065CCF"/>
    <w:rsid w:val="00065D65"/>
    <w:rsid w:val="000675F3"/>
    <w:rsid w:val="00067E56"/>
    <w:rsid w:val="00073A64"/>
    <w:rsid w:val="00074070"/>
    <w:rsid w:val="00074463"/>
    <w:rsid w:val="00074510"/>
    <w:rsid w:val="000748B4"/>
    <w:rsid w:val="000748D0"/>
    <w:rsid w:val="00074AEB"/>
    <w:rsid w:val="00075343"/>
    <w:rsid w:val="00075892"/>
    <w:rsid w:val="000758B5"/>
    <w:rsid w:val="00076354"/>
    <w:rsid w:val="000765F8"/>
    <w:rsid w:val="000768B6"/>
    <w:rsid w:val="00076DEB"/>
    <w:rsid w:val="00077AA3"/>
    <w:rsid w:val="000800EF"/>
    <w:rsid w:val="000805A8"/>
    <w:rsid w:val="000806D4"/>
    <w:rsid w:val="00080BDB"/>
    <w:rsid w:val="00080E7D"/>
    <w:rsid w:val="00081705"/>
    <w:rsid w:val="00081C95"/>
    <w:rsid w:val="00084511"/>
    <w:rsid w:val="00084562"/>
    <w:rsid w:val="000849E1"/>
    <w:rsid w:val="00084B51"/>
    <w:rsid w:val="00085475"/>
    <w:rsid w:val="0008550D"/>
    <w:rsid w:val="000858E0"/>
    <w:rsid w:val="00086033"/>
    <w:rsid w:val="00086503"/>
    <w:rsid w:val="00086AA9"/>
    <w:rsid w:val="00087195"/>
    <w:rsid w:val="0008799B"/>
    <w:rsid w:val="00090597"/>
    <w:rsid w:val="00090E0C"/>
    <w:rsid w:val="00091315"/>
    <w:rsid w:val="0009287B"/>
    <w:rsid w:val="00093254"/>
    <w:rsid w:val="00093359"/>
    <w:rsid w:val="00093367"/>
    <w:rsid w:val="0009404F"/>
    <w:rsid w:val="00094358"/>
    <w:rsid w:val="0009451A"/>
    <w:rsid w:val="0009579D"/>
    <w:rsid w:val="000960F7"/>
    <w:rsid w:val="00096272"/>
    <w:rsid w:val="00096792"/>
    <w:rsid w:val="00097156"/>
    <w:rsid w:val="000A014C"/>
    <w:rsid w:val="000A0215"/>
    <w:rsid w:val="000A0B22"/>
    <w:rsid w:val="000A1756"/>
    <w:rsid w:val="000A17A2"/>
    <w:rsid w:val="000A1A30"/>
    <w:rsid w:val="000A1F2B"/>
    <w:rsid w:val="000A217E"/>
    <w:rsid w:val="000A22CB"/>
    <w:rsid w:val="000A28A6"/>
    <w:rsid w:val="000A3427"/>
    <w:rsid w:val="000A35A8"/>
    <w:rsid w:val="000A476F"/>
    <w:rsid w:val="000A4D8D"/>
    <w:rsid w:val="000A5FE1"/>
    <w:rsid w:val="000A640A"/>
    <w:rsid w:val="000A6821"/>
    <w:rsid w:val="000A6A2D"/>
    <w:rsid w:val="000A72C5"/>
    <w:rsid w:val="000A76AA"/>
    <w:rsid w:val="000B0D6E"/>
    <w:rsid w:val="000B1095"/>
    <w:rsid w:val="000B1410"/>
    <w:rsid w:val="000B3452"/>
    <w:rsid w:val="000B432A"/>
    <w:rsid w:val="000B4A48"/>
    <w:rsid w:val="000B52C1"/>
    <w:rsid w:val="000B53DB"/>
    <w:rsid w:val="000B5539"/>
    <w:rsid w:val="000B5B79"/>
    <w:rsid w:val="000B5DDC"/>
    <w:rsid w:val="000B7B0F"/>
    <w:rsid w:val="000B7E31"/>
    <w:rsid w:val="000C16D2"/>
    <w:rsid w:val="000C1E18"/>
    <w:rsid w:val="000C1F31"/>
    <w:rsid w:val="000C24F6"/>
    <w:rsid w:val="000C3083"/>
    <w:rsid w:val="000C3178"/>
    <w:rsid w:val="000C32AA"/>
    <w:rsid w:val="000C3443"/>
    <w:rsid w:val="000C3609"/>
    <w:rsid w:val="000C3F94"/>
    <w:rsid w:val="000C5761"/>
    <w:rsid w:val="000C5C37"/>
    <w:rsid w:val="000C7EAB"/>
    <w:rsid w:val="000D0D51"/>
    <w:rsid w:val="000D251E"/>
    <w:rsid w:val="000D2F39"/>
    <w:rsid w:val="000D313E"/>
    <w:rsid w:val="000D32D0"/>
    <w:rsid w:val="000D3E16"/>
    <w:rsid w:val="000D48B9"/>
    <w:rsid w:val="000D6C2B"/>
    <w:rsid w:val="000D74EA"/>
    <w:rsid w:val="000D76A0"/>
    <w:rsid w:val="000D7881"/>
    <w:rsid w:val="000E107D"/>
    <w:rsid w:val="000E1593"/>
    <w:rsid w:val="000E1A47"/>
    <w:rsid w:val="000E1E78"/>
    <w:rsid w:val="000E3878"/>
    <w:rsid w:val="000E4787"/>
    <w:rsid w:val="000E554A"/>
    <w:rsid w:val="000E5658"/>
    <w:rsid w:val="000E593A"/>
    <w:rsid w:val="000E6A35"/>
    <w:rsid w:val="000E7343"/>
    <w:rsid w:val="000E74E2"/>
    <w:rsid w:val="000E7D59"/>
    <w:rsid w:val="000F1527"/>
    <w:rsid w:val="000F1576"/>
    <w:rsid w:val="000F1F10"/>
    <w:rsid w:val="000F2AEE"/>
    <w:rsid w:val="000F3266"/>
    <w:rsid w:val="000F32A7"/>
    <w:rsid w:val="000F444F"/>
    <w:rsid w:val="000F4D10"/>
    <w:rsid w:val="000F529D"/>
    <w:rsid w:val="000F6279"/>
    <w:rsid w:val="000F6515"/>
    <w:rsid w:val="000F6909"/>
    <w:rsid w:val="000F69E6"/>
    <w:rsid w:val="000F735B"/>
    <w:rsid w:val="000F7BC7"/>
    <w:rsid w:val="001005DC"/>
    <w:rsid w:val="00100934"/>
    <w:rsid w:val="0010109D"/>
    <w:rsid w:val="001034AC"/>
    <w:rsid w:val="00103676"/>
    <w:rsid w:val="00104189"/>
    <w:rsid w:val="001041B8"/>
    <w:rsid w:val="00104424"/>
    <w:rsid w:val="00104668"/>
    <w:rsid w:val="00105E2A"/>
    <w:rsid w:val="00106A2E"/>
    <w:rsid w:val="001077B4"/>
    <w:rsid w:val="00111039"/>
    <w:rsid w:val="00111726"/>
    <w:rsid w:val="00111F1E"/>
    <w:rsid w:val="00112AFA"/>
    <w:rsid w:val="00112C47"/>
    <w:rsid w:val="00112E5B"/>
    <w:rsid w:val="0011331B"/>
    <w:rsid w:val="001138CB"/>
    <w:rsid w:val="001138E8"/>
    <w:rsid w:val="00114339"/>
    <w:rsid w:val="001166B9"/>
    <w:rsid w:val="00116979"/>
    <w:rsid w:val="00116B12"/>
    <w:rsid w:val="00117669"/>
    <w:rsid w:val="001206C2"/>
    <w:rsid w:val="00121525"/>
    <w:rsid w:val="00122120"/>
    <w:rsid w:val="0012318C"/>
    <w:rsid w:val="0012345B"/>
    <w:rsid w:val="00123748"/>
    <w:rsid w:val="00123D6A"/>
    <w:rsid w:val="00124184"/>
    <w:rsid w:val="00124B63"/>
    <w:rsid w:val="00124EA7"/>
    <w:rsid w:val="001250FE"/>
    <w:rsid w:val="0012580E"/>
    <w:rsid w:val="00125D34"/>
    <w:rsid w:val="00126154"/>
    <w:rsid w:val="001265B0"/>
    <w:rsid w:val="00126935"/>
    <w:rsid w:val="00126D14"/>
    <w:rsid w:val="001273B5"/>
    <w:rsid w:val="00127C6B"/>
    <w:rsid w:val="00127F2C"/>
    <w:rsid w:val="001300D7"/>
    <w:rsid w:val="001309D8"/>
    <w:rsid w:val="00131869"/>
    <w:rsid w:val="00131EAF"/>
    <w:rsid w:val="00132B80"/>
    <w:rsid w:val="00132C66"/>
    <w:rsid w:val="00132DCD"/>
    <w:rsid w:val="00132E20"/>
    <w:rsid w:val="00132FA7"/>
    <w:rsid w:val="001334AC"/>
    <w:rsid w:val="001351FC"/>
    <w:rsid w:val="00135231"/>
    <w:rsid w:val="00136841"/>
    <w:rsid w:val="00136889"/>
    <w:rsid w:val="00136F69"/>
    <w:rsid w:val="00137909"/>
    <w:rsid w:val="0014008B"/>
    <w:rsid w:val="0014055B"/>
    <w:rsid w:val="00140E0C"/>
    <w:rsid w:val="00142BB3"/>
    <w:rsid w:val="00142C56"/>
    <w:rsid w:val="00142E35"/>
    <w:rsid w:val="00142E60"/>
    <w:rsid w:val="00144343"/>
    <w:rsid w:val="00144CA0"/>
    <w:rsid w:val="00144EFB"/>
    <w:rsid w:val="00145A9C"/>
    <w:rsid w:val="00146042"/>
    <w:rsid w:val="00146217"/>
    <w:rsid w:val="0014633D"/>
    <w:rsid w:val="00146472"/>
    <w:rsid w:val="00146762"/>
    <w:rsid w:val="00146D2E"/>
    <w:rsid w:val="00147C82"/>
    <w:rsid w:val="00147EA3"/>
    <w:rsid w:val="001510D4"/>
    <w:rsid w:val="0015118E"/>
    <w:rsid w:val="00151340"/>
    <w:rsid w:val="00151D2F"/>
    <w:rsid w:val="00151FA5"/>
    <w:rsid w:val="00152077"/>
    <w:rsid w:val="001525E8"/>
    <w:rsid w:val="00153EAE"/>
    <w:rsid w:val="001557DD"/>
    <w:rsid w:val="0015700F"/>
    <w:rsid w:val="00157028"/>
    <w:rsid w:val="001602C3"/>
    <w:rsid w:val="00160FC4"/>
    <w:rsid w:val="00161846"/>
    <w:rsid w:val="00161A4E"/>
    <w:rsid w:val="00161A54"/>
    <w:rsid w:val="00161B74"/>
    <w:rsid w:val="00161CFA"/>
    <w:rsid w:val="00161F59"/>
    <w:rsid w:val="001622A5"/>
    <w:rsid w:val="00163A5E"/>
    <w:rsid w:val="00163A73"/>
    <w:rsid w:val="00165BAA"/>
    <w:rsid w:val="00165E90"/>
    <w:rsid w:val="00166BF4"/>
    <w:rsid w:val="00167C6C"/>
    <w:rsid w:val="00170482"/>
    <w:rsid w:val="00170B3B"/>
    <w:rsid w:val="00171025"/>
    <w:rsid w:val="001714AE"/>
    <w:rsid w:val="001721A4"/>
    <w:rsid w:val="00172306"/>
    <w:rsid w:val="001734FA"/>
    <w:rsid w:val="00173584"/>
    <w:rsid w:val="00173AA8"/>
    <w:rsid w:val="00173FD3"/>
    <w:rsid w:val="00175AE9"/>
    <w:rsid w:val="00175DB7"/>
    <w:rsid w:val="00175E06"/>
    <w:rsid w:val="0017704D"/>
    <w:rsid w:val="0017717C"/>
    <w:rsid w:val="00177489"/>
    <w:rsid w:val="00180A62"/>
    <w:rsid w:val="00180F17"/>
    <w:rsid w:val="001814B9"/>
    <w:rsid w:val="001814D3"/>
    <w:rsid w:val="001817DE"/>
    <w:rsid w:val="00181F4F"/>
    <w:rsid w:val="001824AA"/>
    <w:rsid w:val="00183555"/>
    <w:rsid w:val="00183717"/>
    <w:rsid w:val="00183E26"/>
    <w:rsid w:val="00184018"/>
    <w:rsid w:val="00185174"/>
    <w:rsid w:val="0018668A"/>
    <w:rsid w:val="0018723D"/>
    <w:rsid w:val="001872DE"/>
    <w:rsid w:val="00187BDA"/>
    <w:rsid w:val="00187E38"/>
    <w:rsid w:val="00187FAD"/>
    <w:rsid w:val="001914E4"/>
    <w:rsid w:val="00191829"/>
    <w:rsid w:val="00191DEB"/>
    <w:rsid w:val="00192389"/>
    <w:rsid w:val="00192833"/>
    <w:rsid w:val="00193009"/>
    <w:rsid w:val="0019390B"/>
    <w:rsid w:val="00193C35"/>
    <w:rsid w:val="00194169"/>
    <w:rsid w:val="0019471B"/>
    <w:rsid w:val="00196361"/>
    <w:rsid w:val="00196710"/>
    <w:rsid w:val="00196852"/>
    <w:rsid w:val="00196FEF"/>
    <w:rsid w:val="0019765B"/>
    <w:rsid w:val="001A077B"/>
    <w:rsid w:val="001A07FC"/>
    <w:rsid w:val="001A0C02"/>
    <w:rsid w:val="001A0C3C"/>
    <w:rsid w:val="001A0F3B"/>
    <w:rsid w:val="001A1467"/>
    <w:rsid w:val="001A1CCF"/>
    <w:rsid w:val="001A1DF3"/>
    <w:rsid w:val="001A2613"/>
    <w:rsid w:val="001A276B"/>
    <w:rsid w:val="001A35C8"/>
    <w:rsid w:val="001A3A5D"/>
    <w:rsid w:val="001A3A85"/>
    <w:rsid w:val="001A424B"/>
    <w:rsid w:val="001A4927"/>
    <w:rsid w:val="001A50DB"/>
    <w:rsid w:val="001A5817"/>
    <w:rsid w:val="001A5CBF"/>
    <w:rsid w:val="001A6177"/>
    <w:rsid w:val="001A68BA"/>
    <w:rsid w:val="001A7481"/>
    <w:rsid w:val="001B33B7"/>
    <w:rsid w:val="001B37AE"/>
    <w:rsid w:val="001B37DA"/>
    <w:rsid w:val="001B4578"/>
    <w:rsid w:val="001B481A"/>
    <w:rsid w:val="001B51D1"/>
    <w:rsid w:val="001B6249"/>
    <w:rsid w:val="001B63C6"/>
    <w:rsid w:val="001B63F5"/>
    <w:rsid w:val="001B69AF"/>
    <w:rsid w:val="001B74D3"/>
    <w:rsid w:val="001B755E"/>
    <w:rsid w:val="001B7DDF"/>
    <w:rsid w:val="001C0228"/>
    <w:rsid w:val="001C04C5"/>
    <w:rsid w:val="001C061E"/>
    <w:rsid w:val="001C13AE"/>
    <w:rsid w:val="001C27AD"/>
    <w:rsid w:val="001C2C6C"/>
    <w:rsid w:val="001C32A5"/>
    <w:rsid w:val="001C3B5C"/>
    <w:rsid w:val="001C3EC6"/>
    <w:rsid w:val="001C3F74"/>
    <w:rsid w:val="001C4425"/>
    <w:rsid w:val="001C6615"/>
    <w:rsid w:val="001C6B34"/>
    <w:rsid w:val="001C7CDA"/>
    <w:rsid w:val="001D0530"/>
    <w:rsid w:val="001D0EF3"/>
    <w:rsid w:val="001D0F60"/>
    <w:rsid w:val="001D13C4"/>
    <w:rsid w:val="001D1BF8"/>
    <w:rsid w:val="001D373B"/>
    <w:rsid w:val="001D37F0"/>
    <w:rsid w:val="001D4F84"/>
    <w:rsid w:val="001D6BEB"/>
    <w:rsid w:val="001D7F61"/>
    <w:rsid w:val="001E08BA"/>
    <w:rsid w:val="001E0ABA"/>
    <w:rsid w:val="001E137F"/>
    <w:rsid w:val="001E15C4"/>
    <w:rsid w:val="001E1F45"/>
    <w:rsid w:val="001E218E"/>
    <w:rsid w:val="001E242C"/>
    <w:rsid w:val="001E261C"/>
    <w:rsid w:val="001E28A6"/>
    <w:rsid w:val="001E38D3"/>
    <w:rsid w:val="001E3A32"/>
    <w:rsid w:val="001E45AB"/>
    <w:rsid w:val="001E481C"/>
    <w:rsid w:val="001E4D46"/>
    <w:rsid w:val="001E6781"/>
    <w:rsid w:val="001E6B96"/>
    <w:rsid w:val="001E6F52"/>
    <w:rsid w:val="001F0D28"/>
    <w:rsid w:val="001F15C1"/>
    <w:rsid w:val="001F1D4C"/>
    <w:rsid w:val="001F3489"/>
    <w:rsid w:val="001F40FA"/>
    <w:rsid w:val="001F4393"/>
    <w:rsid w:val="001F488E"/>
    <w:rsid w:val="001F5B6A"/>
    <w:rsid w:val="001F5CB8"/>
    <w:rsid w:val="001F629B"/>
    <w:rsid w:val="001F69EB"/>
    <w:rsid w:val="001F6AD5"/>
    <w:rsid w:val="001F6D66"/>
    <w:rsid w:val="001F7132"/>
    <w:rsid w:val="001F7E95"/>
    <w:rsid w:val="001F7F82"/>
    <w:rsid w:val="002003BE"/>
    <w:rsid w:val="002006A4"/>
    <w:rsid w:val="00201197"/>
    <w:rsid w:val="002014FB"/>
    <w:rsid w:val="0020290E"/>
    <w:rsid w:val="00202F9D"/>
    <w:rsid w:val="002035DD"/>
    <w:rsid w:val="002042F9"/>
    <w:rsid w:val="002045D5"/>
    <w:rsid w:val="002051FD"/>
    <w:rsid w:val="0020532E"/>
    <w:rsid w:val="0020594A"/>
    <w:rsid w:val="00206376"/>
    <w:rsid w:val="00207646"/>
    <w:rsid w:val="002077F5"/>
    <w:rsid w:val="00207F99"/>
    <w:rsid w:val="00210783"/>
    <w:rsid w:val="00211E4D"/>
    <w:rsid w:val="0021292C"/>
    <w:rsid w:val="002158D5"/>
    <w:rsid w:val="00216205"/>
    <w:rsid w:val="00216331"/>
    <w:rsid w:val="0021639B"/>
    <w:rsid w:val="00217CCD"/>
    <w:rsid w:val="0022006C"/>
    <w:rsid w:val="00220B3A"/>
    <w:rsid w:val="00222440"/>
    <w:rsid w:val="00224E1C"/>
    <w:rsid w:val="00224F7B"/>
    <w:rsid w:val="002259AD"/>
    <w:rsid w:val="00226E78"/>
    <w:rsid w:val="00227AAA"/>
    <w:rsid w:val="00227E27"/>
    <w:rsid w:val="00227EE7"/>
    <w:rsid w:val="002307F1"/>
    <w:rsid w:val="00230BF1"/>
    <w:rsid w:val="00230DFB"/>
    <w:rsid w:val="002316C6"/>
    <w:rsid w:val="00231955"/>
    <w:rsid w:val="002334F6"/>
    <w:rsid w:val="002335CD"/>
    <w:rsid w:val="00233BF5"/>
    <w:rsid w:val="002349CF"/>
    <w:rsid w:val="0023560D"/>
    <w:rsid w:val="002367EB"/>
    <w:rsid w:val="00237AAA"/>
    <w:rsid w:val="002412C4"/>
    <w:rsid w:val="00241533"/>
    <w:rsid w:val="0024386F"/>
    <w:rsid w:val="00243A7C"/>
    <w:rsid w:val="00244240"/>
    <w:rsid w:val="002442B4"/>
    <w:rsid w:val="0024450D"/>
    <w:rsid w:val="002448C5"/>
    <w:rsid w:val="00244E58"/>
    <w:rsid w:val="00245C13"/>
    <w:rsid w:val="00246D12"/>
    <w:rsid w:val="0024729C"/>
    <w:rsid w:val="00250745"/>
    <w:rsid w:val="00250F35"/>
    <w:rsid w:val="00251015"/>
    <w:rsid w:val="00251321"/>
    <w:rsid w:val="00251680"/>
    <w:rsid w:val="0025206C"/>
    <w:rsid w:val="00253108"/>
    <w:rsid w:val="0025313D"/>
    <w:rsid w:val="00253DFD"/>
    <w:rsid w:val="00253F79"/>
    <w:rsid w:val="002540EE"/>
    <w:rsid w:val="002543E5"/>
    <w:rsid w:val="002547C0"/>
    <w:rsid w:val="0025495A"/>
    <w:rsid w:val="0025522E"/>
    <w:rsid w:val="00255A02"/>
    <w:rsid w:val="00255E2D"/>
    <w:rsid w:val="0025676C"/>
    <w:rsid w:val="00256E83"/>
    <w:rsid w:val="00260D33"/>
    <w:rsid w:val="002610A1"/>
    <w:rsid w:val="00261461"/>
    <w:rsid w:val="002618EC"/>
    <w:rsid w:val="0026324B"/>
    <w:rsid w:val="002633B2"/>
    <w:rsid w:val="00265815"/>
    <w:rsid w:val="002658C4"/>
    <w:rsid w:val="00265E04"/>
    <w:rsid w:val="00265ED6"/>
    <w:rsid w:val="00266CEE"/>
    <w:rsid w:val="00266D90"/>
    <w:rsid w:val="00266EB9"/>
    <w:rsid w:val="00267229"/>
    <w:rsid w:val="00267569"/>
    <w:rsid w:val="00267B0B"/>
    <w:rsid w:val="00270970"/>
    <w:rsid w:val="002719C9"/>
    <w:rsid w:val="00272E25"/>
    <w:rsid w:val="00274EE6"/>
    <w:rsid w:val="00275F8D"/>
    <w:rsid w:val="00276F71"/>
    <w:rsid w:val="00277077"/>
    <w:rsid w:val="0027712E"/>
    <w:rsid w:val="002773E3"/>
    <w:rsid w:val="00277F7C"/>
    <w:rsid w:val="00280154"/>
    <w:rsid w:val="00281714"/>
    <w:rsid w:val="00281754"/>
    <w:rsid w:val="00281896"/>
    <w:rsid w:val="00281D28"/>
    <w:rsid w:val="00282C79"/>
    <w:rsid w:val="00282E54"/>
    <w:rsid w:val="00282F39"/>
    <w:rsid w:val="002830D4"/>
    <w:rsid w:val="00283D68"/>
    <w:rsid w:val="002854ED"/>
    <w:rsid w:val="0028651C"/>
    <w:rsid w:val="002868EF"/>
    <w:rsid w:val="00287422"/>
    <w:rsid w:val="00287834"/>
    <w:rsid w:val="002879FD"/>
    <w:rsid w:val="0029009C"/>
    <w:rsid w:val="00291294"/>
    <w:rsid w:val="00291CA9"/>
    <w:rsid w:val="00292011"/>
    <w:rsid w:val="002920E1"/>
    <w:rsid w:val="002941C1"/>
    <w:rsid w:val="00294219"/>
    <w:rsid w:val="002943BC"/>
    <w:rsid w:val="00294967"/>
    <w:rsid w:val="00294A1D"/>
    <w:rsid w:val="00294ADD"/>
    <w:rsid w:val="00295883"/>
    <w:rsid w:val="002959AC"/>
    <w:rsid w:val="00295F77"/>
    <w:rsid w:val="002968D0"/>
    <w:rsid w:val="00296DD2"/>
    <w:rsid w:val="00296EBD"/>
    <w:rsid w:val="002A214D"/>
    <w:rsid w:val="002A3320"/>
    <w:rsid w:val="002A47A6"/>
    <w:rsid w:val="002A4FDD"/>
    <w:rsid w:val="002A5D24"/>
    <w:rsid w:val="002A619A"/>
    <w:rsid w:val="002A67A3"/>
    <w:rsid w:val="002A67CF"/>
    <w:rsid w:val="002A736E"/>
    <w:rsid w:val="002A7AC1"/>
    <w:rsid w:val="002A7B93"/>
    <w:rsid w:val="002B06A8"/>
    <w:rsid w:val="002B196A"/>
    <w:rsid w:val="002B21D1"/>
    <w:rsid w:val="002B2664"/>
    <w:rsid w:val="002B336C"/>
    <w:rsid w:val="002B408F"/>
    <w:rsid w:val="002B482A"/>
    <w:rsid w:val="002B4E3A"/>
    <w:rsid w:val="002B5547"/>
    <w:rsid w:val="002B594A"/>
    <w:rsid w:val="002B739F"/>
    <w:rsid w:val="002B79E8"/>
    <w:rsid w:val="002C0113"/>
    <w:rsid w:val="002C0989"/>
    <w:rsid w:val="002C0992"/>
    <w:rsid w:val="002C132A"/>
    <w:rsid w:val="002C1A99"/>
    <w:rsid w:val="002C297E"/>
    <w:rsid w:val="002C29F1"/>
    <w:rsid w:val="002C47BD"/>
    <w:rsid w:val="002C559E"/>
    <w:rsid w:val="002D0163"/>
    <w:rsid w:val="002D1828"/>
    <w:rsid w:val="002D2CB5"/>
    <w:rsid w:val="002D3D39"/>
    <w:rsid w:val="002D512C"/>
    <w:rsid w:val="002D5208"/>
    <w:rsid w:val="002D5B73"/>
    <w:rsid w:val="002D6133"/>
    <w:rsid w:val="002D61FE"/>
    <w:rsid w:val="002D7075"/>
    <w:rsid w:val="002D76CC"/>
    <w:rsid w:val="002D7996"/>
    <w:rsid w:val="002E05A4"/>
    <w:rsid w:val="002E131B"/>
    <w:rsid w:val="002E1885"/>
    <w:rsid w:val="002E1C87"/>
    <w:rsid w:val="002E22AA"/>
    <w:rsid w:val="002E2AFA"/>
    <w:rsid w:val="002E567A"/>
    <w:rsid w:val="002E64F9"/>
    <w:rsid w:val="002E68DE"/>
    <w:rsid w:val="002E691A"/>
    <w:rsid w:val="002E6C25"/>
    <w:rsid w:val="002E6E1E"/>
    <w:rsid w:val="002E6FA3"/>
    <w:rsid w:val="002E7013"/>
    <w:rsid w:val="002E708A"/>
    <w:rsid w:val="002E7CDF"/>
    <w:rsid w:val="002E7D7C"/>
    <w:rsid w:val="002E7E4B"/>
    <w:rsid w:val="002F0432"/>
    <w:rsid w:val="002F12F4"/>
    <w:rsid w:val="002F153A"/>
    <w:rsid w:val="002F28E0"/>
    <w:rsid w:val="002F297D"/>
    <w:rsid w:val="002F29C6"/>
    <w:rsid w:val="002F2ACA"/>
    <w:rsid w:val="002F3681"/>
    <w:rsid w:val="002F4325"/>
    <w:rsid w:val="002F466F"/>
    <w:rsid w:val="002F4D8A"/>
    <w:rsid w:val="002F4E5F"/>
    <w:rsid w:val="002F4F75"/>
    <w:rsid w:val="002F4F7E"/>
    <w:rsid w:val="002F5F37"/>
    <w:rsid w:val="002F6692"/>
    <w:rsid w:val="002F6768"/>
    <w:rsid w:val="002F6B5B"/>
    <w:rsid w:val="002F71BF"/>
    <w:rsid w:val="002F7B90"/>
    <w:rsid w:val="00301C45"/>
    <w:rsid w:val="00302C4C"/>
    <w:rsid w:val="00303055"/>
    <w:rsid w:val="00303503"/>
    <w:rsid w:val="00303544"/>
    <w:rsid w:val="00303E46"/>
    <w:rsid w:val="003046A5"/>
    <w:rsid w:val="003047AB"/>
    <w:rsid w:val="00305108"/>
    <w:rsid w:val="00306043"/>
    <w:rsid w:val="00306A6F"/>
    <w:rsid w:val="00307C01"/>
    <w:rsid w:val="00310227"/>
    <w:rsid w:val="003109D4"/>
    <w:rsid w:val="00311542"/>
    <w:rsid w:val="00311A28"/>
    <w:rsid w:val="003120B5"/>
    <w:rsid w:val="00312291"/>
    <w:rsid w:val="00313824"/>
    <w:rsid w:val="003138D9"/>
    <w:rsid w:val="003146C6"/>
    <w:rsid w:val="003148F6"/>
    <w:rsid w:val="00314D18"/>
    <w:rsid w:val="00315027"/>
    <w:rsid w:val="00315511"/>
    <w:rsid w:val="003165CC"/>
    <w:rsid w:val="00317502"/>
    <w:rsid w:val="00317968"/>
    <w:rsid w:val="00320DFB"/>
    <w:rsid w:val="00321647"/>
    <w:rsid w:val="00322AA2"/>
    <w:rsid w:val="0032357B"/>
    <w:rsid w:val="003236A2"/>
    <w:rsid w:val="00323740"/>
    <w:rsid w:val="00323855"/>
    <w:rsid w:val="00323C42"/>
    <w:rsid w:val="003247A3"/>
    <w:rsid w:val="00324ED1"/>
    <w:rsid w:val="003268D7"/>
    <w:rsid w:val="00326FF0"/>
    <w:rsid w:val="0032794D"/>
    <w:rsid w:val="00327BCC"/>
    <w:rsid w:val="00330597"/>
    <w:rsid w:val="003308F6"/>
    <w:rsid w:val="0033091E"/>
    <w:rsid w:val="00330B68"/>
    <w:rsid w:val="0033153D"/>
    <w:rsid w:val="0033422E"/>
    <w:rsid w:val="00334A51"/>
    <w:rsid w:val="00334EA8"/>
    <w:rsid w:val="00336265"/>
    <w:rsid w:val="00336A12"/>
    <w:rsid w:val="00337286"/>
    <w:rsid w:val="003378B0"/>
    <w:rsid w:val="00340907"/>
    <w:rsid w:val="00340CAF"/>
    <w:rsid w:val="00342552"/>
    <w:rsid w:val="00342947"/>
    <w:rsid w:val="00342C96"/>
    <w:rsid w:val="00342FB8"/>
    <w:rsid w:val="0034385E"/>
    <w:rsid w:val="0034479B"/>
    <w:rsid w:val="00344894"/>
    <w:rsid w:val="0034515A"/>
    <w:rsid w:val="00346CAC"/>
    <w:rsid w:val="00346F78"/>
    <w:rsid w:val="003479CE"/>
    <w:rsid w:val="00347F10"/>
    <w:rsid w:val="003508F0"/>
    <w:rsid w:val="0035172C"/>
    <w:rsid w:val="003525A1"/>
    <w:rsid w:val="00352918"/>
    <w:rsid w:val="00352FCE"/>
    <w:rsid w:val="00353461"/>
    <w:rsid w:val="003536A2"/>
    <w:rsid w:val="00353F8D"/>
    <w:rsid w:val="003542C7"/>
    <w:rsid w:val="00354379"/>
    <w:rsid w:val="00354483"/>
    <w:rsid w:val="00355249"/>
    <w:rsid w:val="00355402"/>
    <w:rsid w:val="00355A3D"/>
    <w:rsid w:val="00355C0F"/>
    <w:rsid w:val="003562E2"/>
    <w:rsid w:val="003565EC"/>
    <w:rsid w:val="00356633"/>
    <w:rsid w:val="00356804"/>
    <w:rsid w:val="003570A7"/>
    <w:rsid w:val="003575E9"/>
    <w:rsid w:val="003579CB"/>
    <w:rsid w:val="00357D71"/>
    <w:rsid w:val="00357DD7"/>
    <w:rsid w:val="00362591"/>
    <w:rsid w:val="003633B4"/>
    <w:rsid w:val="00363F95"/>
    <w:rsid w:val="00364105"/>
    <w:rsid w:val="00364947"/>
    <w:rsid w:val="003660ED"/>
    <w:rsid w:val="0036628B"/>
    <w:rsid w:val="00366424"/>
    <w:rsid w:val="00366A94"/>
    <w:rsid w:val="00367D47"/>
    <w:rsid w:val="00371410"/>
    <w:rsid w:val="003718CA"/>
    <w:rsid w:val="00372233"/>
    <w:rsid w:val="00372410"/>
    <w:rsid w:val="0037303F"/>
    <w:rsid w:val="003747DC"/>
    <w:rsid w:val="003754CB"/>
    <w:rsid w:val="00375C16"/>
    <w:rsid w:val="00375D8C"/>
    <w:rsid w:val="00375DC5"/>
    <w:rsid w:val="00375F0E"/>
    <w:rsid w:val="00380C84"/>
    <w:rsid w:val="00382A98"/>
    <w:rsid w:val="00382B0F"/>
    <w:rsid w:val="0038318D"/>
    <w:rsid w:val="003833C9"/>
    <w:rsid w:val="00383BEA"/>
    <w:rsid w:val="0038411A"/>
    <w:rsid w:val="003848BC"/>
    <w:rsid w:val="003851F9"/>
    <w:rsid w:val="003873EE"/>
    <w:rsid w:val="00390270"/>
    <w:rsid w:val="00390A03"/>
    <w:rsid w:val="00390A9A"/>
    <w:rsid w:val="00390AD2"/>
    <w:rsid w:val="00391417"/>
    <w:rsid w:val="0039154D"/>
    <w:rsid w:val="00391AA5"/>
    <w:rsid w:val="003936D3"/>
    <w:rsid w:val="0039392C"/>
    <w:rsid w:val="00394295"/>
    <w:rsid w:val="003951A7"/>
    <w:rsid w:val="003955E4"/>
    <w:rsid w:val="003965B0"/>
    <w:rsid w:val="00397A2B"/>
    <w:rsid w:val="003A0BE6"/>
    <w:rsid w:val="003A10E3"/>
    <w:rsid w:val="003A124F"/>
    <w:rsid w:val="003A133E"/>
    <w:rsid w:val="003A28EF"/>
    <w:rsid w:val="003A33C5"/>
    <w:rsid w:val="003A3642"/>
    <w:rsid w:val="003A393C"/>
    <w:rsid w:val="003A48FC"/>
    <w:rsid w:val="003A4D3B"/>
    <w:rsid w:val="003A4E89"/>
    <w:rsid w:val="003A581B"/>
    <w:rsid w:val="003A5980"/>
    <w:rsid w:val="003A5C13"/>
    <w:rsid w:val="003A6B4B"/>
    <w:rsid w:val="003B062B"/>
    <w:rsid w:val="003B0EFE"/>
    <w:rsid w:val="003B1B3E"/>
    <w:rsid w:val="003B297E"/>
    <w:rsid w:val="003B2F42"/>
    <w:rsid w:val="003B314B"/>
    <w:rsid w:val="003B37ED"/>
    <w:rsid w:val="003B3959"/>
    <w:rsid w:val="003B56C0"/>
    <w:rsid w:val="003B5FFF"/>
    <w:rsid w:val="003B6417"/>
    <w:rsid w:val="003B6D70"/>
    <w:rsid w:val="003B78C7"/>
    <w:rsid w:val="003B7C42"/>
    <w:rsid w:val="003B7E1C"/>
    <w:rsid w:val="003C014C"/>
    <w:rsid w:val="003C0E0B"/>
    <w:rsid w:val="003C1DBE"/>
    <w:rsid w:val="003C2FF9"/>
    <w:rsid w:val="003C32EB"/>
    <w:rsid w:val="003C3366"/>
    <w:rsid w:val="003C34B4"/>
    <w:rsid w:val="003C4E53"/>
    <w:rsid w:val="003C5627"/>
    <w:rsid w:val="003C5A18"/>
    <w:rsid w:val="003C62A2"/>
    <w:rsid w:val="003C6865"/>
    <w:rsid w:val="003D0090"/>
    <w:rsid w:val="003D0E8B"/>
    <w:rsid w:val="003D103E"/>
    <w:rsid w:val="003D1899"/>
    <w:rsid w:val="003D2385"/>
    <w:rsid w:val="003D2CD2"/>
    <w:rsid w:val="003D3C76"/>
    <w:rsid w:val="003D3EE1"/>
    <w:rsid w:val="003D5105"/>
    <w:rsid w:val="003D67AA"/>
    <w:rsid w:val="003D6F7D"/>
    <w:rsid w:val="003E0A18"/>
    <w:rsid w:val="003E139F"/>
    <w:rsid w:val="003E17A6"/>
    <w:rsid w:val="003E2052"/>
    <w:rsid w:val="003E42D8"/>
    <w:rsid w:val="003E4315"/>
    <w:rsid w:val="003E53E3"/>
    <w:rsid w:val="003E5607"/>
    <w:rsid w:val="003E5793"/>
    <w:rsid w:val="003E60ED"/>
    <w:rsid w:val="003E6356"/>
    <w:rsid w:val="003E7618"/>
    <w:rsid w:val="003F01A7"/>
    <w:rsid w:val="003F08E2"/>
    <w:rsid w:val="003F182C"/>
    <w:rsid w:val="003F20CA"/>
    <w:rsid w:val="003F31AE"/>
    <w:rsid w:val="003F4775"/>
    <w:rsid w:val="003F562B"/>
    <w:rsid w:val="003F56D4"/>
    <w:rsid w:val="003F629F"/>
    <w:rsid w:val="003F6781"/>
    <w:rsid w:val="003F67D7"/>
    <w:rsid w:val="00400293"/>
    <w:rsid w:val="00400BC6"/>
    <w:rsid w:val="00400E1D"/>
    <w:rsid w:val="00401046"/>
    <w:rsid w:val="004043B2"/>
    <w:rsid w:val="0040494B"/>
    <w:rsid w:val="00404FD0"/>
    <w:rsid w:val="00405B89"/>
    <w:rsid w:val="00406D3A"/>
    <w:rsid w:val="00407275"/>
    <w:rsid w:val="004105B3"/>
    <w:rsid w:val="00410A34"/>
    <w:rsid w:val="00410F80"/>
    <w:rsid w:val="004111FE"/>
    <w:rsid w:val="00411FB6"/>
    <w:rsid w:val="00412394"/>
    <w:rsid w:val="004123CE"/>
    <w:rsid w:val="00412582"/>
    <w:rsid w:val="00413112"/>
    <w:rsid w:val="00413C91"/>
    <w:rsid w:val="004146C5"/>
    <w:rsid w:val="00414E33"/>
    <w:rsid w:val="00415432"/>
    <w:rsid w:val="00415F81"/>
    <w:rsid w:val="0041667C"/>
    <w:rsid w:val="00416DA7"/>
    <w:rsid w:val="00420D94"/>
    <w:rsid w:val="00421A52"/>
    <w:rsid w:val="00421BB4"/>
    <w:rsid w:val="00421F0D"/>
    <w:rsid w:val="004226D1"/>
    <w:rsid w:val="0042380E"/>
    <w:rsid w:val="00423AE3"/>
    <w:rsid w:val="00423FAC"/>
    <w:rsid w:val="00424112"/>
    <w:rsid w:val="00424325"/>
    <w:rsid w:val="00424734"/>
    <w:rsid w:val="00424CC7"/>
    <w:rsid w:val="004251FE"/>
    <w:rsid w:val="00425B6A"/>
    <w:rsid w:val="00425DC8"/>
    <w:rsid w:val="00425FF2"/>
    <w:rsid w:val="004267C1"/>
    <w:rsid w:val="00426AC2"/>
    <w:rsid w:val="00430162"/>
    <w:rsid w:val="0043055E"/>
    <w:rsid w:val="00430695"/>
    <w:rsid w:val="00430A31"/>
    <w:rsid w:val="00430E47"/>
    <w:rsid w:val="00431EBF"/>
    <w:rsid w:val="004320C8"/>
    <w:rsid w:val="00432406"/>
    <w:rsid w:val="00432664"/>
    <w:rsid w:val="004332FD"/>
    <w:rsid w:val="00433774"/>
    <w:rsid w:val="00433F92"/>
    <w:rsid w:val="00434555"/>
    <w:rsid w:val="004346F4"/>
    <w:rsid w:val="00434953"/>
    <w:rsid w:val="00434DE2"/>
    <w:rsid w:val="00436D93"/>
    <w:rsid w:val="004374BD"/>
    <w:rsid w:val="00437613"/>
    <w:rsid w:val="00440088"/>
    <w:rsid w:val="00440284"/>
    <w:rsid w:val="004402EA"/>
    <w:rsid w:val="00441B8D"/>
    <w:rsid w:val="00441F3B"/>
    <w:rsid w:val="00442B58"/>
    <w:rsid w:val="00442B8E"/>
    <w:rsid w:val="00442F6B"/>
    <w:rsid w:val="004430BD"/>
    <w:rsid w:val="00443729"/>
    <w:rsid w:val="00443EB8"/>
    <w:rsid w:val="00444034"/>
    <w:rsid w:val="0044426F"/>
    <w:rsid w:val="00444CD2"/>
    <w:rsid w:val="00445FCA"/>
    <w:rsid w:val="00446D77"/>
    <w:rsid w:val="00446DB0"/>
    <w:rsid w:val="00450702"/>
    <w:rsid w:val="004508ED"/>
    <w:rsid w:val="00450B2B"/>
    <w:rsid w:val="00452202"/>
    <w:rsid w:val="004528CD"/>
    <w:rsid w:val="00452A31"/>
    <w:rsid w:val="004531CE"/>
    <w:rsid w:val="004535FB"/>
    <w:rsid w:val="00453ADD"/>
    <w:rsid w:val="0045429E"/>
    <w:rsid w:val="004543DA"/>
    <w:rsid w:val="00455685"/>
    <w:rsid w:val="004608BC"/>
    <w:rsid w:val="004608D6"/>
    <w:rsid w:val="00461788"/>
    <w:rsid w:val="004634A3"/>
    <w:rsid w:val="00464202"/>
    <w:rsid w:val="0046470F"/>
    <w:rsid w:val="00464B75"/>
    <w:rsid w:val="00465CCD"/>
    <w:rsid w:val="00466233"/>
    <w:rsid w:val="00466827"/>
    <w:rsid w:val="00466CE4"/>
    <w:rsid w:val="00467283"/>
    <w:rsid w:val="004676E3"/>
    <w:rsid w:val="00467B17"/>
    <w:rsid w:val="0047020A"/>
    <w:rsid w:val="00471680"/>
    <w:rsid w:val="00473710"/>
    <w:rsid w:val="00473A28"/>
    <w:rsid w:val="0047553B"/>
    <w:rsid w:val="00475F3C"/>
    <w:rsid w:val="00476CAE"/>
    <w:rsid w:val="00476E6D"/>
    <w:rsid w:val="00477AFC"/>
    <w:rsid w:val="00477B0D"/>
    <w:rsid w:val="0048047A"/>
    <w:rsid w:val="004819E5"/>
    <w:rsid w:val="00481C92"/>
    <w:rsid w:val="0048201C"/>
    <w:rsid w:val="00482180"/>
    <w:rsid w:val="00482230"/>
    <w:rsid w:val="0048228D"/>
    <w:rsid w:val="004826C1"/>
    <w:rsid w:val="0048304D"/>
    <w:rsid w:val="0048390D"/>
    <w:rsid w:val="00483BB8"/>
    <w:rsid w:val="00484F81"/>
    <w:rsid w:val="004854CF"/>
    <w:rsid w:val="00485543"/>
    <w:rsid w:val="00485A17"/>
    <w:rsid w:val="00485DAD"/>
    <w:rsid w:val="00487294"/>
    <w:rsid w:val="00487700"/>
    <w:rsid w:val="00487F84"/>
    <w:rsid w:val="0049002A"/>
    <w:rsid w:val="0049075A"/>
    <w:rsid w:val="004907ED"/>
    <w:rsid w:val="0049104E"/>
    <w:rsid w:val="00491A73"/>
    <w:rsid w:val="00492402"/>
    <w:rsid w:val="00492965"/>
    <w:rsid w:val="00492FF4"/>
    <w:rsid w:val="00494EE3"/>
    <w:rsid w:val="0049554D"/>
    <w:rsid w:val="004957D1"/>
    <w:rsid w:val="004968CA"/>
    <w:rsid w:val="00497CED"/>
    <w:rsid w:val="004A0982"/>
    <w:rsid w:val="004A0A9F"/>
    <w:rsid w:val="004A172E"/>
    <w:rsid w:val="004A295E"/>
    <w:rsid w:val="004A3910"/>
    <w:rsid w:val="004A3E7F"/>
    <w:rsid w:val="004A493A"/>
    <w:rsid w:val="004A5381"/>
    <w:rsid w:val="004A6057"/>
    <w:rsid w:val="004A6939"/>
    <w:rsid w:val="004A69EA"/>
    <w:rsid w:val="004A6FB4"/>
    <w:rsid w:val="004A7444"/>
    <w:rsid w:val="004A7ED9"/>
    <w:rsid w:val="004B004B"/>
    <w:rsid w:val="004B01B9"/>
    <w:rsid w:val="004B0AB0"/>
    <w:rsid w:val="004B18A7"/>
    <w:rsid w:val="004B1E77"/>
    <w:rsid w:val="004B209F"/>
    <w:rsid w:val="004B20FB"/>
    <w:rsid w:val="004B352B"/>
    <w:rsid w:val="004B396B"/>
    <w:rsid w:val="004B3DE7"/>
    <w:rsid w:val="004B496B"/>
    <w:rsid w:val="004B5118"/>
    <w:rsid w:val="004B549B"/>
    <w:rsid w:val="004B55FD"/>
    <w:rsid w:val="004B6EFE"/>
    <w:rsid w:val="004B7F08"/>
    <w:rsid w:val="004C0AB6"/>
    <w:rsid w:val="004C0BC3"/>
    <w:rsid w:val="004C27EB"/>
    <w:rsid w:val="004C2C76"/>
    <w:rsid w:val="004C2F56"/>
    <w:rsid w:val="004C2FD3"/>
    <w:rsid w:val="004C384C"/>
    <w:rsid w:val="004C3FA5"/>
    <w:rsid w:val="004C4D73"/>
    <w:rsid w:val="004C4EFB"/>
    <w:rsid w:val="004C58E8"/>
    <w:rsid w:val="004C5C46"/>
    <w:rsid w:val="004C610F"/>
    <w:rsid w:val="004C76BB"/>
    <w:rsid w:val="004C7EEA"/>
    <w:rsid w:val="004D0841"/>
    <w:rsid w:val="004D1366"/>
    <w:rsid w:val="004D31E3"/>
    <w:rsid w:val="004D3F0E"/>
    <w:rsid w:val="004D427F"/>
    <w:rsid w:val="004D5227"/>
    <w:rsid w:val="004D53B1"/>
    <w:rsid w:val="004D68A7"/>
    <w:rsid w:val="004D7B51"/>
    <w:rsid w:val="004E11D9"/>
    <w:rsid w:val="004E16D2"/>
    <w:rsid w:val="004E2616"/>
    <w:rsid w:val="004E2747"/>
    <w:rsid w:val="004E2ABA"/>
    <w:rsid w:val="004E2E7A"/>
    <w:rsid w:val="004E319B"/>
    <w:rsid w:val="004E3656"/>
    <w:rsid w:val="004E3811"/>
    <w:rsid w:val="004E4376"/>
    <w:rsid w:val="004E4740"/>
    <w:rsid w:val="004E4B87"/>
    <w:rsid w:val="004E5A71"/>
    <w:rsid w:val="004E5B01"/>
    <w:rsid w:val="004E5EAD"/>
    <w:rsid w:val="004E63E9"/>
    <w:rsid w:val="004E6C63"/>
    <w:rsid w:val="004E7C39"/>
    <w:rsid w:val="004F1F87"/>
    <w:rsid w:val="004F2264"/>
    <w:rsid w:val="004F2CF8"/>
    <w:rsid w:val="004F532C"/>
    <w:rsid w:val="004F6355"/>
    <w:rsid w:val="004F6E9B"/>
    <w:rsid w:val="004F7038"/>
    <w:rsid w:val="004F7C6B"/>
    <w:rsid w:val="004F7D17"/>
    <w:rsid w:val="004F7D37"/>
    <w:rsid w:val="0050083F"/>
    <w:rsid w:val="00501E40"/>
    <w:rsid w:val="00501F20"/>
    <w:rsid w:val="0050316C"/>
    <w:rsid w:val="00504686"/>
    <w:rsid w:val="00504BDA"/>
    <w:rsid w:val="00505B05"/>
    <w:rsid w:val="00506ACF"/>
    <w:rsid w:val="00506EB8"/>
    <w:rsid w:val="00511112"/>
    <w:rsid w:val="0051117F"/>
    <w:rsid w:val="00511AE7"/>
    <w:rsid w:val="005123A4"/>
    <w:rsid w:val="005144A5"/>
    <w:rsid w:val="00514CC4"/>
    <w:rsid w:val="00514DA5"/>
    <w:rsid w:val="0051536C"/>
    <w:rsid w:val="00515E0F"/>
    <w:rsid w:val="00515F63"/>
    <w:rsid w:val="0051687A"/>
    <w:rsid w:val="005177B7"/>
    <w:rsid w:val="005204BF"/>
    <w:rsid w:val="005204FB"/>
    <w:rsid w:val="00520A8D"/>
    <w:rsid w:val="00520D62"/>
    <w:rsid w:val="0052179A"/>
    <w:rsid w:val="005218E0"/>
    <w:rsid w:val="005222D7"/>
    <w:rsid w:val="005226B5"/>
    <w:rsid w:val="00522CAB"/>
    <w:rsid w:val="00524982"/>
    <w:rsid w:val="005259D8"/>
    <w:rsid w:val="00527BB0"/>
    <w:rsid w:val="005312E5"/>
    <w:rsid w:val="00531952"/>
    <w:rsid w:val="00531A91"/>
    <w:rsid w:val="005322A4"/>
    <w:rsid w:val="00533344"/>
    <w:rsid w:val="005333DE"/>
    <w:rsid w:val="0053350E"/>
    <w:rsid w:val="005335FD"/>
    <w:rsid w:val="00533EBC"/>
    <w:rsid w:val="005342F3"/>
    <w:rsid w:val="00534AC7"/>
    <w:rsid w:val="00535013"/>
    <w:rsid w:val="005352A7"/>
    <w:rsid w:val="00536222"/>
    <w:rsid w:val="0053683B"/>
    <w:rsid w:val="0054170B"/>
    <w:rsid w:val="0054196A"/>
    <w:rsid w:val="00542438"/>
    <w:rsid w:val="00542FCB"/>
    <w:rsid w:val="0054322D"/>
    <w:rsid w:val="00544026"/>
    <w:rsid w:val="005444CA"/>
    <w:rsid w:val="0054485C"/>
    <w:rsid w:val="00545090"/>
    <w:rsid w:val="005459EA"/>
    <w:rsid w:val="00545C84"/>
    <w:rsid w:val="00546C45"/>
    <w:rsid w:val="005525C8"/>
    <w:rsid w:val="00552E63"/>
    <w:rsid w:val="00553F21"/>
    <w:rsid w:val="0055542A"/>
    <w:rsid w:val="005557AD"/>
    <w:rsid w:val="00556303"/>
    <w:rsid w:val="00556647"/>
    <w:rsid w:val="0055673B"/>
    <w:rsid w:val="005569DB"/>
    <w:rsid w:val="005572C4"/>
    <w:rsid w:val="00557B5C"/>
    <w:rsid w:val="0056030F"/>
    <w:rsid w:val="00560365"/>
    <w:rsid w:val="00560996"/>
    <w:rsid w:val="00560F84"/>
    <w:rsid w:val="00561D18"/>
    <w:rsid w:val="00562560"/>
    <w:rsid w:val="0056266C"/>
    <w:rsid w:val="00563363"/>
    <w:rsid w:val="00563D89"/>
    <w:rsid w:val="00564069"/>
    <w:rsid w:val="005643A5"/>
    <w:rsid w:val="005649F1"/>
    <w:rsid w:val="00564A69"/>
    <w:rsid w:val="00565207"/>
    <w:rsid w:val="00565E5B"/>
    <w:rsid w:val="00566003"/>
    <w:rsid w:val="005662F1"/>
    <w:rsid w:val="00566780"/>
    <w:rsid w:val="00566FD9"/>
    <w:rsid w:val="00570A2F"/>
    <w:rsid w:val="00570B5F"/>
    <w:rsid w:val="00571D36"/>
    <w:rsid w:val="00571F9E"/>
    <w:rsid w:val="00573382"/>
    <w:rsid w:val="005735D8"/>
    <w:rsid w:val="00573AF8"/>
    <w:rsid w:val="00574755"/>
    <w:rsid w:val="005748EC"/>
    <w:rsid w:val="00574C2E"/>
    <w:rsid w:val="00575CA8"/>
    <w:rsid w:val="00576248"/>
    <w:rsid w:val="00577999"/>
    <w:rsid w:val="005806AD"/>
    <w:rsid w:val="00580D5E"/>
    <w:rsid w:val="0058231B"/>
    <w:rsid w:val="0058337D"/>
    <w:rsid w:val="00583C91"/>
    <w:rsid w:val="00584AFC"/>
    <w:rsid w:val="005851BB"/>
    <w:rsid w:val="0058559E"/>
    <w:rsid w:val="00585859"/>
    <w:rsid w:val="00586599"/>
    <w:rsid w:val="005910A5"/>
    <w:rsid w:val="00591820"/>
    <w:rsid w:val="00591AB0"/>
    <w:rsid w:val="00592621"/>
    <w:rsid w:val="0059275A"/>
    <w:rsid w:val="00592D3C"/>
    <w:rsid w:val="00593F5D"/>
    <w:rsid w:val="005947A1"/>
    <w:rsid w:val="00594AEF"/>
    <w:rsid w:val="0059544A"/>
    <w:rsid w:val="005956EF"/>
    <w:rsid w:val="00595808"/>
    <w:rsid w:val="00595FC1"/>
    <w:rsid w:val="005960D2"/>
    <w:rsid w:val="00596752"/>
    <w:rsid w:val="005968CE"/>
    <w:rsid w:val="005969C7"/>
    <w:rsid w:val="00597934"/>
    <w:rsid w:val="00597A1A"/>
    <w:rsid w:val="005A08D4"/>
    <w:rsid w:val="005A0B73"/>
    <w:rsid w:val="005A0BC0"/>
    <w:rsid w:val="005A29E6"/>
    <w:rsid w:val="005A359E"/>
    <w:rsid w:val="005A3A5B"/>
    <w:rsid w:val="005A3C74"/>
    <w:rsid w:val="005A4B7B"/>
    <w:rsid w:val="005A651E"/>
    <w:rsid w:val="005A6A5F"/>
    <w:rsid w:val="005A71B8"/>
    <w:rsid w:val="005B26B8"/>
    <w:rsid w:val="005B31BC"/>
    <w:rsid w:val="005B3769"/>
    <w:rsid w:val="005B3E8B"/>
    <w:rsid w:val="005B44F7"/>
    <w:rsid w:val="005B5A97"/>
    <w:rsid w:val="005B6E47"/>
    <w:rsid w:val="005B7862"/>
    <w:rsid w:val="005B7C94"/>
    <w:rsid w:val="005C051E"/>
    <w:rsid w:val="005C151D"/>
    <w:rsid w:val="005C15FF"/>
    <w:rsid w:val="005C1A76"/>
    <w:rsid w:val="005C27BF"/>
    <w:rsid w:val="005C3A33"/>
    <w:rsid w:val="005C475D"/>
    <w:rsid w:val="005C47F7"/>
    <w:rsid w:val="005C4842"/>
    <w:rsid w:val="005C5781"/>
    <w:rsid w:val="005C6834"/>
    <w:rsid w:val="005C746A"/>
    <w:rsid w:val="005C775F"/>
    <w:rsid w:val="005D0577"/>
    <w:rsid w:val="005D0A51"/>
    <w:rsid w:val="005D0C24"/>
    <w:rsid w:val="005D0E77"/>
    <w:rsid w:val="005D150E"/>
    <w:rsid w:val="005D1D00"/>
    <w:rsid w:val="005D2002"/>
    <w:rsid w:val="005D3944"/>
    <w:rsid w:val="005D4C19"/>
    <w:rsid w:val="005D4F19"/>
    <w:rsid w:val="005D4FDC"/>
    <w:rsid w:val="005D5B8F"/>
    <w:rsid w:val="005D62D5"/>
    <w:rsid w:val="005E056D"/>
    <w:rsid w:val="005E1A2D"/>
    <w:rsid w:val="005E2F29"/>
    <w:rsid w:val="005E32F4"/>
    <w:rsid w:val="005E34D0"/>
    <w:rsid w:val="005E43B8"/>
    <w:rsid w:val="005E4A22"/>
    <w:rsid w:val="005F0ADD"/>
    <w:rsid w:val="005F10C0"/>
    <w:rsid w:val="005F23CD"/>
    <w:rsid w:val="005F2D49"/>
    <w:rsid w:val="005F315F"/>
    <w:rsid w:val="005F34D7"/>
    <w:rsid w:val="005F41C2"/>
    <w:rsid w:val="005F4509"/>
    <w:rsid w:val="005F4859"/>
    <w:rsid w:val="005F64EE"/>
    <w:rsid w:val="005F70B6"/>
    <w:rsid w:val="005F7FD3"/>
    <w:rsid w:val="00600180"/>
    <w:rsid w:val="00600299"/>
    <w:rsid w:val="0060276B"/>
    <w:rsid w:val="00602F5D"/>
    <w:rsid w:val="00603865"/>
    <w:rsid w:val="00603F8B"/>
    <w:rsid w:val="00605187"/>
    <w:rsid w:val="00605456"/>
    <w:rsid w:val="006060D0"/>
    <w:rsid w:val="0060651A"/>
    <w:rsid w:val="00606850"/>
    <w:rsid w:val="00606920"/>
    <w:rsid w:val="00606C83"/>
    <w:rsid w:val="006109B2"/>
    <w:rsid w:val="00610E8D"/>
    <w:rsid w:val="00612358"/>
    <w:rsid w:val="00612947"/>
    <w:rsid w:val="00612D4B"/>
    <w:rsid w:val="006137B4"/>
    <w:rsid w:val="006139AD"/>
    <w:rsid w:val="00615533"/>
    <w:rsid w:val="0061596B"/>
    <w:rsid w:val="00616496"/>
    <w:rsid w:val="0061651B"/>
    <w:rsid w:val="00616E48"/>
    <w:rsid w:val="006175E4"/>
    <w:rsid w:val="0062190B"/>
    <w:rsid w:val="00622CE0"/>
    <w:rsid w:val="006233BF"/>
    <w:rsid w:val="00623635"/>
    <w:rsid w:val="00624812"/>
    <w:rsid w:val="00624B7F"/>
    <w:rsid w:val="0062573A"/>
    <w:rsid w:val="0062608D"/>
    <w:rsid w:val="00626412"/>
    <w:rsid w:val="0062777C"/>
    <w:rsid w:val="00630317"/>
    <w:rsid w:val="00630600"/>
    <w:rsid w:val="00630A57"/>
    <w:rsid w:val="00632FA4"/>
    <w:rsid w:val="00633040"/>
    <w:rsid w:val="00633F4E"/>
    <w:rsid w:val="00634331"/>
    <w:rsid w:val="00634541"/>
    <w:rsid w:val="00634EA3"/>
    <w:rsid w:val="00635264"/>
    <w:rsid w:val="00635330"/>
    <w:rsid w:val="00635C16"/>
    <w:rsid w:val="00636663"/>
    <w:rsid w:val="00636F96"/>
    <w:rsid w:val="00637D34"/>
    <w:rsid w:val="006410F4"/>
    <w:rsid w:val="00641530"/>
    <w:rsid w:val="00641A9B"/>
    <w:rsid w:val="006434B6"/>
    <w:rsid w:val="00644425"/>
    <w:rsid w:val="00644749"/>
    <w:rsid w:val="00644D43"/>
    <w:rsid w:val="00645AAF"/>
    <w:rsid w:val="006460B6"/>
    <w:rsid w:val="006477DE"/>
    <w:rsid w:val="006479C5"/>
    <w:rsid w:val="0065019E"/>
    <w:rsid w:val="006514A3"/>
    <w:rsid w:val="00651836"/>
    <w:rsid w:val="00651EF3"/>
    <w:rsid w:val="00652E3C"/>
    <w:rsid w:val="0065314F"/>
    <w:rsid w:val="006545CF"/>
    <w:rsid w:val="00654A27"/>
    <w:rsid w:val="00654BF9"/>
    <w:rsid w:val="00655A5F"/>
    <w:rsid w:val="00656236"/>
    <w:rsid w:val="00656F95"/>
    <w:rsid w:val="00657705"/>
    <w:rsid w:val="00660885"/>
    <w:rsid w:val="00661E25"/>
    <w:rsid w:val="00662F5F"/>
    <w:rsid w:val="006631E1"/>
    <w:rsid w:val="00664773"/>
    <w:rsid w:val="00665699"/>
    <w:rsid w:val="006669EA"/>
    <w:rsid w:val="00666A74"/>
    <w:rsid w:val="00666FC8"/>
    <w:rsid w:val="00667CBA"/>
    <w:rsid w:val="0067047B"/>
    <w:rsid w:val="0067059C"/>
    <w:rsid w:val="00671CB5"/>
    <w:rsid w:val="00673B75"/>
    <w:rsid w:val="00673E7A"/>
    <w:rsid w:val="00673F13"/>
    <w:rsid w:val="006749CF"/>
    <w:rsid w:val="00674CD3"/>
    <w:rsid w:val="00674EB0"/>
    <w:rsid w:val="006759EA"/>
    <w:rsid w:val="00675A18"/>
    <w:rsid w:val="00675A95"/>
    <w:rsid w:val="006765BF"/>
    <w:rsid w:val="006777CA"/>
    <w:rsid w:val="006778DE"/>
    <w:rsid w:val="00677DD0"/>
    <w:rsid w:val="0068066C"/>
    <w:rsid w:val="00680C18"/>
    <w:rsid w:val="00681157"/>
    <w:rsid w:val="006813C6"/>
    <w:rsid w:val="006815C9"/>
    <w:rsid w:val="0068182C"/>
    <w:rsid w:val="006821F3"/>
    <w:rsid w:val="006832DC"/>
    <w:rsid w:val="0068401A"/>
    <w:rsid w:val="006844E4"/>
    <w:rsid w:val="0068486F"/>
    <w:rsid w:val="00684E0E"/>
    <w:rsid w:val="00685538"/>
    <w:rsid w:val="00685878"/>
    <w:rsid w:val="00686748"/>
    <w:rsid w:val="00686E49"/>
    <w:rsid w:val="00687605"/>
    <w:rsid w:val="0069013C"/>
    <w:rsid w:val="00690ACE"/>
    <w:rsid w:val="00690F0B"/>
    <w:rsid w:val="00690F73"/>
    <w:rsid w:val="0069130C"/>
    <w:rsid w:val="006915D0"/>
    <w:rsid w:val="00692CB2"/>
    <w:rsid w:val="0069347F"/>
    <w:rsid w:val="006943D1"/>
    <w:rsid w:val="00694B8E"/>
    <w:rsid w:val="0069534A"/>
    <w:rsid w:val="00695E1E"/>
    <w:rsid w:val="0069619A"/>
    <w:rsid w:val="0069620B"/>
    <w:rsid w:val="00696B8D"/>
    <w:rsid w:val="00697A5F"/>
    <w:rsid w:val="006A10BC"/>
    <w:rsid w:val="006A1A62"/>
    <w:rsid w:val="006A29BF"/>
    <w:rsid w:val="006A30D2"/>
    <w:rsid w:val="006A393A"/>
    <w:rsid w:val="006A3A68"/>
    <w:rsid w:val="006A4587"/>
    <w:rsid w:val="006A4A16"/>
    <w:rsid w:val="006A4E30"/>
    <w:rsid w:val="006A5BE6"/>
    <w:rsid w:val="006A61F4"/>
    <w:rsid w:val="006A6DE9"/>
    <w:rsid w:val="006A762C"/>
    <w:rsid w:val="006B1BAE"/>
    <w:rsid w:val="006B3280"/>
    <w:rsid w:val="006B3A7F"/>
    <w:rsid w:val="006B4433"/>
    <w:rsid w:val="006B6300"/>
    <w:rsid w:val="006B6C7C"/>
    <w:rsid w:val="006B72C9"/>
    <w:rsid w:val="006C0708"/>
    <w:rsid w:val="006C0A66"/>
    <w:rsid w:val="006C1505"/>
    <w:rsid w:val="006C24C9"/>
    <w:rsid w:val="006C2FBB"/>
    <w:rsid w:val="006C335B"/>
    <w:rsid w:val="006C383B"/>
    <w:rsid w:val="006C3B1D"/>
    <w:rsid w:val="006C3E71"/>
    <w:rsid w:val="006C3E79"/>
    <w:rsid w:val="006C4974"/>
    <w:rsid w:val="006C4BE9"/>
    <w:rsid w:val="006C4DF4"/>
    <w:rsid w:val="006C52AE"/>
    <w:rsid w:val="006C593E"/>
    <w:rsid w:val="006C615D"/>
    <w:rsid w:val="006C705B"/>
    <w:rsid w:val="006D008E"/>
    <w:rsid w:val="006D0149"/>
    <w:rsid w:val="006D023B"/>
    <w:rsid w:val="006D0AEB"/>
    <w:rsid w:val="006D1905"/>
    <w:rsid w:val="006D202C"/>
    <w:rsid w:val="006D2279"/>
    <w:rsid w:val="006D26DF"/>
    <w:rsid w:val="006D2AC0"/>
    <w:rsid w:val="006D2B8A"/>
    <w:rsid w:val="006D3B37"/>
    <w:rsid w:val="006D3E66"/>
    <w:rsid w:val="006D4904"/>
    <w:rsid w:val="006D5A15"/>
    <w:rsid w:val="006D5BD4"/>
    <w:rsid w:val="006D6DC6"/>
    <w:rsid w:val="006D7F62"/>
    <w:rsid w:val="006E18AA"/>
    <w:rsid w:val="006E2097"/>
    <w:rsid w:val="006E264A"/>
    <w:rsid w:val="006E2C43"/>
    <w:rsid w:val="006E595E"/>
    <w:rsid w:val="006E596D"/>
    <w:rsid w:val="006E60BC"/>
    <w:rsid w:val="006E6549"/>
    <w:rsid w:val="006E681B"/>
    <w:rsid w:val="006E73DB"/>
    <w:rsid w:val="006F1137"/>
    <w:rsid w:val="006F12CB"/>
    <w:rsid w:val="006F2929"/>
    <w:rsid w:val="006F32E0"/>
    <w:rsid w:val="006F4CB7"/>
    <w:rsid w:val="006F7978"/>
    <w:rsid w:val="007000FE"/>
    <w:rsid w:val="00700688"/>
    <w:rsid w:val="007019A5"/>
    <w:rsid w:val="00702068"/>
    <w:rsid w:val="00702C7D"/>
    <w:rsid w:val="0070326A"/>
    <w:rsid w:val="0070349A"/>
    <w:rsid w:val="00704241"/>
    <w:rsid w:val="007052D0"/>
    <w:rsid w:val="00706195"/>
    <w:rsid w:val="00706E25"/>
    <w:rsid w:val="00707851"/>
    <w:rsid w:val="007104B2"/>
    <w:rsid w:val="0071193D"/>
    <w:rsid w:val="00712AB5"/>
    <w:rsid w:val="00713004"/>
    <w:rsid w:val="00713DFD"/>
    <w:rsid w:val="00713F16"/>
    <w:rsid w:val="00714A73"/>
    <w:rsid w:val="007166C7"/>
    <w:rsid w:val="00716CAA"/>
    <w:rsid w:val="00716FBB"/>
    <w:rsid w:val="0071765E"/>
    <w:rsid w:val="0072287A"/>
    <w:rsid w:val="00722A40"/>
    <w:rsid w:val="00722E3F"/>
    <w:rsid w:val="007235D2"/>
    <w:rsid w:val="0072596B"/>
    <w:rsid w:val="00727A6D"/>
    <w:rsid w:val="007314AE"/>
    <w:rsid w:val="007316C1"/>
    <w:rsid w:val="00731D07"/>
    <w:rsid w:val="0073260A"/>
    <w:rsid w:val="007327DC"/>
    <w:rsid w:val="00732A52"/>
    <w:rsid w:val="00732B01"/>
    <w:rsid w:val="007331A5"/>
    <w:rsid w:val="007331E4"/>
    <w:rsid w:val="0073354E"/>
    <w:rsid w:val="007338C7"/>
    <w:rsid w:val="00735EF4"/>
    <w:rsid w:val="00737447"/>
    <w:rsid w:val="00737EB1"/>
    <w:rsid w:val="00740397"/>
    <w:rsid w:val="00741649"/>
    <w:rsid w:val="0074225C"/>
    <w:rsid w:val="00742D9A"/>
    <w:rsid w:val="00743527"/>
    <w:rsid w:val="00743800"/>
    <w:rsid w:val="00743965"/>
    <w:rsid w:val="007447F1"/>
    <w:rsid w:val="00745843"/>
    <w:rsid w:val="00746B25"/>
    <w:rsid w:val="007471FA"/>
    <w:rsid w:val="00747D0B"/>
    <w:rsid w:val="007501FD"/>
    <w:rsid w:val="007505AF"/>
    <w:rsid w:val="00750ACA"/>
    <w:rsid w:val="00752003"/>
    <w:rsid w:val="007521B9"/>
    <w:rsid w:val="007526C7"/>
    <w:rsid w:val="0075288C"/>
    <w:rsid w:val="00752D9B"/>
    <w:rsid w:val="00754151"/>
    <w:rsid w:val="007545DB"/>
    <w:rsid w:val="00756064"/>
    <w:rsid w:val="0075621E"/>
    <w:rsid w:val="00756B2F"/>
    <w:rsid w:val="00757732"/>
    <w:rsid w:val="00757F8C"/>
    <w:rsid w:val="007604CF"/>
    <w:rsid w:val="007615B8"/>
    <w:rsid w:val="00762AA4"/>
    <w:rsid w:val="007639DA"/>
    <w:rsid w:val="00764C61"/>
    <w:rsid w:val="00765B6F"/>
    <w:rsid w:val="00766410"/>
    <w:rsid w:val="00766465"/>
    <w:rsid w:val="00766D60"/>
    <w:rsid w:val="007678A7"/>
    <w:rsid w:val="00767F7A"/>
    <w:rsid w:val="00770380"/>
    <w:rsid w:val="00770812"/>
    <w:rsid w:val="00770A85"/>
    <w:rsid w:val="00770AF3"/>
    <w:rsid w:val="00770E07"/>
    <w:rsid w:val="00771DA7"/>
    <w:rsid w:val="00772455"/>
    <w:rsid w:val="0077266C"/>
    <w:rsid w:val="007730EA"/>
    <w:rsid w:val="007738CC"/>
    <w:rsid w:val="00773B74"/>
    <w:rsid w:val="00774190"/>
    <w:rsid w:val="0077525D"/>
    <w:rsid w:val="0077537B"/>
    <w:rsid w:val="007754ED"/>
    <w:rsid w:val="00775B47"/>
    <w:rsid w:val="00776954"/>
    <w:rsid w:val="00776FF8"/>
    <w:rsid w:val="00781134"/>
    <w:rsid w:val="00782599"/>
    <w:rsid w:val="00782AAD"/>
    <w:rsid w:val="00782E26"/>
    <w:rsid w:val="00783307"/>
    <w:rsid w:val="007839FA"/>
    <w:rsid w:val="00783A90"/>
    <w:rsid w:val="00784114"/>
    <w:rsid w:val="00785AD4"/>
    <w:rsid w:val="00785C90"/>
    <w:rsid w:val="00785DFD"/>
    <w:rsid w:val="00787034"/>
    <w:rsid w:val="00787DDC"/>
    <w:rsid w:val="00787DEF"/>
    <w:rsid w:val="0079003D"/>
    <w:rsid w:val="00790155"/>
    <w:rsid w:val="007903B4"/>
    <w:rsid w:val="0079075B"/>
    <w:rsid w:val="00791C39"/>
    <w:rsid w:val="00791C7C"/>
    <w:rsid w:val="007927D9"/>
    <w:rsid w:val="007941CD"/>
    <w:rsid w:val="00794780"/>
    <w:rsid w:val="007947A9"/>
    <w:rsid w:val="00794847"/>
    <w:rsid w:val="00794FBA"/>
    <w:rsid w:val="00796317"/>
    <w:rsid w:val="00796FD2"/>
    <w:rsid w:val="007970A5"/>
    <w:rsid w:val="007972C4"/>
    <w:rsid w:val="00797E6D"/>
    <w:rsid w:val="007A0A74"/>
    <w:rsid w:val="007A0F72"/>
    <w:rsid w:val="007A23AA"/>
    <w:rsid w:val="007A34D6"/>
    <w:rsid w:val="007A40AA"/>
    <w:rsid w:val="007A4779"/>
    <w:rsid w:val="007A581B"/>
    <w:rsid w:val="007A5B36"/>
    <w:rsid w:val="007A651F"/>
    <w:rsid w:val="007A6986"/>
    <w:rsid w:val="007A6E27"/>
    <w:rsid w:val="007A7143"/>
    <w:rsid w:val="007A744C"/>
    <w:rsid w:val="007A7BEC"/>
    <w:rsid w:val="007A7FA7"/>
    <w:rsid w:val="007B0413"/>
    <w:rsid w:val="007B048B"/>
    <w:rsid w:val="007B05BD"/>
    <w:rsid w:val="007B090D"/>
    <w:rsid w:val="007B0E88"/>
    <w:rsid w:val="007B0F21"/>
    <w:rsid w:val="007B189F"/>
    <w:rsid w:val="007B1B57"/>
    <w:rsid w:val="007B1E4E"/>
    <w:rsid w:val="007B2597"/>
    <w:rsid w:val="007B3AAF"/>
    <w:rsid w:val="007B4CA0"/>
    <w:rsid w:val="007B5806"/>
    <w:rsid w:val="007B5CB1"/>
    <w:rsid w:val="007B68DC"/>
    <w:rsid w:val="007B69DB"/>
    <w:rsid w:val="007B6AAA"/>
    <w:rsid w:val="007B7BFD"/>
    <w:rsid w:val="007C048E"/>
    <w:rsid w:val="007C082D"/>
    <w:rsid w:val="007C1A27"/>
    <w:rsid w:val="007C2078"/>
    <w:rsid w:val="007C261D"/>
    <w:rsid w:val="007C266E"/>
    <w:rsid w:val="007C28DF"/>
    <w:rsid w:val="007C3579"/>
    <w:rsid w:val="007C35E0"/>
    <w:rsid w:val="007C3A4B"/>
    <w:rsid w:val="007C3C16"/>
    <w:rsid w:val="007C3EC4"/>
    <w:rsid w:val="007C4C67"/>
    <w:rsid w:val="007C4E05"/>
    <w:rsid w:val="007C60F6"/>
    <w:rsid w:val="007C64AB"/>
    <w:rsid w:val="007C66D2"/>
    <w:rsid w:val="007C6D1A"/>
    <w:rsid w:val="007C72BD"/>
    <w:rsid w:val="007C733F"/>
    <w:rsid w:val="007C782D"/>
    <w:rsid w:val="007C7FD7"/>
    <w:rsid w:val="007D059D"/>
    <w:rsid w:val="007D19EE"/>
    <w:rsid w:val="007D212C"/>
    <w:rsid w:val="007D26BD"/>
    <w:rsid w:val="007D28F5"/>
    <w:rsid w:val="007D3EDC"/>
    <w:rsid w:val="007D43AB"/>
    <w:rsid w:val="007D4509"/>
    <w:rsid w:val="007D4BDC"/>
    <w:rsid w:val="007D5A63"/>
    <w:rsid w:val="007D61ED"/>
    <w:rsid w:val="007D6C52"/>
    <w:rsid w:val="007D729B"/>
    <w:rsid w:val="007D7557"/>
    <w:rsid w:val="007D7BD7"/>
    <w:rsid w:val="007E0668"/>
    <w:rsid w:val="007E0729"/>
    <w:rsid w:val="007E0861"/>
    <w:rsid w:val="007E1F88"/>
    <w:rsid w:val="007E31E1"/>
    <w:rsid w:val="007E36DA"/>
    <w:rsid w:val="007E3868"/>
    <w:rsid w:val="007E3A28"/>
    <w:rsid w:val="007E431B"/>
    <w:rsid w:val="007E72F3"/>
    <w:rsid w:val="007E7431"/>
    <w:rsid w:val="007E7CDC"/>
    <w:rsid w:val="007F0D95"/>
    <w:rsid w:val="007F16F8"/>
    <w:rsid w:val="007F18A2"/>
    <w:rsid w:val="007F4DC4"/>
    <w:rsid w:val="007F6097"/>
    <w:rsid w:val="007F60A4"/>
    <w:rsid w:val="007F6BA2"/>
    <w:rsid w:val="007F6D27"/>
    <w:rsid w:val="007F7A89"/>
    <w:rsid w:val="00801A3D"/>
    <w:rsid w:val="00802FEB"/>
    <w:rsid w:val="008042F1"/>
    <w:rsid w:val="0080432B"/>
    <w:rsid w:val="008044B5"/>
    <w:rsid w:val="008045E9"/>
    <w:rsid w:val="008048DE"/>
    <w:rsid w:val="00804CEC"/>
    <w:rsid w:val="00805032"/>
    <w:rsid w:val="00805567"/>
    <w:rsid w:val="008059EF"/>
    <w:rsid w:val="00805BC5"/>
    <w:rsid w:val="00805BE1"/>
    <w:rsid w:val="00805E47"/>
    <w:rsid w:val="0080619E"/>
    <w:rsid w:val="008067B7"/>
    <w:rsid w:val="00806E60"/>
    <w:rsid w:val="00807ACF"/>
    <w:rsid w:val="00810E3D"/>
    <w:rsid w:val="00810F6D"/>
    <w:rsid w:val="008117F1"/>
    <w:rsid w:val="00811F2B"/>
    <w:rsid w:val="00812140"/>
    <w:rsid w:val="008124BB"/>
    <w:rsid w:val="00812B13"/>
    <w:rsid w:val="00813200"/>
    <w:rsid w:val="00813234"/>
    <w:rsid w:val="0081368E"/>
    <w:rsid w:val="00813FB7"/>
    <w:rsid w:val="008142E6"/>
    <w:rsid w:val="008143E6"/>
    <w:rsid w:val="00814E05"/>
    <w:rsid w:val="008150B5"/>
    <w:rsid w:val="00815578"/>
    <w:rsid w:val="00816C7E"/>
    <w:rsid w:val="00816D0F"/>
    <w:rsid w:val="00816FA0"/>
    <w:rsid w:val="008174B4"/>
    <w:rsid w:val="008177A8"/>
    <w:rsid w:val="00817B2E"/>
    <w:rsid w:val="00820673"/>
    <w:rsid w:val="008217CE"/>
    <w:rsid w:val="00821882"/>
    <w:rsid w:val="00821B26"/>
    <w:rsid w:val="008222AC"/>
    <w:rsid w:val="0082296F"/>
    <w:rsid w:val="008229ED"/>
    <w:rsid w:val="008234F0"/>
    <w:rsid w:val="0082383C"/>
    <w:rsid w:val="008239FC"/>
    <w:rsid w:val="00823D35"/>
    <w:rsid w:val="00824219"/>
    <w:rsid w:val="0082499B"/>
    <w:rsid w:val="00825430"/>
    <w:rsid w:val="00826179"/>
    <w:rsid w:val="00826AAD"/>
    <w:rsid w:val="00826DD2"/>
    <w:rsid w:val="008279FC"/>
    <w:rsid w:val="00830007"/>
    <w:rsid w:val="0083034D"/>
    <w:rsid w:val="0083034E"/>
    <w:rsid w:val="00831E05"/>
    <w:rsid w:val="00833375"/>
    <w:rsid w:val="00833DCA"/>
    <w:rsid w:val="008344CE"/>
    <w:rsid w:val="00834BB9"/>
    <w:rsid w:val="00834D31"/>
    <w:rsid w:val="00835C78"/>
    <w:rsid w:val="00835D8B"/>
    <w:rsid w:val="00835E84"/>
    <w:rsid w:val="00835F21"/>
    <w:rsid w:val="00836C71"/>
    <w:rsid w:val="008370BE"/>
    <w:rsid w:val="00837478"/>
    <w:rsid w:val="00841200"/>
    <w:rsid w:val="0084281A"/>
    <w:rsid w:val="00842B26"/>
    <w:rsid w:val="00843EA1"/>
    <w:rsid w:val="0084503F"/>
    <w:rsid w:val="0084509B"/>
    <w:rsid w:val="00845A71"/>
    <w:rsid w:val="00845AFD"/>
    <w:rsid w:val="00846AC1"/>
    <w:rsid w:val="00847464"/>
    <w:rsid w:val="0085055F"/>
    <w:rsid w:val="00850843"/>
    <w:rsid w:val="008514ED"/>
    <w:rsid w:val="00851F6D"/>
    <w:rsid w:val="00852E2D"/>
    <w:rsid w:val="0085379A"/>
    <w:rsid w:val="00853F4B"/>
    <w:rsid w:val="008541C2"/>
    <w:rsid w:val="00855759"/>
    <w:rsid w:val="00855B9B"/>
    <w:rsid w:val="0085604C"/>
    <w:rsid w:val="00856AAA"/>
    <w:rsid w:val="00856E0E"/>
    <w:rsid w:val="0085700B"/>
    <w:rsid w:val="0085712C"/>
    <w:rsid w:val="0085764B"/>
    <w:rsid w:val="00857C12"/>
    <w:rsid w:val="00861860"/>
    <w:rsid w:val="00861ED0"/>
    <w:rsid w:val="00862325"/>
    <w:rsid w:val="0086286D"/>
    <w:rsid w:val="00862BB7"/>
    <w:rsid w:val="00863E1E"/>
    <w:rsid w:val="00865FDD"/>
    <w:rsid w:val="0086629B"/>
    <w:rsid w:val="00867243"/>
    <w:rsid w:val="00867556"/>
    <w:rsid w:val="00867A0B"/>
    <w:rsid w:val="00867AFA"/>
    <w:rsid w:val="00867FB2"/>
    <w:rsid w:val="00870855"/>
    <w:rsid w:val="00871D5A"/>
    <w:rsid w:val="00872883"/>
    <w:rsid w:val="00872A62"/>
    <w:rsid w:val="00872B34"/>
    <w:rsid w:val="0087445A"/>
    <w:rsid w:val="00874793"/>
    <w:rsid w:val="00874D07"/>
    <w:rsid w:val="00875034"/>
    <w:rsid w:val="008755C1"/>
    <w:rsid w:val="00877937"/>
    <w:rsid w:val="008779AA"/>
    <w:rsid w:val="00877B82"/>
    <w:rsid w:val="008805E5"/>
    <w:rsid w:val="008805ED"/>
    <w:rsid w:val="00880A51"/>
    <w:rsid w:val="00880E92"/>
    <w:rsid w:val="00881CA0"/>
    <w:rsid w:val="00881EE2"/>
    <w:rsid w:val="008826FF"/>
    <w:rsid w:val="00882BD9"/>
    <w:rsid w:val="00883D8C"/>
    <w:rsid w:val="00883E05"/>
    <w:rsid w:val="00884D38"/>
    <w:rsid w:val="008854AE"/>
    <w:rsid w:val="00885A45"/>
    <w:rsid w:val="00885EE2"/>
    <w:rsid w:val="00885F75"/>
    <w:rsid w:val="0088675F"/>
    <w:rsid w:val="008868B4"/>
    <w:rsid w:val="00886D69"/>
    <w:rsid w:val="0088734C"/>
    <w:rsid w:val="00887375"/>
    <w:rsid w:val="00887718"/>
    <w:rsid w:val="0088781F"/>
    <w:rsid w:val="00887A87"/>
    <w:rsid w:val="00891F0D"/>
    <w:rsid w:val="00891F63"/>
    <w:rsid w:val="008933E2"/>
    <w:rsid w:val="00894529"/>
    <w:rsid w:val="00895022"/>
    <w:rsid w:val="0089502F"/>
    <w:rsid w:val="008950CB"/>
    <w:rsid w:val="00895366"/>
    <w:rsid w:val="00895465"/>
    <w:rsid w:val="00895BC2"/>
    <w:rsid w:val="00896364"/>
    <w:rsid w:val="008963BF"/>
    <w:rsid w:val="00896565"/>
    <w:rsid w:val="00896D86"/>
    <w:rsid w:val="008A0E1E"/>
    <w:rsid w:val="008A1A19"/>
    <w:rsid w:val="008A1BFE"/>
    <w:rsid w:val="008A233A"/>
    <w:rsid w:val="008A29BF"/>
    <w:rsid w:val="008A2C42"/>
    <w:rsid w:val="008A3B30"/>
    <w:rsid w:val="008A42F7"/>
    <w:rsid w:val="008A4B11"/>
    <w:rsid w:val="008A539E"/>
    <w:rsid w:val="008A614C"/>
    <w:rsid w:val="008A77B6"/>
    <w:rsid w:val="008A7987"/>
    <w:rsid w:val="008A7BE7"/>
    <w:rsid w:val="008B0FC1"/>
    <w:rsid w:val="008B268B"/>
    <w:rsid w:val="008B3252"/>
    <w:rsid w:val="008B3F6D"/>
    <w:rsid w:val="008B461F"/>
    <w:rsid w:val="008B4AFF"/>
    <w:rsid w:val="008B4CFF"/>
    <w:rsid w:val="008B594C"/>
    <w:rsid w:val="008B61F7"/>
    <w:rsid w:val="008B6E61"/>
    <w:rsid w:val="008B6FD0"/>
    <w:rsid w:val="008B74BE"/>
    <w:rsid w:val="008C026A"/>
    <w:rsid w:val="008C1323"/>
    <w:rsid w:val="008C1359"/>
    <w:rsid w:val="008C179D"/>
    <w:rsid w:val="008C30EF"/>
    <w:rsid w:val="008C3101"/>
    <w:rsid w:val="008C4745"/>
    <w:rsid w:val="008C4814"/>
    <w:rsid w:val="008C50D1"/>
    <w:rsid w:val="008C66FB"/>
    <w:rsid w:val="008C7052"/>
    <w:rsid w:val="008D05C0"/>
    <w:rsid w:val="008D1765"/>
    <w:rsid w:val="008D27DC"/>
    <w:rsid w:val="008D3472"/>
    <w:rsid w:val="008D414F"/>
    <w:rsid w:val="008D4EF7"/>
    <w:rsid w:val="008D555B"/>
    <w:rsid w:val="008D5792"/>
    <w:rsid w:val="008D59F9"/>
    <w:rsid w:val="008D5B2A"/>
    <w:rsid w:val="008D5B83"/>
    <w:rsid w:val="008D63EA"/>
    <w:rsid w:val="008D6A53"/>
    <w:rsid w:val="008D6A96"/>
    <w:rsid w:val="008D6FDC"/>
    <w:rsid w:val="008D7861"/>
    <w:rsid w:val="008D7A92"/>
    <w:rsid w:val="008D7E9C"/>
    <w:rsid w:val="008E3824"/>
    <w:rsid w:val="008E4749"/>
    <w:rsid w:val="008E4A1C"/>
    <w:rsid w:val="008E4DC5"/>
    <w:rsid w:val="008E5151"/>
    <w:rsid w:val="008E5B75"/>
    <w:rsid w:val="008E72B5"/>
    <w:rsid w:val="008E7CD9"/>
    <w:rsid w:val="008F0679"/>
    <w:rsid w:val="008F1600"/>
    <w:rsid w:val="008F1635"/>
    <w:rsid w:val="008F1DED"/>
    <w:rsid w:val="008F2947"/>
    <w:rsid w:val="008F400F"/>
    <w:rsid w:val="008F4428"/>
    <w:rsid w:val="008F4453"/>
    <w:rsid w:val="008F558E"/>
    <w:rsid w:val="008F6097"/>
    <w:rsid w:val="00900E9A"/>
    <w:rsid w:val="009015D0"/>
    <w:rsid w:val="00904DCE"/>
    <w:rsid w:val="0090551D"/>
    <w:rsid w:val="0090559A"/>
    <w:rsid w:val="00905C21"/>
    <w:rsid w:val="00906008"/>
    <w:rsid w:val="0090615A"/>
    <w:rsid w:val="009066AA"/>
    <w:rsid w:val="009068B8"/>
    <w:rsid w:val="0090692B"/>
    <w:rsid w:val="00906D3F"/>
    <w:rsid w:val="00907074"/>
    <w:rsid w:val="00907F6C"/>
    <w:rsid w:val="0091007A"/>
    <w:rsid w:val="00910EFC"/>
    <w:rsid w:val="00911B45"/>
    <w:rsid w:val="0091205B"/>
    <w:rsid w:val="00912977"/>
    <w:rsid w:val="00913705"/>
    <w:rsid w:val="00913CA3"/>
    <w:rsid w:val="00914643"/>
    <w:rsid w:val="00914794"/>
    <w:rsid w:val="009157AD"/>
    <w:rsid w:val="009165A5"/>
    <w:rsid w:val="009168C0"/>
    <w:rsid w:val="00916C89"/>
    <w:rsid w:val="00916EE1"/>
    <w:rsid w:val="0092003C"/>
    <w:rsid w:val="00920B34"/>
    <w:rsid w:val="00920FB7"/>
    <w:rsid w:val="00921D60"/>
    <w:rsid w:val="0092261E"/>
    <w:rsid w:val="00922F8B"/>
    <w:rsid w:val="00923277"/>
    <w:rsid w:val="0092380F"/>
    <w:rsid w:val="009242A1"/>
    <w:rsid w:val="00924A93"/>
    <w:rsid w:val="00924E12"/>
    <w:rsid w:val="00926089"/>
    <w:rsid w:val="00926153"/>
    <w:rsid w:val="009268FD"/>
    <w:rsid w:val="009279B3"/>
    <w:rsid w:val="009319C4"/>
    <w:rsid w:val="00931EEC"/>
    <w:rsid w:val="00931F31"/>
    <w:rsid w:val="0093209F"/>
    <w:rsid w:val="00932B2F"/>
    <w:rsid w:val="00932B68"/>
    <w:rsid w:val="00933A94"/>
    <w:rsid w:val="00933D32"/>
    <w:rsid w:val="009344DF"/>
    <w:rsid w:val="0093459A"/>
    <w:rsid w:val="00934728"/>
    <w:rsid w:val="00934F58"/>
    <w:rsid w:val="0093551F"/>
    <w:rsid w:val="00936558"/>
    <w:rsid w:val="00936779"/>
    <w:rsid w:val="00936D20"/>
    <w:rsid w:val="009371B4"/>
    <w:rsid w:val="0093788B"/>
    <w:rsid w:val="00937997"/>
    <w:rsid w:val="00937A12"/>
    <w:rsid w:val="00940654"/>
    <w:rsid w:val="00940B98"/>
    <w:rsid w:val="0094122A"/>
    <w:rsid w:val="0094153F"/>
    <w:rsid w:val="009417F5"/>
    <w:rsid w:val="00943518"/>
    <w:rsid w:val="00943977"/>
    <w:rsid w:val="00943D70"/>
    <w:rsid w:val="009450BC"/>
    <w:rsid w:val="00945FE9"/>
    <w:rsid w:val="00946762"/>
    <w:rsid w:val="009468BB"/>
    <w:rsid w:val="00950AA6"/>
    <w:rsid w:val="009518BA"/>
    <w:rsid w:val="00951E06"/>
    <w:rsid w:val="00952CC0"/>
    <w:rsid w:val="00953156"/>
    <w:rsid w:val="009535AD"/>
    <w:rsid w:val="009543AF"/>
    <w:rsid w:val="0095479B"/>
    <w:rsid w:val="009550EC"/>
    <w:rsid w:val="009578F0"/>
    <w:rsid w:val="00957D39"/>
    <w:rsid w:val="00957E86"/>
    <w:rsid w:val="009602B0"/>
    <w:rsid w:val="00961B26"/>
    <w:rsid w:val="009620EC"/>
    <w:rsid w:val="009623AB"/>
    <w:rsid w:val="00962489"/>
    <w:rsid w:val="0096258F"/>
    <w:rsid w:val="00962936"/>
    <w:rsid w:val="00962EA5"/>
    <w:rsid w:val="0096326D"/>
    <w:rsid w:val="009643F7"/>
    <w:rsid w:val="00965318"/>
    <w:rsid w:val="00965B22"/>
    <w:rsid w:val="00965ED2"/>
    <w:rsid w:val="00966F91"/>
    <w:rsid w:val="00967157"/>
    <w:rsid w:val="00967158"/>
    <w:rsid w:val="00970E00"/>
    <w:rsid w:val="009716BB"/>
    <w:rsid w:val="00972D84"/>
    <w:rsid w:val="00973CFA"/>
    <w:rsid w:val="00974F66"/>
    <w:rsid w:val="009757CF"/>
    <w:rsid w:val="00975F71"/>
    <w:rsid w:val="009766F1"/>
    <w:rsid w:val="00976876"/>
    <w:rsid w:val="00976B63"/>
    <w:rsid w:val="00976B80"/>
    <w:rsid w:val="009776DA"/>
    <w:rsid w:val="00977820"/>
    <w:rsid w:val="0097787E"/>
    <w:rsid w:val="00977A3D"/>
    <w:rsid w:val="00977F16"/>
    <w:rsid w:val="00977F6F"/>
    <w:rsid w:val="009803BA"/>
    <w:rsid w:val="0098206D"/>
    <w:rsid w:val="009827AD"/>
    <w:rsid w:val="0098296D"/>
    <w:rsid w:val="00984855"/>
    <w:rsid w:val="009851E6"/>
    <w:rsid w:val="00987243"/>
    <w:rsid w:val="0098756D"/>
    <w:rsid w:val="009875EE"/>
    <w:rsid w:val="00992199"/>
    <w:rsid w:val="00992472"/>
    <w:rsid w:val="00993061"/>
    <w:rsid w:val="0099367C"/>
    <w:rsid w:val="0099377A"/>
    <w:rsid w:val="009943BF"/>
    <w:rsid w:val="00994C27"/>
    <w:rsid w:val="00997021"/>
    <w:rsid w:val="00997F00"/>
    <w:rsid w:val="009A0A76"/>
    <w:rsid w:val="009A0A9B"/>
    <w:rsid w:val="009A1214"/>
    <w:rsid w:val="009A12D5"/>
    <w:rsid w:val="009A203F"/>
    <w:rsid w:val="009A2879"/>
    <w:rsid w:val="009A2989"/>
    <w:rsid w:val="009A2D1F"/>
    <w:rsid w:val="009A3190"/>
    <w:rsid w:val="009A4B11"/>
    <w:rsid w:val="009A4DEF"/>
    <w:rsid w:val="009A6C3D"/>
    <w:rsid w:val="009B0B9B"/>
    <w:rsid w:val="009B1CC0"/>
    <w:rsid w:val="009B1CFE"/>
    <w:rsid w:val="009B2429"/>
    <w:rsid w:val="009B24BB"/>
    <w:rsid w:val="009B29FD"/>
    <w:rsid w:val="009B2A81"/>
    <w:rsid w:val="009B2B99"/>
    <w:rsid w:val="009B2CFE"/>
    <w:rsid w:val="009B634F"/>
    <w:rsid w:val="009B660D"/>
    <w:rsid w:val="009B69A0"/>
    <w:rsid w:val="009B6BBE"/>
    <w:rsid w:val="009C0115"/>
    <w:rsid w:val="009C1047"/>
    <w:rsid w:val="009C1534"/>
    <w:rsid w:val="009C1E1E"/>
    <w:rsid w:val="009C315F"/>
    <w:rsid w:val="009C3F8C"/>
    <w:rsid w:val="009C4052"/>
    <w:rsid w:val="009C4B97"/>
    <w:rsid w:val="009C573C"/>
    <w:rsid w:val="009C63D3"/>
    <w:rsid w:val="009C656F"/>
    <w:rsid w:val="009C68B4"/>
    <w:rsid w:val="009C7E01"/>
    <w:rsid w:val="009D0AC1"/>
    <w:rsid w:val="009D113D"/>
    <w:rsid w:val="009D197D"/>
    <w:rsid w:val="009D1D14"/>
    <w:rsid w:val="009D2ED7"/>
    <w:rsid w:val="009D351E"/>
    <w:rsid w:val="009D3624"/>
    <w:rsid w:val="009D4199"/>
    <w:rsid w:val="009D4995"/>
    <w:rsid w:val="009D4D0B"/>
    <w:rsid w:val="009D58D2"/>
    <w:rsid w:val="009D5FBB"/>
    <w:rsid w:val="009D6774"/>
    <w:rsid w:val="009D6ED1"/>
    <w:rsid w:val="009D70AD"/>
    <w:rsid w:val="009D7250"/>
    <w:rsid w:val="009D7707"/>
    <w:rsid w:val="009D77F4"/>
    <w:rsid w:val="009D796C"/>
    <w:rsid w:val="009E105F"/>
    <w:rsid w:val="009E169C"/>
    <w:rsid w:val="009E2837"/>
    <w:rsid w:val="009E288B"/>
    <w:rsid w:val="009E3B71"/>
    <w:rsid w:val="009E3B8B"/>
    <w:rsid w:val="009E4368"/>
    <w:rsid w:val="009E5123"/>
    <w:rsid w:val="009E5297"/>
    <w:rsid w:val="009E53FC"/>
    <w:rsid w:val="009E5664"/>
    <w:rsid w:val="009E6C33"/>
    <w:rsid w:val="009E6F12"/>
    <w:rsid w:val="009F03CD"/>
    <w:rsid w:val="009F0BE5"/>
    <w:rsid w:val="009F1F38"/>
    <w:rsid w:val="009F206A"/>
    <w:rsid w:val="009F2FD6"/>
    <w:rsid w:val="009F3BF8"/>
    <w:rsid w:val="009F4234"/>
    <w:rsid w:val="009F437A"/>
    <w:rsid w:val="009F45BB"/>
    <w:rsid w:val="009F472C"/>
    <w:rsid w:val="009F4D33"/>
    <w:rsid w:val="009F59B4"/>
    <w:rsid w:val="009F5D7F"/>
    <w:rsid w:val="009F64DD"/>
    <w:rsid w:val="009F7447"/>
    <w:rsid w:val="009F7C6B"/>
    <w:rsid w:val="00A00256"/>
    <w:rsid w:val="00A01067"/>
    <w:rsid w:val="00A0170D"/>
    <w:rsid w:val="00A0222C"/>
    <w:rsid w:val="00A031BD"/>
    <w:rsid w:val="00A031D7"/>
    <w:rsid w:val="00A03BB2"/>
    <w:rsid w:val="00A044F4"/>
    <w:rsid w:val="00A051EE"/>
    <w:rsid w:val="00A06C73"/>
    <w:rsid w:val="00A079D2"/>
    <w:rsid w:val="00A1110E"/>
    <w:rsid w:val="00A11A48"/>
    <w:rsid w:val="00A12986"/>
    <w:rsid w:val="00A12F0B"/>
    <w:rsid w:val="00A137F1"/>
    <w:rsid w:val="00A1386D"/>
    <w:rsid w:val="00A13B5F"/>
    <w:rsid w:val="00A142FC"/>
    <w:rsid w:val="00A148CE"/>
    <w:rsid w:val="00A14F13"/>
    <w:rsid w:val="00A150E2"/>
    <w:rsid w:val="00A15226"/>
    <w:rsid w:val="00A15254"/>
    <w:rsid w:val="00A1535E"/>
    <w:rsid w:val="00A15E59"/>
    <w:rsid w:val="00A16D1B"/>
    <w:rsid w:val="00A16F0F"/>
    <w:rsid w:val="00A20259"/>
    <w:rsid w:val="00A206DE"/>
    <w:rsid w:val="00A2089A"/>
    <w:rsid w:val="00A20BFB"/>
    <w:rsid w:val="00A20C53"/>
    <w:rsid w:val="00A2259D"/>
    <w:rsid w:val="00A22FA0"/>
    <w:rsid w:val="00A236F7"/>
    <w:rsid w:val="00A2392F"/>
    <w:rsid w:val="00A23F83"/>
    <w:rsid w:val="00A246E7"/>
    <w:rsid w:val="00A2518A"/>
    <w:rsid w:val="00A25D43"/>
    <w:rsid w:val="00A25E28"/>
    <w:rsid w:val="00A2641C"/>
    <w:rsid w:val="00A27489"/>
    <w:rsid w:val="00A27FE5"/>
    <w:rsid w:val="00A30406"/>
    <w:rsid w:val="00A305C5"/>
    <w:rsid w:val="00A309A0"/>
    <w:rsid w:val="00A3263E"/>
    <w:rsid w:val="00A32BCF"/>
    <w:rsid w:val="00A32C64"/>
    <w:rsid w:val="00A33153"/>
    <w:rsid w:val="00A33251"/>
    <w:rsid w:val="00A335FB"/>
    <w:rsid w:val="00A33A23"/>
    <w:rsid w:val="00A3436C"/>
    <w:rsid w:val="00A36653"/>
    <w:rsid w:val="00A369E2"/>
    <w:rsid w:val="00A36F0E"/>
    <w:rsid w:val="00A372E6"/>
    <w:rsid w:val="00A4017D"/>
    <w:rsid w:val="00A40869"/>
    <w:rsid w:val="00A40F69"/>
    <w:rsid w:val="00A4150E"/>
    <w:rsid w:val="00A416B6"/>
    <w:rsid w:val="00A41939"/>
    <w:rsid w:val="00A41D78"/>
    <w:rsid w:val="00A42509"/>
    <w:rsid w:val="00A42E41"/>
    <w:rsid w:val="00A42E72"/>
    <w:rsid w:val="00A4363E"/>
    <w:rsid w:val="00A43885"/>
    <w:rsid w:val="00A44397"/>
    <w:rsid w:val="00A46A2E"/>
    <w:rsid w:val="00A46B9D"/>
    <w:rsid w:val="00A46E2C"/>
    <w:rsid w:val="00A479E6"/>
    <w:rsid w:val="00A47B74"/>
    <w:rsid w:val="00A50EED"/>
    <w:rsid w:val="00A513F7"/>
    <w:rsid w:val="00A51770"/>
    <w:rsid w:val="00A52B9E"/>
    <w:rsid w:val="00A52E31"/>
    <w:rsid w:val="00A5383A"/>
    <w:rsid w:val="00A547EC"/>
    <w:rsid w:val="00A54C03"/>
    <w:rsid w:val="00A5507C"/>
    <w:rsid w:val="00A566D8"/>
    <w:rsid w:val="00A57344"/>
    <w:rsid w:val="00A5770A"/>
    <w:rsid w:val="00A601F2"/>
    <w:rsid w:val="00A60633"/>
    <w:rsid w:val="00A61BBE"/>
    <w:rsid w:val="00A61ED0"/>
    <w:rsid w:val="00A620E4"/>
    <w:rsid w:val="00A621F0"/>
    <w:rsid w:val="00A627A4"/>
    <w:rsid w:val="00A62BFF"/>
    <w:rsid w:val="00A62CEA"/>
    <w:rsid w:val="00A6345A"/>
    <w:rsid w:val="00A65876"/>
    <w:rsid w:val="00A664BB"/>
    <w:rsid w:val="00A667D2"/>
    <w:rsid w:val="00A66CCB"/>
    <w:rsid w:val="00A67112"/>
    <w:rsid w:val="00A6714F"/>
    <w:rsid w:val="00A67EFD"/>
    <w:rsid w:val="00A7121C"/>
    <w:rsid w:val="00A71C23"/>
    <w:rsid w:val="00A721AE"/>
    <w:rsid w:val="00A731E9"/>
    <w:rsid w:val="00A73265"/>
    <w:rsid w:val="00A7354E"/>
    <w:rsid w:val="00A74308"/>
    <w:rsid w:val="00A7499B"/>
    <w:rsid w:val="00A74DAF"/>
    <w:rsid w:val="00A75585"/>
    <w:rsid w:val="00A758B9"/>
    <w:rsid w:val="00A77155"/>
    <w:rsid w:val="00A77751"/>
    <w:rsid w:val="00A80142"/>
    <w:rsid w:val="00A82052"/>
    <w:rsid w:val="00A820B9"/>
    <w:rsid w:val="00A82B19"/>
    <w:rsid w:val="00A837D1"/>
    <w:rsid w:val="00A83E0E"/>
    <w:rsid w:val="00A847FF"/>
    <w:rsid w:val="00A854AF"/>
    <w:rsid w:val="00A85692"/>
    <w:rsid w:val="00A85C62"/>
    <w:rsid w:val="00A876FD"/>
    <w:rsid w:val="00A87A0F"/>
    <w:rsid w:val="00A90A83"/>
    <w:rsid w:val="00A917AE"/>
    <w:rsid w:val="00A91DF4"/>
    <w:rsid w:val="00A92AF0"/>
    <w:rsid w:val="00A93CF8"/>
    <w:rsid w:val="00A94208"/>
    <w:rsid w:val="00A94822"/>
    <w:rsid w:val="00A95874"/>
    <w:rsid w:val="00A95BB7"/>
    <w:rsid w:val="00A9656F"/>
    <w:rsid w:val="00A975ED"/>
    <w:rsid w:val="00AA0292"/>
    <w:rsid w:val="00AA035B"/>
    <w:rsid w:val="00AA0778"/>
    <w:rsid w:val="00AA10F7"/>
    <w:rsid w:val="00AA2139"/>
    <w:rsid w:val="00AA2226"/>
    <w:rsid w:val="00AA3533"/>
    <w:rsid w:val="00AA377E"/>
    <w:rsid w:val="00AA43F4"/>
    <w:rsid w:val="00AA6212"/>
    <w:rsid w:val="00AA6E63"/>
    <w:rsid w:val="00AA718F"/>
    <w:rsid w:val="00AA7D5D"/>
    <w:rsid w:val="00AA7FF2"/>
    <w:rsid w:val="00AB1012"/>
    <w:rsid w:val="00AB116D"/>
    <w:rsid w:val="00AB1465"/>
    <w:rsid w:val="00AB1B72"/>
    <w:rsid w:val="00AB2135"/>
    <w:rsid w:val="00AB2DA7"/>
    <w:rsid w:val="00AB2E4A"/>
    <w:rsid w:val="00AB32FC"/>
    <w:rsid w:val="00AB3BBC"/>
    <w:rsid w:val="00AB4994"/>
    <w:rsid w:val="00AC05A6"/>
    <w:rsid w:val="00AC14E9"/>
    <w:rsid w:val="00AC2283"/>
    <w:rsid w:val="00AC2A25"/>
    <w:rsid w:val="00AC2B06"/>
    <w:rsid w:val="00AC361B"/>
    <w:rsid w:val="00AC3A04"/>
    <w:rsid w:val="00AC53C8"/>
    <w:rsid w:val="00AC6CF5"/>
    <w:rsid w:val="00AC6EE0"/>
    <w:rsid w:val="00AC715D"/>
    <w:rsid w:val="00AC7344"/>
    <w:rsid w:val="00AD0B0D"/>
    <w:rsid w:val="00AD199C"/>
    <w:rsid w:val="00AD201C"/>
    <w:rsid w:val="00AD263C"/>
    <w:rsid w:val="00AD3E7D"/>
    <w:rsid w:val="00AD3EA3"/>
    <w:rsid w:val="00AD454F"/>
    <w:rsid w:val="00AD50A9"/>
    <w:rsid w:val="00AD522B"/>
    <w:rsid w:val="00AD58EE"/>
    <w:rsid w:val="00AD6D83"/>
    <w:rsid w:val="00AD6F04"/>
    <w:rsid w:val="00AD7384"/>
    <w:rsid w:val="00AE0902"/>
    <w:rsid w:val="00AE10D6"/>
    <w:rsid w:val="00AE1FD4"/>
    <w:rsid w:val="00AE2F62"/>
    <w:rsid w:val="00AE4101"/>
    <w:rsid w:val="00AE4208"/>
    <w:rsid w:val="00AE4500"/>
    <w:rsid w:val="00AE4B70"/>
    <w:rsid w:val="00AE5B76"/>
    <w:rsid w:val="00AE5F61"/>
    <w:rsid w:val="00AE6B81"/>
    <w:rsid w:val="00AF182B"/>
    <w:rsid w:val="00AF1DF7"/>
    <w:rsid w:val="00AF25F9"/>
    <w:rsid w:val="00AF2995"/>
    <w:rsid w:val="00AF2BC3"/>
    <w:rsid w:val="00AF2D89"/>
    <w:rsid w:val="00AF33FC"/>
    <w:rsid w:val="00AF4801"/>
    <w:rsid w:val="00AF56A5"/>
    <w:rsid w:val="00AF59E1"/>
    <w:rsid w:val="00AF5A45"/>
    <w:rsid w:val="00AF633A"/>
    <w:rsid w:val="00AF650E"/>
    <w:rsid w:val="00AF65D2"/>
    <w:rsid w:val="00AF6F91"/>
    <w:rsid w:val="00AF7088"/>
    <w:rsid w:val="00B016B7"/>
    <w:rsid w:val="00B0293A"/>
    <w:rsid w:val="00B0322D"/>
    <w:rsid w:val="00B0329A"/>
    <w:rsid w:val="00B03934"/>
    <w:rsid w:val="00B03D9C"/>
    <w:rsid w:val="00B0439C"/>
    <w:rsid w:val="00B043DF"/>
    <w:rsid w:val="00B04755"/>
    <w:rsid w:val="00B0492E"/>
    <w:rsid w:val="00B04A9F"/>
    <w:rsid w:val="00B050F0"/>
    <w:rsid w:val="00B058FE"/>
    <w:rsid w:val="00B05DF3"/>
    <w:rsid w:val="00B06353"/>
    <w:rsid w:val="00B067DE"/>
    <w:rsid w:val="00B0741B"/>
    <w:rsid w:val="00B07EB9"/>
    <w:rsid w:val="00B10783"/>
    <w:rsid w:val="00B10F13"/>
    <w:rsid w:val="00B115EC"/>
    <w:rsid w:val="00B12514"/>
    <w:rsid w:val="00B127B6"/>
    <w:rsid w:val="00B12863"/>
    <w:rsid w:val="00B133C6"/>
    <w:rsid w:val="00B14DD4"/>
    <w:rsid w:val="00B153E7"/>
    <w:rsid w:val="00B15A5E"/>
    <w:rsid w:val="00B1675A"/>
    <w:rsid w:val="00B171F8"/>
    <w:rsid w:val="00B17A8A"/>
    <w:rsid w:val="00B17C79"/>
    <w:rsid w:val="00B200E6"/>
    <w:rsid w:val="00B203E5"/>
    <w:rsid w:val="00B21914"/>
    <w:rsid w:val="00B226BD"/>
    <w:rsid w:val="00B22D58"/>
    <w:rsid w:val="00B231A8"/>
    <w:rsid w:val="00B235B9"/>
    <w:rsid w:val="00B243BD"/>
    <w:rsid w:val="00B24EE8"/>
    <w:rsid w:val="00B24F39"/>
    <w:rsid w:val="00B2548E"/>
    <w:rsid w:val="00B25A5A"/>
    <w:rsid w:val="00B25AA3"/>
    <w:rsid w:val="00B274D6"/>
    <w:rsid w:val="00B27917"/>
    <w:rsid w:val="00B27A9C"/>
    <w:rsid w:val="00B30662"/>
    <w:rsid w:val="00B30FDE"/>
    <w:rsid w:val="00B31072"/>
    <w:rsid w:val="00B3121B"/>
    <w:rsid w:val="00B314F2"/>
    <w:rsid w:val="00B3192E"/>
    <w:rsid w:val="00B3197B"/>
    <w:rsid w:val="00B327FB"/>
    <w:rsid w:val="00B32948"/>
    <w:rsid w:val="00B32AB7"/>
    <w:rsid w:val="00B33D63"/>
    <w:rsid w:val="00B33D68"/>
    <w:rsid w:val="00B34989"/>
    <w:rsid w:val="00B34B0E"/>
    <w:rsid w:val="00B352CE"/>
    <w:rsid w:val="00B35F38"/>
    <w:rsid w:val="00B376DA"/>
    <w:rsid w:val="00B407C4"/>
    <w:rsid w:val="00B40EF5"/>
    <w:rsid w:val="00B41012"/>
    <w:rsid w:val="00B42369"/>
    <w:rsid w:val="00B42BD2"/>
    <w:rsid w:val="00B440B9"/>
    <w:rsid w:val="00B44201"/>
    <w:rsid w:val="00B44A1E"/>
    <w:rsid w:val="00B44BCE"/>
    <w:rsid w:val="00B453D4"/>
    <w:rsid w:val="00B467CE"/>
    <w:rsid w:val="00B47D91"/>
    <w:rsid w:val="00B47E8F"/>
    <w:rsid w:val="00B50096"/>
    <w:rsid w:val="00B50346"/>
    <w:rsid w:val="00B50936"/>
    <w:rsid w:val="00B51E5F"/>
    <w:rsid w:val="00B52129"/>
    <w:rsid w:val="00B5232C"/>
    <w:rsid w:val="00B5233F"/>
    <w:rsid w:val="00B525AE"/>
    <w:rsid w:val="00B54314"/>
    <w:rsid w:val="00B543A5"/>
    <w:rsid w:val="00B54B73"/>
    <w:rsid w:val="00B552F0"/>
    <w:rsid w:val="00B55AB4"/>
    <w:rsid w:val="00B56F2A"/>
    <w:rsid w:val="00B57109"/>
    <w:rsid w:val="00B57486"/>
    <w:rsid w:val="00B57D29"/>
    <w:rsid w:val="00B57D41"/>
    <w:rsid w:val="00B57F48"/>
    <w:rsid w:val="00B602FD"/>
    <w:rsid w:val="00B603E9"/>
    <w:rsid w:val="00B609FD"/>
    <w:rsid w:val="00B60B64"/>
    <w:rsid w:val="00B60B6D"/>
    <w:rsid w:val="00B611D2"/>
    <w:rsid w:val="00B61C86"/>
    <w:rsid w:val="00B62494"/>
    <w:rsid w:val="00B62CB2"/>
    <w:rsid w:val="00B6342D"/>
    <w:rsid w:val="00B63F42"/>
    <w:rsid w:val="00B644B6"/>
    <w:rsid w:val="00B65800"/>
    <w:rsid w:val="00B662B8"/>
    <w:rsid w:val="00B70949"/>
    <w:rsid w:val="00B72EAD"/>
    <w:rsid w:val="00B740DB"/>
    <w:rsid w:val="00B74E5A"/>
    <w:rsid w:val="00B7524A"/>
    <w:rsid w:val="00B75860"/>
    <w:rsid w:val="00B761C4"/>
    <w:rsid w:val="00B77709"/>
    <w:rsid w:val="00B77719"/>
    <w:rsid w:val="00B77ABF"/>
    <w:rsid w:val="00B77E77"/>
    <w:rsid w:val="00B809CC"/>
    <w:rsid w:val="00B815E3"/>
    <w:rsid w:val="00B82207"/>
    <w:rsid w:val="00B82B74"/>
    <w:rsid w:val="00B82C05"/>
    <w:rsid w:val="00B831F3"/>
    <w:rsid w:val="00B8333B"/>
    <w:rsid w:val="00B83922"/>
    <w:rsid w:val="00B84A01"/>
    <w:rsid w:val="00B85FF4"/>
    <w:rsid w:val="00B86418"/>
    <w:rsid w:val="00B865B6"/>
    <w:rsid w:val="00B875DA"/>
    <w:rsid w:val="00B87F6B"/>
    <w:rsid w:val="00B905F8"/>
    <w:rsid w:val="00B90802"/>
    <w:rsid w:val="00B909A2"/>
    <w:rsid w:val="00B90C5E"/>
    <w:rsid w:val="00B91160"/>
    <w:rsid w:val="00B91551"/>
    <w:rsid w:val="00B93355"/>
    <w:rsid w:val="00B933DB"/>
    <w:rsid w:val="00B94B60"/>
    <w:rsid w:val="00BA0AC6"/>
    <w:rsid w:val="00BA158C"/>
    <w:rsid w:val="00BA1A31"/>
    <w:rsid w:val="00BA2EE0"/>
    <w:rsid w:val="00BA49B8"/>
    <w:rsid w:val="00BA4A86"/>
    <w:rsid w:val="00BA5DFA"/>
    <w:rsid w:val="00BA6094"/>
    <w:rsid w:val="00BA6460"/>
    <w:rsid w:val="00BB00E2"/>
    <w:rsid w:val="00BB0250"/>
    <w:rsid w:val="00BB0A1A"/>
    <w:rsid w:val="00BB0A38"/>
    <w:rsid w:val="00BB0BC0"/>
    <w:rsid w:val="00BB1677"/>
    <w:rsid w:val="00BB1B30"/>
    <w:rsid w:val="00BB2415"/>
    <w:rsid w:val="00BB2F64"/>
    <w:rsid w:val="00BB3123"/>
    <w:rsid w:val="00BB42BC"/>
    <w:rsid w:val="00BB4595"/>
    <w:rsid w:val="00BB57BF"/>
    <w:rsid w:val="00BB6111"/>
    <w:rsid w:val="00BB66D6"/>
    <w:rsid w:val="00BB7F3B"/>
    <w:rsid w:val="00BC3107"/>
    <w:rsid w:val="00BC327B"/>
    <w:rsid w:val="00BC3F64"/>
    <w:rsid w:val="00BC5D61"/>
    <w:rsid w:val="00BC5F06"/>
    <w:rsid w:val="00BC6AA5"/>
    <w:rsid w:val="00BC7414"/>
    <w:rsid w:val="00BC7A77"/>
    <w:rsid w:val="00BD1B06"/>
    <w:rsid w:val="00BD1B35"/>
    <w:rsid w:val="00BD2364"/>
    <w:rsid w:val="00BD25AA"/>
    <w:rsid w:val="00BD2604"/>
    <w:rsid w:val="00BD4361"/>
    <w:rsid w:val="00BD4E4D"/>
    <w:rsid w:val="00BD5A52"/>
    <w:rsid w:val="00BD633A"/>
    <w:rsid w:val="00BD63D0"/>
    <w:rsid w:val="00BD76B4"/>
    <w:rsid w:val="00BD7CF7"/>
    <w:rsid w:val="00BE01E8"/>
    <w:rsid w:val="00BE143B"/>
    <w:rsid w:val="00BE2553"/>
    <w:rsid w:val="00BE2575"/>
    <w:rsid w:val="00BE3508"/>
    <w:rsid w:val="00BE3D26"/>
    <w:rsid w:val="00BE3E5D"/>
    <w:rsid w:val="00BE59A8"/>
    <w:rsid w:val="00BE59F0"/>
    <w:rsid w:val="00BE5BD6"/>
    <w:rsid w:val="00BE6030"/>
    <w:rsid w:val="00BE6429"/>
    <w:rsid w:val="00BE6718"/>
    <w:rsid w:val="00BE681F"/>
    <w:rsid w:val="00BE7BFB"/>
    <w:rsid w:val="00BF15EE"/>
    <w:rsid w:val="00BF2A8F"/>
    <w:rsid w:val="00BF2DA0"/>
    <w:rsid w:val="00BF2E8F"/>
    <w:rsid w:val="00BF37B3"/>
    <w:rsid w:val="00BF49FE"/>
    <w:rsid w:val="00BF500F"/>
    <w:rsid w:val="00BF50CF"/>
    <w:rsid w:val="00BF5A0B"/>
    <w:rsid w:val="00BF5BC1"/>
    <w:rsid w:val="00BF5DB5"/>
    <w:rsid w:val="00BF6325"/>
    <w:rsid w:val="00BF654F"/>
    <w:rsid w:val="00BF6C4A"/>
    <w:rsid w:val="00BF79E3"/>
    <w:rsid w:val="00BF7D0D"/>
    <w:rsid w:val="00C00E91"/>
    <w:rsid w:val="00C0260B"/>
    <w:rsid w:val="00C02698"/>
    <w:rsid w:val="00C02F0B"/>
    <w:rsid w:val="00C02F2C"/>
    <w:rsid w:val="00C03AF3"/>
    <w:rsid w:val="00C04339"/>
    <w:rsid w:val="00C068A8"/>
    <w:rsid w:val="00C07433"/>
    <w:rsid w:val="00C07663"/>
    <w:rsid w:val="00C10C01"/>
    <w:rsid w:val="00C10DB7"/>
    <w:rsid w:val="00C11C45"/>
    <w:rsid w:val="00C11C50"/>
    <w:rsid w:val="00C124BD"/>
    <w:rsid w:val="00C1296F"/>
    <w:rsid w:val="00C131FD"/>
    <w:rsid w:val="00C13922"/>
    <w:rsid w:val="00C14BBC"/>
    <w:rsid w:val="00C1528D"/>
    <w:rsid w:val="00C152F4"/>
    <w:rsid w:val="00C158E3"/>
    <w:rsid w:val="00C165D4"/>
    <w:rsid w:val="00C1780C"/>
    <w:rsid w:val="00C17A3C"/>
    <w:rsid w:val="00C17A91"/>
    <w:rsid w:val="00C200FF"/>
    <w:rsid w:val="00C21E24"/>
    <w:rsid w:val="00C22E45"/>
    <w:rsid w:val="00C2309B"/>
    <w:rsid w:val="00C234FE"/>
    <w:rsid w:val="00C23571"/>
    <w:rsid w:val="00C2361E"/>
    <w:rsid w:val="00C2398E"/>
    <w:rsid w:val="00C23BFF"/>
    <w:rsid w:val="00C23C57"/>
    <w:rsid w:val="00C24053"/>
    <w:rsid w:val="00C246D8"/>
    <w:rsid w:val="00C24CA7"/>
    <w:rsid w:val="00C24F8E"/>
    <w:rsid w:val="00C253D5"/>
    <w:rsid w:val="00C25452"/>
    <w:rsid w:val="00C2563E"/>
    <w:rsid w:val="00C265B4"/>
    <w:rsid w:val="00C26C46"/>
    <w:rsid w:val="00C27F3E"/>
    <w:rsid w:val="00C31204"/>
    <w:rsid w:val="00C31553"/>
    <w:rsid w:val="00C3159C"/>
    <w:rsid w:val="00C31D9A"/>
    <w:rsid w:val="00C320C4"/>
    <w:rsid w:val="00C32503"/>
    <w:rsid w:val="00C326BF"/>
    <w:rsid w:val="00C3381E"/>
    <w:rsid w:val="00C33EFC"/>
    <w:rsid w:val="00C343BB"/>
    <w:rsid w:val="00C34707"/>
    <w:rsid w:val="00C34B15"/>
    <w:rsid w:val="00C34E78"/>
    <w:rsid w:val="00C3524B"/>
    <w:rsid w:val="00C3547A"/>
    <w:rsid w:val="00C35C27"/>
    <w:rsid w:val="00C364F1"/>
    <w:rsid w:val="00C3708C"/>
    <w:rsid w:val="00C37195"/>
    <w:rsid w:val="00C37357"/>
    <w:rsid w:val="00C378FD"/>
    <w:rsid w:val="00C4005D"/>
    <w:rsid w:val="00C40687"/>
    <w:rsid w:val="00C40A65"/>
    <w:rsid w:val="00C40A83"/>
    <w:rsid w:val="00C4104C"/>
    <w:rsid w:val="00C41D40"/>
    <w:rsid w:val="00C42194"/>
    <w:rsid w:val="00C42246"/>
    <w:rsid w:val="00C42381"/>
    <w:rsid w:val="00C4334E"/>
    <w:rsid w:val="00C44535"/>
    <w:rsid w:val="00C44A09"/>
    <w:rsid w:val="00C44C87"/>
    <w:rsid w:val="00C45BF9"/>
    <w:rsid w:val="00C4730A"/>
    <w:rsid w:val="00C47652"/>
    <w:rsid w:val="00C4796E"/>
    <w:rsid w:val="00C47CD0"/>
    <w:rsid w:val="00C5007A"/>
    <w:rsid w:val="00C5240E"/>
    <w:rsid w:val="00C52BEC"/>
    <w:rsid w:val="00C52EF4"/>
    <w:rsid w:val="00C52F8F"/>
    <w:rsid w:val="00C53461"/>
    <w:rsid w:val="00C535EF"/>
    <w:rsid w:val="00C53B0F"/>
    <w:rsid w:val="00C53DDE"/>
    <w:rsid w:val="00C53FFA"/>
    <w:rsid w:val="00C54465"/>
    <w:rsid w:val="00C548FF"/>
    <w:rsid w:val="00C54AE7"/>
    <w:rsid w:val="00C55189"/>
    <w:rsid w:val="00C56578"/>
    <w:rsid w:val="00C57E75"/>
    <w:rsid w:val="00C60C6E"/>
    <w:rsid w:val="00C6111E"/>
    <w:rsid w:val="00C620E6"/>
    <w:rsid w:val="00C62A4B"/>
    <w:rsid w:val="00C64C33"/>
    <w:rsid w:val="00C650C0"/>
    <w:rsid w:val="00C660D6"/>
    <w:rsid w:val="00C66861"/>
    <w:rsid w:val="00C67065"/>
    <w:rsid w:val="00C67645"/>
    <w:rsid w:val="00C70DCE"/>
    <w:rsid w:val="00C713F6"/>
    <w:rsid w:val="00C720F2"/>
    <w:rsid w:val="00C723E9"/>
    <w:rsid w:val="00C734CB"/>
    <w:rsid w:val="00C73A7D"/>
    <w:rsid w:val="00C768E5"/>
    <w:rsid w:val="00C76B31"/>
    <w:rsid w:val="00C76B52"/>
    <w:rsid w:val="00C773FD"/>
    <w:rsid w:val="00C801ED"/>
    <w:rsid w:val="00C803A5"/>
    <w:rsid w:val="00C80B2A"/>
    <w:rsid w:val="00C80FE5"/>
    <w:rsid w:val="00C82C0D"/>
    <w:rsid w:val="00C847AA"/>
    <w:rsid w:val="00C84B57"/>
    <w:rsid w:val="00C84BD2"/>
    <w:rsid w:val="00C86F9A"/>
    <w:rsid w:val="00C87F57"/>
    <w:rsid w:val="00C91B4F"/>
    <w:rsid w:val="00C92D06"/>
    <w:rsid w:val="00C94C18"/>
    <w:rsid w:val="00C950D0"/>
    <w:rsid w:val="00C95303"/>
    <w:rsid w:val="00C95C82"/>
    <w:rsid w:val="00C95E8C"/>
    <w:rsid w:val="00C96FF9"/>
    <w:rsid w:val="00C97568"/>
    <w:rsid w:val="00C975EA"/>
    <w:rsid w:val="00C97AFD"/>
    <w:rsid w:val="00CA0418"/>
    <w:rsid w:val="00CA0ED9"/>
    <w:rsid w:val="00CA145A"/>
    <w:rsid w:val="00CA26FE"/>
    <w:rsid w:val="00CA270D"/>
    <w:rsid w:val="00CA2A00"/>
    <w:rsid w:val="00CA3878"/>
    <w:rsid w:val="00CA48B7"/>
    <w:rsid w:val="00CA4BB2"/>
    <w:rsid w:val="00CA4E53"/>
    <w:rsid w:val="00CA6C02"/>
    <w:rsid w:val="00CA6CEC"/>
    <w:rsid w:val="00CA7559"/>
    <w:rsid w:val="00CA75BF"/>
    <w:rsid w:val="00CA7DEA"/>
    <w:rsid w:val="00CB01ED"/>
    <w:rsid w:val="00CB05A3"/>
    <w:rsid w:val="00CB0FE4"/>
    <w:rsid w:val="00CB14C8"/>
    <w:rsid w:val="00CB19E8"/>
    <w:rsid w:val="00CB21CA"/>
    <w:rsid w:val="00CB2316"/>
    <w:rsid w:val="00CB29FB"/>
    <w:rsid w:val="00CB3182"/>
    <w:rsid w:val="00CB3708"/>
    <w:rsid w:val="00CB38A2"/>
    <w:rsid w:val="00CB4894"/>
    <w:rsid w:val="00CB4FE2"/>
    <w:rsid w:val="00CB5AB5"/>
    <w:rsid w:val="00CB5CBB"/>
    <w:rsid w:val="00CB6580"/>
    <w:rsid w:val="00CB662E"/>
    <w:rsid w:val="00CB68E1"/>
    <w:rsid w:val="00CB7682"/>
    <w:rsid w:val="00CB78EE"/>
    <w:rsid w:val="00CC01C5"/>
    <w:rsid w:val="00CC047B"/>
    <w:rsid w:val="00CC0814"/>
    <w:rsid w:val="00CC1F25"/>
    <w:rsid w:val="00CC2806"/>
    <w:rsid w:val="00CC2977"/>
    <w:rsid w:val="00CC2F39"/>
    <w:rsid w:val="00CC4802"/>
    <w:rsid w:val="00CC5CC9"/>
    <w:rsid w:val="00CC67A7"/>
    <w:rsid w:val="00CC6A7B"/>
    <w:rsid w:val="00CC70FD"/>
    <w:rsid w:val="00CC7874"/>
    <w:rsid w:val="00CC7F3C"/>
    <w:rsid w:val="00CD0366"/>
    <w:rsid w:val="00CD056D"/>
    <w:rsid w:val="00CD0868"/>
    <w:rsid w:val="00CD0CED"/>
    <w:rsid w:val="00CD1DF7"/>
    <w:rsid w:val="00CD2FC5"/>
    <w:rsid w:val="00CD3B26"/>
    <w:rsid w:val="00CD4051"/>
    <w:rsid w:val="00CD40F8"/>
    <w:rsid w:val="00CD41D3"/>
    <w:rsid w:val="00CD479F"/>
    <w:rsid w:val="00CD514E"/>
    <w:rsid w:val="00CD5E33"/>
    <w:rsid w:val="00CD6E64"/>
    <w:rsid w:val="00CE0F0F"/>
    <w:rsid w:val="00CE17D9"/>
    <w:rsid w:val="00CE1D12"/>
    <w:rsid w:val="00CE2F95"/>
    <w:rsid w:val="00CE355F"/>
    <w:rsid w:val="00CE50E6"/>
    <w:rsid w:val="00CE60B3"/>
    <w:rsid w:val="00CE6130"/>
    <w:rsid w:val="00CE630D"/>
    <w:rsid w:val="00CE7200"/>
    <w:rsid w:val="00CE7535"/>
    <w:rsid w:val="00CF238B"/>
    <w:rsid w:val="00CF3C45"/>
    <w:rsid w:val="00CF413B"/>
    <w:rsid w:val="00CF4D84"/>
    <w:rsid w:val="00CF6045"/>
    <w:rsid w:val="00CF647A"/>
    <w:rsid w:val="00CF6A21"/>
    <w:rsid w:val="00CF6C0D"/>
    <w:rsid w:val="00CF6FE5"/>
    <w:rsid w:val="00CF70F4"/>
    <w:rsid w:val="00CF71C1"/>
    <w:rsid w:val="00CF7424"/>
    <w:rsid w:val="00CF7559"/>
    <w:rsid w:val="00CF7F2A"/>
    <w:rsid w:val="00D0147A"/>
    <w:rsid w:val="00D02784"/>
    <w:rsid w:val="00D02AE0"/>
    <w:rsid w:val="00D03676"/>
    <w:rsid w:val="00D03AC6"/>
    <w:rsid w:val="00D03F05"/>
    <w:rsid w:val="00D043C7"/>
    <w:rsid w:val="00D0463A"/>
    <w:rsid w:val="00D048F7"/>
    <w:rsid w:val="00D057B2"/>
    <w:rsid w:val="00D05820"/>
    <w:rsid w:val="00D05ADC"/>
    <w:rsid w:val="00D05F85"/>
    <w:rsid w:val="00D069F2"/>
    <w:rsid w:val="00D07311"/>
    <w:rsid w:val="00D07994"/>
    <w:rsid w:val="00D10119"/>
    <w:rsid w:val="00D11292"/>
    <w:rsid w:val="00D128AE"/>
    <w:rsid w:val="00D12A88"/>
    <w:rsid w:val="00D138C8"/>
    <w:rsid w:val="00D140C4"/>
    <w:rsid w:val="00D14550"/>
    <w:rsid w:val="00D15E21"/>
    <w:rsid w:val="00D1623E"/>
    <w:rsid w:val="00D16BE9"/>
    <w:rsid w:val="00D16C5B"/>
    <w:rsid w:val="00D20B10"/>
    <w:rsid w:val="00D20D70"/>
    <w:rsid w:val="00D21235"/>
    <w:rsid w:val="00D21D80"/>
    <w:rsid w:val="00D23191"/>
    <w:rsid w:val="00D2320F"/>
    <w:rsid w:val="00D2326D"/>
    <w:rsid w:val="00D235F2"/>
    <w:rsid w:val="00D23CA2"/>
    <w:rsid w:val="00D23FF8"/>
    <w:rsid w:val="00D251D5"/>
    <w:rsid w:val="00D26CAA"/>
    <w:rsid w:val="00D3063B"/>
    <w:rsid w:val="00D3172F"/>
    <w:rsid w:val="00D31B68"/>
    <w:rsid w:val="00D320B8"/>
    <w:rsid w:val="00D3326C"/>
    <w:rsid w:val="00D33B9A"/>
    <w:rsid w:val="00D33CBD"/>
    <w:rsid w:val="00D34092"/>
    <w:rsid w:val="00D376A0"/>
    <w:rsid w:val="00D37B0A"/>
    <w:rsid w:val="00D401CE"/>
    <w:rsid w:val="00D40203"/>
    <w:rsid w:val="00D40D28"/>
    <w:rsid w:val="00D411D6"/>
    <w:rsid w:val="00D4135E"/>
    <w:rsid w:val="00D413A6"/>
    <w:rsid w:val="00D420D4"/>
    <w:rsid w:val="00D423B5"/>
    <w:rsid w:val="00D42787"/>
    <w:rsid w:val="00D442AF"/>
    <w:rsid w:val="00D4467C"/>
    <w:rsid w:val="00D44B00"/>
    <w:rsid w:val="00D455EB"/>
    <w:rsid w:val="00D46B82"/>
    <w:rsid w:val="00D47AF3"/>
    <w:rsid w:val="00D50241"/>
    <w:rsid w:val="00D502BA"/>
    <w:rsid w:val="00D51571"/>
    <w:rsid w:val="00D51587"/>
    <w:rsid w:val="00D53B67"/>
    <w:rsid w:val="00D53C30"/>
    <w:rsid w:val="00D541D4"/>
    <w:rsid w:val="00D54CDB"/>
    <w:rsid w:val="00D55142"/>
    <w:rsid w:val="00D5529B"/>
    <w:rsid w:val="00D552D6"/>
    <w:rsid w:val="00D55B1C"/>
    <w:rsid w:val="00D55DAD"/>
    <w:rsid w:val="00D5605F"/>
    <w:rsid w:val="00D56ADF"/>
    <w:rsid w:val="00D5703C"/>
    <w:rsid w:val="00D5728F"/>
    <w:rsid w:val="00D57321"/>
    <w:rsid w:val="00D5779D"/>
    <w:rsid w:val="00D57BB1"/>
    <w:rsid w:val="00D6046E"/>
    <w:rsid w:val="00D60D01"/>
    <w:rsid w:val="00D60EB4"/>
    <w:rsid w:val="00D60F81"/>
    <w:rsid w:val="00D61E3D"/>
    <w:rsid w:val="00D62C2B"/>
    <w:rsid w:val="00D62D71"/>
    <w:rsid w:val="00D62DBE"/>
    <w:rsid w:val="00D62F72"/>
    <w:rsid w:val="00D63BB7"/>
    <w:rsid w:val="00D64599"/>
    <w:rsid w:val="00D64A02"/>
    <w:rsid w:val="00D64D95"/>
    <w:rsid w:val="00D65163"/>
    <w:rsid w:val="00D65796"/>
    <w:rsid w:val="00D66333"/>
    <w:rsid w:val="00D66594"/>
    <w:rsid w:val="00D67620"/>
    <w:rsid w:val="00D67AE3"/>
    <w:rsid w:val="00D70A43"/>
    <w:rsid w:val="00D70C7F"/>
    <w:rsid w:val="00D71C9D"/>
    <w:rsid w:val="00D71D29"/>
    <w:rsid w:val="00D720E2"/>
    <w:rsid w:val="00D722FA"/>
    <w:rsid w:val="00D724A9"/>
    <w:rsid w:val="00D72678"/>
    <w:rsid w:val="00D72A1A"/>
    <w:rsid w:val="00D72AA2"/>
    <w:rsid w:val="00D72D9D"/>
    <w:rsid w:val="00D72F00"/>
    <w:rsid w:val="00D73309"/>
    <w:rsid w:val="00D7362A"/>
    <w:rsid w:val="00D75C78"/>
    <w:rsid w:val="00D75E37"/>
    <w:rsid w:val="00D760BD"/>
    <w:rsid w:val="00D7627B"/>
    <w:rsid w:val="00D762FE"/>
    <w:rsid w:val="00D769B7"/>
    <w:rsid w:val="00D77FDC"/>
    <w:rsid w:val="00D81133"/>
    <w:rsid w:val="00D843B3"/>
    <w:rsid w:val="00D84D07"/>
    <w:rsid w:val="00D85829"/>
    <w:rsid w:val="00D85945"/>
    <w:rsid w:val="00D869A5"/>
    <w:rsid w:val="00D86EA9"/>
    <w:rsid w:val="00D87015"/>
    <w:rsid w:val="00D903EC"/>
    <w:rsid w:val="00D90BEA"/>
    <w:rsid w:val="00D9113E"/>
    <w:rsid w:val="00D923BB"/>
    <w:rsid w:val="00D9244B"/>
    <w:rsid w:val="00D92F08"/>
    <w:rsid w:val="00D92F60"/>
    <w:rsid w:val="00D936A6"/>
    <w:rsid w:val="00D93F28"/>
    <w:rsid w:val="00D941E6"/>
    <w:rsid w:val="00D96757"/>
    <w:rsid w:val="00D9681E"/>
    <w:rsid w:val="00D96AC2"/>
    <w:rsid w:val="00D96C6F"/>
    <w:rsid w:val="00D96DEE"/>
    <w:rsid w:val="00D97F3E"/>
    <w:rsid w:val="00D97F83"/>
    <w:rsid w:val="00DA04B5"/>
    <w:rsid w:val="00DA18B3"/>
    <w:rsid w:val="00DA1E17"/>
    <w:rsid w:val="00DA1E80"/>
    <w:rsid w:val="00DA1EAB"/>
    <w:rsid w:val="00DA20BB"/>
    <w:rsid w:val="00DA2C1A"/>
    <w:rsid w:val="00DA31C5"/>
    <w:rsid w:val="00DA3387"/>
    <w:rsid w:val="00DA34A7"/>
    <w:rsid w:val="00DA3B25"/>
    <w:rsid w:val="00DA4A1B"/>
    <w:rsid w:val="00DA4BC9"/>
    <w:rsid w:val="00DA5043"/>
    <w:rsid w:val="00DA5B4A"/>
    <w:rsid w:val="00DA6023"/>
    <w:rsid w:val="00DA6601"/>
    <w:rsid w:val="00DA71A8"/>
    <w:rsid w:val="00DA749D"/>
    <w:rsid w:val="00DA7671"/>
    <w:rsid w:val="00DA798C"/>
    <w:rsid w:val="00DA7B59"/>
    <w:rsid w:val="00DB022F"/>
    <w:rsid w:val="00DB09C8"/>
    <w:rsid w:val="00DB10F7"/>
    <w:rsid w:val="00DB1F59"/>
    <w:rsid w:val="00DB267E"/>
    <w:rsid w:val="00DB3372"/>
    <w:rsid w:val="00DB4073"/>
    <w:rsid w:val="00DB40B9"/>
    <w:rsid w:val="00DB4758"/>
    <w:rsid w:val="00DB4BF5"/>
    <w:rsid w:val="00DB583A"/>
    <w:rsid w:val="00DB58F6"/>
    <w:rsid w:val="00DB69D9"/>
    <w:rsid w:val="00DB72E7"/>
    <w:rsid w:val="00DB786C"/>
    <w:rsid w:val="00DC031B"/>
    <w:rsid w:val="00DC0901"/>
    <w:rsid w:val="00DC194C"/>
    <w:rsid w:val="00DC1EE3"/>
    <w:rsid w:val="00DC5358"/>
    <w:rsid w:val="00DC5CC8"/>
    <w:rsid w:val="00DC621B"/>
    <w:rsid w:val="00DC687D"/>
    <w:rsid w:val="00DC7591"/>
    <w:rsid w:val="00DC79EB"/>
    <w:rsid w:val="00DC7A39"/>
    <w:rsid w:val="00DD067C"/>
    <w:rsid w:val="00DD09A6"/>
    <w:rsid w:val="00DD09D6"/>
    <w:rsid w:val="00DD1CA6"/>
    <w:rsid w:val="00DD2109"/>
    <w:rsid w:val="00DD25E6"/>
    <w:rsid w:val="00DD3213"/>
    <w:rsid w:val="00DD3937"/>
    <w:rsid w:val="00DD4292"/>
    <w:rsid w:val="00DD4413"/>
    <w:rsid w:val="00DD59B3"/>
    <w:rsid w:val="00DD5B9F"/>
    <w:rsid w:val="00DD6782"/>
    <w:rsid w:val="00DD765D"/>
    <w:rsid w:val="00DE0DDB"/>
    <w:rsid w:val="00DE12E2"/>
    <w:rsid w:val="00DE14BE"/>
    <w:rsid w:val="00DE2BE1"/>
    <w:rsid w:val="00DE4D91"/>
    <w:rsid w:val="00DE4E61"/>
    <w:rsid w:val="00DE4FCD"/>
    <w:rsid w:val="00DE5B99"/>
    <w:rsid w:val="00DE6B74"/>
    <w:rsid w:val="00DE72B1"/>
    <w:rsid w:val="00DF03E4"/>
    <w:rsid w:val="00DF03FC"/>
    <w:rsid w:val="00DF238E"/>
    <w:rsid w:val="00DF275B"/>
    <w:rsid w:val="00DF31A1"/>
    <w:rsid w:val="00DF3ADC"/>
    <w:rsid w:val="00DF60C2"/>
    <w:rsid w:val="00DF66C1"/>
    <w:rsid w:val="00DF76C2"/>
    <w:rsid w:val="00E000EE"/>
    <w:rsid w:val="00E006AA"/>
    <w:rsid w:val="00E00EA7"/>
    <w:rsid w:val="00E01F4B"/>
    <w:rsid w:val="00E024EA"/>
    <w:rsid w:val="00E02535"/>
    <w:rsid w:val="00E031FF"/>
    <w:rsid w:val="00E03423"/>
    <w:rsid w:val="00E037B8"/>
    <w:rsid w:val="00E04358"/>
    <w:rsid w:val="00E0628B"/>
    <w:rsid w:val="00E076DC"/>
    <w:rsid w:val="00E1057F"/>
    <w:rsid w:val="00E1068C"/>
    <w:rsid w:val="00E10E8F"/>
    <w:rsid w:val="00E10F0A"/>
    <w:rsid w:val="00E11146"/>
    <w:rsid w:val="00E112A6"/>
    <w:rsid w:val="00E12434"/>
    <w:rsid w:val="00E12447"/>
    <w:rsid w:val="00E12DC0"/>
    <w:rsid w:val="00E13284"/>
    <w:rsid w:val="00E13537"/>
    <w:rsid w:val="00E13BC0"/>
    <w:rsid w:val="00E13E9F"/>
    <w:rsid w:val="00E13EA0"/>
    <w:rsid w:val="00E14801"/>
    <w:rsid w:val="00E149BC"/>
    <w:rsid w:val="00E14E88"/>
    <w:rsid w:val="00E16569"/>
    <w:rsid w:val="00E1792C"/>
    <w:rsid w:val="00E20B1D"/>
    <w:rsid w:val="00E21EBE"/>
    <w:rsid w:val="00E22479"/>
    <w:rsid w:val="00E22843"/>
    <w:rsid w:val="00E2291F"/>
    <w:rsid w:val="00E22FC1"/>
    <w:rsid w:val="00E2328E"/>
    <w:rsid w:val="00E23C89"/>
    <w:rsid w:val="00E242D7"/>
    <w:rsid w:val="00E24817"/>
    <w:rsid w:val="00E24FB7"/>
    <w:rsid w:val="00E25C06"/>
    <w:rsid w:val="00E26262"/>
    <w:rsid w:val="00E2643C"/>
    <w:rsid w:val="00E264E5"/>
    <w:rsid w:val="00E26619"/>
    <w:rsid w:val="00E26F75"/>
    <w:rsid w:val="00E27BA8"/>
    <w:rsid w:val="00E30733"/>
    <w:rsid w:val="00E30B5F"/>
    <w:rsid w:val="00E30B92"/>
    <w:rsid w:val="00E30FAF"/>
    <w:rsid w:val="00E31915"/>
    <w:rsid w:val="00E33A6B"/>
    <w:rsid w:val="00E35046"/>
    <w:rsid w:val="00E351AF"/>
    <w:rsid w:val="00E36043"/>
    <w:rsid w:val="00E36940"/>
    <w:rsid w:val="00E36972"/>
    <w:rsid w:val="00E36CB1"/>
    <w:rsid w:val="00E3796C"/>
    <w:rsid w:val="00E4057B"/>
    <w:rsid w:val="00E40C0D"/>
    <w:rsid w:val="00E413DE"/>
    <w:rsid w:val="00E41B40"/>
    <w:rsid w:val="00E42DAA"/>
    <w:rsid w:val="00E4313B"/>
    <w:rsid w:val="00E43330"/>
    <w:rsid w:val="00E436AA"/>
    <w:rsid w:val="00E43CEF"/>
    <w:rsid w:val="00E4436B"/>
    <w:rsid w:val="00E4481F"/>
    <w:rsid w:val="00E460C5"/>
    <w:rsid w:val="00E46AC2"/>
    <w:rsid w:val="00E47A82"/>
    <w:rsid w:val="00E47EB9"/>
    <w:rsid w:val="00E507A4"/>
    <w:rsid w:val="00E512ED"/>
    <w:rsid w:val="00E5188A"/>
    <w:rsid w:val="00E51B25"/>
    <w:rsid w:val="00E53632"/>
    <w:rsid w:val="00E545E0"/>
    <w:rsid w:val="00E55AEC"/>
    <w:rsid w:val="00E56180"/>
    <w:rsid w:val="00E56510"/>
    <w:rsid w:val="00E56951"/>
    <w:rsid w:val="00E570C1"/>
    <w:rsid w:val="00E601B2"/>
    <w:rsid w:val="00E60761"/>
    <w:rsid w:val="00E609E4"/>
    <w:rsid w:val="00E60DD1"/>
    <w:rsid w:val="00E60FF0"/>
    <w:rsid w:val="00E60FF3"/>
    <w:rsid w:val="00E62A7A"/>
    <w:rsid w:val="00E62DB7"/>
    <w:rsid w:val="00E643BE"/>
    <w:rsid w:val="00E656C5"/>
    <w:rsid w:val="00E66AEF"/>
    <w:rsid w:val="00E7050D"/>
    <w:rsid w:val="00E706D8"/>
    <w:rsid w:val="00E7190E"/>
    <w:rsid w:val="00E71F82"/>
    <w:rsid w:val="00E7247F"/>
    <w:rsid w:val="00E737D6"/>
    <w:rsid w:val="00E74B2E"/>
    <w:rsid w:val="00E754A4"/>
    <w:rsid w:val="00E7575D"/>
    <w:rsid w:val="00E75FC1"/>
    <w:rsid w:val="00E7666E"/>
    <w:rsid w:val="00E8095F"/>
    <w:rsid w:val="00E80B43"/>
    <w:rsid w:val="00E80EC7"/>
    <w:rsid w:val="00E83288"/>
    <w:rsid w:val="00E836BB"/>
    <w:rsid w:val="00E837CB"/>
    <w:rsid w:val="00E84170"/>
    <w:rsid w:val="00E84E73"/>
    <w:rsid w:val="00E856DE"/>
    <w:rsid w:val="00E86BC6"/>
    <w:rsid w:val="00E9149A"/>
    <w:rsid w:val="00E91AA4"/>
    <w:rsid w:val="00E92062"/>
    <w:rsid w:val="00E94BCD"/>
    <w:rsid w:val="00E94FC5"/>
    <w:rsid w:val="00E951D2"/>
    <w:rsid w:val="00E9592C"/>
    <w:rsid w:val="00E96158"/>
    <w:rsid w:val="00E96CE4"/>
    <w:rsid w:val="00E96EBC"/>
    <w:rsid w:val="00E97813"/>
    <w:rsid w:val="00E979DC"/>
    <w:rsid w:val="00EA168C"/>
    <w:rsid w:val="00EA1944"/>
    <w:rsid w:val="00EA19F2"/>
    <w:rsid w:val="00EA484B"/>
    <w:rsid w:val="00EA4B0F"/>
    <w:rsid w:val="00EA5225"/>
    <w:rsid w:val="00EA5611"/>
    <w:rsid w:val="00EA5891"/>
    <w:rsid w:val="00EA65FD"/>
    <w:rsid w:val="00EA6824"/>
    <w:rsid w:val="00EA6C63"/>
    <w:rsid w:val="00EA7251"/>
    <w:rsid w:val="00EB039B"/>
    <w:rsid w:val="00EB04EE"/>
    <w:rsid w:val="00EB0534"/>
    <w:rsid w:val="00EB0F7D"/>
    <w:rsid w:val="00EB1114"/>
    <w:rsid w:val="00EB149A"/>
    <w:rsid w:val="00EB349F"/>
    <w:rsid w:val="00EB3541"/>
    <w:rsid w:val="00EB37B6"/>
    <w:rsid w:val="00EB3BEA"/>
    <w:rsid w:val="00EB3E8B"/>
    <w:rsid w:val="00EB3FEE"/>
    <w:rsid w:val="00EB458D"/>
    <w:rsid w:val="00EB54F8"/>
    <w:rsid w:val="00EB5768"/>
    <w:rsid w:val="00EB6271"/>
    <w:rsid w:val="00EB6A15"/>
    <w:rsid w:val="00EB7081"/>
    <w:rsid w:val="00EB711B"/>
    <w:rsid w:val="00EB74B2"/>
    <w:rsid w:val="00EB78C8"/>
    <w:rsid w:val="00EC00A5"/>
    <w:rsid w:val="00EC040A"/>
    <w:rsid w:val="00EC1618"/>
    <w:rsid w:val="00EC1DEB"/>
    <w:rsid w:val="00EC25D3"/>
    <w:rsid w:val="00EC30F9"/>
    <w:rsid w:val="00EC3782"/>
    <w:rsid w:val="00EC52E1"/>
    <w:rsid w:val="00EC56A5"/>
    <w:rsid w:val="00EC64DE"/>
    <w:rsid w:val="00EC656D"/>
    <w:rsid w:val="00EC6FA0"/>
    <w:rsid w:val="00EC7989"/>
    <w:rsid w:val="00EC79D2"/>
    <w:rsid w:val="00EC7BD1"/>
    <w:rsid w:val="00ED03AE"/>
    <w:rsid w:val="00ED142F"/>
    <w:rsid w:val="00ED2091"/>
    <w:rsid w:val="00ED401D"/>
    <w:rsid w:val="00ED42B1"/>
    <w:rsid w:val="00ED4425"/>
    <w:rsid w:val="00EE1280"/>
    <w:rsid w:val="00EE15A0"/>
    <w:rsid w:val="00EE193E"/>
    <w:rsid w:val="00EE34E4"/>
    <w:rsid w:val="00EE3B9F"/>
    <w:rsid w:val="00EE4512"/>
    <w:rsid w:val="00EE46EB"/>
    <w:rsid w:val="00EE47E9"/>
    <w:rsid w:val="00EE4836"/>
    <w:rsid w:val="00EE48FC"/>
    <w:rsid w:val="00EE4E4E"/>
    <w:rsid w:val="00EE53DD"/>
    <w:rsid w:val="00EE6A13"/>
    <w:rsid w:val="00EE6FDA"/>
    <w:rsid w:val="00EE788D"/>
    <w:rsid w:val="00EE7A42"/>
    <w:rsid w:val="00EE7D18"/>
    <w:rsid w:val="00EF0956"/>
    <w:rsid w:val="00EF35E2"/>
    <w:rsid w:val="00EF493C"/>
    <w:rsid w:val="00EF51ED"/>
    <w:rsid w:val="00EF54B9"/>
    <w:rsid w:val="00EF5B9E"/>
    <w:rsid w:val="00EF5E4C"/>
    <w:rsid w:val="00EF5F41"/>
    <w:rsid w:val="00EF7E0E"/>
    <w:rsid w:val="00EF7E89"/>
    <w:rsid w:val="00F00215"/>
    <w:rsid w:val="00F003CA"/>
    <w:rsid w:val="00F0075A"/>
    <w:rsid w:val="00F01018"/>
    <w:rsid w:val="00F011D2"/>
    <w:rsid w:val="00F015B9"/>
    <w:rsid w:val="00F01CE4"/>
    <w:rsid w:val="00F026F4"/>
    <w:rsid w:val="00F02BF0"/>
    <w:rsid w:val="00F02E0A"/>
    <w:rsid w:val="00F04033"/>
    <w:rsid w:val="00F0409A"/>
    <w:rsid w:val="00F041E4"/>
    <w:rsid w:val="00F0439F"/>
    <w:rsid w:val="00F05069"/>
    <w:rsid w:val="00F05CE3"/>
    <w:rsid w:val="00F05EB7"/>
    <w:rsid w:val="00F063C0"/>
    <w:rsid w:val="00F067FC"/>
    <w:rsid w:val="00F06B73"/>
    <w:rsid w:val="00F071EC"/>
    <w:rsid w:val="00F07499"/>
    <w:rsid w:val="00F07890"/>
    <w:rsid w:val="00F10099"/>
    <w:rsid w:val="00F10AC5"/>
    <w:rsid w:val="00F10CE4"/>
    <w:rsid w:val="00F10E47"/>
    <w:rsid w:val="00F1116D"/>
    <w:rsid w:val="00F11283"/>
    <w:rsid w:val="00F1218A"/>
    <w:rsid w:val="00F12230"/>
    <w:rsid w:val="00F1354A"/>
    <w:rsid w:val="00F1356B"/>
    <w:rsid w:val="00F143C4"/>
    <w:rsid w:val="00F14504"/>
    <w:rsid w:val="00F14876"/>
    <w:rsid w:val="00F148A7"/>
    <w:rsid w:val="00F166DC"/>
    <w:rsid w:val="00F16EE2"/>
    <w:rsid w:val="00F173C9"/>
    <w:rsid w:val="00F20ACC"/>
    <w:rsid w:val="00F210D6"/>
    <w:rsid w:val="00F22618"/>
    <w:rsid w:val="00F22C7A"/>
    <w:rsid w:val="00F23005"/>
    <w:rsid w:val="00F249C1"/>
    <w:rsid w:val="00F24EE3"/>
    <w:rsid w:val="00F25358"/>
    <w:rsid w:val="00F25DFF"/>
    <w:rsid w:val="00F26420"/>
    <w:rsid w:val="00F2658B"/>
    <w:rsid w:val="00F2664D"/>
    <w:rsid w:val="00F26704"/>
    <w:rsid w:val="00F26C50"/>
    <w:rsid w:val="00F30102"/>
    <w:rsid w:val="00F3076A"/>
    <w:rsid w:val="00F30896"/>
    <w:rsid w:val="00F308A0"/>
    <w:rsid w:val="00F31465"/>
    <w:rsid w:val="00F31875"/>
    <w:rsid w:val="00F322E2"/>
    <w:rsid w:val="00F32770"/>
    <w:rsid w:val="00F32C93"/>
    <w:rsid w:val="00F33CB2"/>
    <w:rsid w:val="00F33CE1"/>
    <w:rsid w:val="00F33D7D"/>
    <w:rsid w:val="00F3446E"/>
    <w:rsid w:val="00F34AD7"/>
    <w:rsid w:val="00F35409"/>
    <w:rsid w:val="00F36B0E"/>
    <w:rsid w:val="00F36CCF"/>
    <w:rsid w:val="00F37786"/>
    <w:rsid w:val="00F37915"/>
    <w:rsid w:val="00F37A28"/>
    <w:rsid w:val="00F37C57"/>
    <w:rsid w:val="00F37D8D"/>
    <w:rsid w:val="00F40024"/>
    <w:rsid w:val="00F40537"/>
    <w:rsid w:val="00F40669"/>
    <w:rsid w:val="00F408BB"/>
    <w:rsid w:val="00F415EC"/>
    <w:rsid w:val="00F41A73"/>
    <w:rsid w:val="00F42D61"/>
    <w:rsid w:val="00F43EF6"/>
    <w:rsid w:val="00F441A5"/>
    <w:rsid w:val="00F44676"/>
    <w:rsid w:val="00F4491B"/>
    <w:rsid w:val="00F44E60"/>
    <w:rsid w:val="00F44EB3"/>
    <w:rsid w:val="00F4500E"/>
    <w:rsid w:val="00F45B2A"/>
    <w:rsid w:val="00F45BC1"/>
    <w:rsid w:val="00F45DF8"/>
    <w:rsid w:val="00F46590"/>
    <w:rsid w:val="00F470A5"/>
    <w:rsid w:val="00F47488"/>
    <w:rsid w:val="00F47634"/>
    <w:rsid w:val="00F4784E"/>
    <w:rsid w:val="00F479BF"/>
    <w:rsid w:val="00F5050F"/>
    <w:rsid w:val="00F50FBE"/>
    <w:rsid w:val="00F51AA3"/>
    <w:rsid w:val="00F51AAB"/>
    <w:rsid w:val="00F52799"/>
    <w:rsid w:val="00F52E6E"/>
    <w:rsid w:val="00F54019"/>
    <w:rsid w:val="00F54192"/>
    <w:rsid w:val="00F541F7"/>
    <w:rsid w:val="00F553CC"/>
    <w:rsid w:val="00F5571D"/>
    <w:rsid w:val="00F55E20"/>
    <w:rsid w:val="00F55F6D"/>
    <w:rsid w:val="00F573D5"/>
    <w:rsid w:val="00F60ADC"/>
    <w:rsid w:val="00F60B33"/>
    <w:rsid w:val="00F60DBD"/>
    <w:rsid w:val="00F60FAB"/>
    <w:rsid w:val="00F61151"/>
    <w:rsid w:val="00F612BE"/>
    <w:rsid w:val="00F6245A"/>
    <w:rsid w:val="00F62573"/>
    <w:rsid w:val="00F62C41"/>
    <w:rsid w:val="00F630BD"/>
    <w:rsid w:val="00F635FD"/>
    <w:rsid w:val="00F647FF"/>
    <w:rsid w:val="00F64B8E"/>
    <w:rsid w:val="00F64DE5"/>
    <w:rsid w:val="00F654C2"/>
    <w:rsid w:val="00F66A0B"/>
    <w:rsid w:val="00F67238"/>
    <w:rsid w:val="00F6775C"/>
    <w:rsid w:val="00F6785B"/>
    <w:rsid w:val="00F71511"/>
    <w:rsid w:val="00F726D9"/>
    <w:rsid w:val="00F7287A"/>
    <w:rsid w:val="00F733A4"/>
    <w:rsid w:val="00F74961"/>
    <w:rsid w:val="00F7731F"/>
    <w:rsid w:val="00F77CBD"/>
    <w:rsid w:val="00F8059F"/>
    <w:rsid w:val="00F80655"/>
    <w:rsid w:val="00F809D3"/>
    <w:rsid w:val="00F83124"/>
    <w:rsid w:val="00F83400"/>
    <w:rsid w:val="00F83CE5"/>
    <w:rsid w:val="00F841B4"/>
    <w:rsid w:val="00F8597E"/>
    <w:rsid w:val="00F86B84"/>
    <w:rsid w:val="00F909F4"/>
    <w:rsid w:val="00F91CFC"/>
    <w:rsid w:val="00F9222D"/>
    <w:rsid w:val="00F939E0"/>
    <w:rsid w:val="00F93C78"/>
    <w:rsid w:val="00F94DF1"/>
    <w:rsid w:val="00F96DE1"/>
    <w:rsid w:val="00F96FC4"/>
    <w:rsid w:val="00F972D0"/>
    <w:rsid w:val="00F9763D"/>
    <w:rsid w:val="00F97C4F"/>
    <w:rsid w:val="00FA0A54"/>
    <w:rsid w:val="00FA0B8A"/>
    <w:rsid w:val="00FA0EAA"/>
    <w:rsid w:val="00FA178A"/>
    <w:rsid w:val="00FA2181"/>
    <w:rsid w:val="00FA3665"/>
    <w:rsid w:val="00FA3898"/>
    <w:rsid w:val="00FA3A5F"/>
    <w:rsid w:val="00FA3EE4"/>
    <w:rsid w:val="00FA5848"/>
    <w:rsid w:val="00FA622A"/>
    <w:rsid w:val="00FA6332"/>
    <w:rsid w:val="00FA6920"/>
    <w:rsid w:val="00FB0423"/>
    <w:rsid w:val="00FB04D8"/>
    <w:rsid w:val="00FB19A5"/>
    <w:rsid w:val="00FB2BF2"/>
    <w:rsid w:val="00FB3040"/>
    <w:rsid w:val="00FB3127"/>
    <w:rsid w:val="00FB3157"/>
    <w:rsid w:val="00FB4471"/>
    <w:rsid w:val="00FB46F3"/>
    <w:rsid w:val="00FB4890"/>
    <w:rsid w:val="00FB5D50"/>
    <w:rsid w:val="00FB6174"/>
    <w:rsid w:val="00FB75FE"/>
    <w:rsid w:val="00FC2269"/>
    <w:rsid w:val="00FC2A54"/>
    <w:rsid w:val="00FC2C94"/>
    <w:rsid w:val="00FC2DF2"/>
    <w:rsid w:val="00FC36C1"/>
    <w:rsid w:val="00FC374D"/>
    <w:rsid w:val="00FC4518"/>
    <w:rsid w:val="00FC4C3C"/>
    <w:rsid w:val="00FC5EEE"/>
    <w:rsid w:val="00FC6654"/>
    <w:rsid w:val="00FC72C6"/>
    <w:rsid w:val="00FC7B26"/>
    <w:rsid w:val="00FD0561"/>
    <w:rsid w:val="00FD089A"/>
    <w:rsid w:val="00FD099B"/>
    <w:rsid w:val="00FD0D0F"/>
    <w:rsid w:val="00FD1ECE"/>
    <w:rsid w:val="00FD2221"/>
    <w:rsid w:val="00FD2BDB"/>
    <w:rsid w:val="00FD543B"/>
    <w:rsid w:val="00FD657C"/>
    <w:rsid w:val="00FD6C12"/>
    <w:rsid w:val="00FD6E29"/>
    <w:rsid w:val="00FD7135"/>
    <w:rsid w:val="00FD7AB7"/>
    <w:rsid w:val="00FE02B5"/>
    <w:rsid w:val="00FE2092"/>
    <w:rsid w:val="00FE2954"/>
    <w:rsid w:val="00FE3451"/>
    <w:rsid w:val="00FE4723"/>
    <w:rsid w:val="00FE4763"/>
    <w:rsid w:val="00FE492A"/>
    <w:rsid w:val="00FE4FDD"/>
    <w:rsid w:val="00FE53FA"/>
    <w:rsid w:val="00FE669D"/>
    <w:rsid w:val="00FE7676"/>
    <w:rsid w:val="00FE7CDC"/>
    <w:rsid w:val="00FE7EDD"/>
    <w:rsid w:val="00FE7F4C"/>
    <w:rsid w:val="00FF159E"/>
    <w:rsid w:val="00FF18B9"/>
    <w:rsid w:val="00FF1BC5"/>
    <w:rsid w:val="00FF1C6A"/>
    <w:rsid w:val="00FF1F33"/>
    <w:rsid w:val="00FF2303"/>
    <w:rsid w:val="00FF237B"/>
    <w:rsid w:val="00FF28AB"/>
    <w:rsid w:val="00FF365B"/>
    <w:rsid w:val="00FF39A4"/>
    <w:rsid w:val="00FF39BD"/>
    <w:rsid w:val="00FF3CDC"/>
    <w:rsid w:val="00FF485D"/>
    <w:rsid w:val="00FF4FF2"/>
    <w:rsid w:val="00FF511D"/>
    <w:rsid w:val="00FF526B"/>
    <w:rsid w:val="00FF584D"/>
    <w:rsid w:val="00FF5C72"/>
    <w:rsid w:val="00FF5E3C"/>
    <w:rsid w:val="00FF7A2C"/>
    <w:rsid w:val="41123750"/>
    <w:rsid w:val="5C3325E8"/>
    <w:rsid w:val="6598710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nhideWhenUsed="0" w:uiPriority="99" w:semiHidden="0" w:name="annotation reference"/>
    <w:lsdException w:unhideWhenUsed="0" w:uiPriority="99" w:semiHidden="0" w:name="line number"/>
    <w:lsdException w:qFormat="1" w:unhideWhenUsed="0" w:uiPriority="0" w:semiHidden="0" w:name="page number"/>
    <w:lsdException w:qFormat="1" w:unhideWhenUsed="0" w:uiPriority="99" w:semiHidden="0" w:name="endnote reference"/>
    <w:lsdException w:qFormat="1" w:unhideWhenUsed="0" w:uiPriority="0" w:name="endnote text"/>
    <w:lsdException w:uiPriority="99" w:name="table of authorities"/>
    <w:lsdException w:uiPriority="99" w:name="macro"/>
    <w:lsdException w:unhideWhenUsed="0" w:uiPriority="0" w:semiHidden="0" w:name="toa heading"/>
    <w:lsdException w:qFormat="1" w:unhideWhenUsed="0" w:uiPriority="0" w:semiHidden="0" w:name="List"/>
    <w:lsdException w:uiPriority="0" w:semiHidden="0" w:name="List Bullet"/>
    <w:lsdException w:qFormat="1" w:unhideWhenUsed="0" w:uiPriority="0" w:semiHidden="0" w:name="List Number"/>
    <w:lsdException w:uiPriority="0" w:semiHidden="0" w:name="List 2"/>
    <w:lsdException w:uiPriority="0" w:semiHidden="0" w:name="List 3"/>
    <w:lsdException w:uiPriority="99" w:name="List 4"/>
    <w:lsdException w:uiPriority="99" w:name="List 5"/>
    <w:lsdException w:uiPriority="0" w:semiHidden="0" w:name="List Bullet 2"/>
    <w:lsdException w:uiPriority="0" w:semiHidden="0" w:name="List Bullet 3"/>
    <w:lsdException w:uiPriority="0" w:semiHidden="0" w:name="List Bullet 4"/>
    <w:lsdException w:uiPriority="0" w:semiHidden="0" w:name="List Bullet 5"/>
    <w:lsdException w:uiPriority="0" w:semiHidden="0" w:name="List Number 2"/>
    <w:lsdException w:qFormat="1" w:uiPriority="0" w:semiHidden="0" w:name="List Number 3"/>
    <w:lsdException w:uiPriority="0" w:semiHidden="0" w:name="List Number 4"/>
    <w:lsdException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0" w:semiHidden="0" w:name="List Continue 2"/>
    <w:lsdException w:uiPriority="0" w:semiHidden="0" w:name="List Continue 3"/>
    <w:lsdException w:uiPriority="99" w:name="List Continue 4"/>
    <w:lsdException w:uiPriority="99" w:name="List Continue 5"/>
    <w:lsdException w:qFormat="1" w:uiPriority="0" w:semiHidden="0"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jc w:val="both"/>
    </w:pPr>
    <w:rPr>
      <w:rFonts w:ascii="Times New Roman" w:hAnsi="Times New Roman" w:eastAsia="Times New Roman" w:cs="Times New Roman"/>
      <w:sz w:val="24"/>
      <w:szCs w:val="20"/>
      <w:lang w:val="en-US" w:eastAsia="en-US" w:bidi="ar-SA"/>
    </w:rPr>
  </w:style>
  <w:style w:type="paragraph" w:styleId="2">
    <w:name w:val="heading 1"/>
    <w:basedOn w:val="1"/>
    <w:next w:val="1"/>
    <w:link w:val="73"/>
    <w:qFormat/>
    <w:uiPriority w:val="0"/>
    <w:pPr>
      <w:suppressAutoHyphens/>
      <w:spacing w:before="480" w:after="240"/>
      <w:jc w:val="center"/>
      <w:outlineLvl w:val="0"/>
    </w:pPr>
    <w:rPr>
      <w:rFonts w:ascii="Times New Roman Bold" w:hAnsi="Times New Roman Bold"/>
      <w:b/>
      <w:smallCaps/>
      <w:sz w:val="36"/>
    </w:rPr>
  </w:style>
  <w:style w:type="paragraph" w:styleId="3">
    <w:name w:val="heading 2"/>
    <w:basedOn w:val="1"/>
    <w:next w:val="1"/>
    <w:link w:val="74"/>
    <w:qFormat/>
    <w:uiPriority w:val="0"/>
    <w:pPr>
      <w:pBdr>
        <w:bottom w:val="single" w:color="C0C0C0" w:sz="24" w:space="3"/>
      </w:pBdr>
      <w:suppressAutoHyphens/>
      <w:spacing w:after="240"/>
      <w:jc w:val="center"/>
      <w:outlineLvl w:val="1"/>
    </w:pPr>
    <w:rPr>
      <w:rFonts w:ascii="Times New Roman Bold" w:hAnsi="Times New Roman Bold"/>
      <w:b/>
      <w:sz w:val="28"/>
    </w:rPr>
  </w:style>
  <w:style w:type="paragraph" w:styleId="4">
    <w:name w:val="heading 3"/>
    <w:basedOn w:val="1"/>
    <w:next w:val="1"/>
    <w:link w:val="75"/>
    <w:qFormat/>
    <w:uiPriority w:val="0"/>
    <w:pPr>
      <w:suppressAutoHyphens/>
      <w:jc w:val="center"/>
      <w:outlineLvl w:val="2"/>
    </w:pPr>
    <w:rPr>
      <w:b/>
      <w:sz w:val="28"/>
    </w:rPr>
  </w:style>
  <w:style w:type="paragraph" w:styleId="5">
    <w:name w:val="heading 4"/>
    <w:basedOn w:val="1"/>
    <w:next w:val="1"/>
    <w:link w:val="76"/>
    <w:qFormat/>
    <w:uiPriority w:val="9"/>
    <w:pPr>
      <w:keepNext/>
      <w:spacing w:after="200"/>
      <w:ind w:left="1422" w:right="18" w:hanging="457"/>
      <w:outlineLvl w:val="3"/>
    </w:pPr>
    <w:rPr>
      <w:b/>
      <w:bCs/>
    </w:rPr>
  </w:style>
  <w:style w:type="paragraph" w:styleId="6">
    <w:name w:val="heading 5"/>
    <w:basedOn w:val="1"/>
    <w:next w:val="1"/>
    <w:link w:val="77"/>
    <w:qFormat/>
    <w:uiPriority w:val="0"/>
    <w:pPr>
      <w:keepNext/>
      <w:jc w:val="center"/>
      <w:outlineLvl w:val="4"/>
    </w:pPr>
    <w:rPr>
      <w:rFonts w:ascii="Arial" w:hAnsi="Arial"/>
      <w:u w:val="single"/>
    </w:rPr>
  </w:style>
  <w:style w:type="paragraph" w:styleId="7">
    <w:name w:val="heading 6"/>
    <w:basedOn w:val="1"/>
    <w:next w:val="1"/>
    <w:link w:val="78"/>
    <w:qFormat/>
    <w:uiPriority w:val="0"/>
    <w:pPr>
      <w:keepNext/>
      <w:keepLines/>
      <w:suppressAutoHyphens/>
      <w:ind w:right="-72"/>
      <w:jc w:val="center"/>
      <w:outlineLvl w:val="5"/>
    </w:pPr>
    <w:rPr>
      <w:b/>
      <w:sz w:val="28"/>
    </w:rPr>
  </w:style>
  <w:style w:type="paragraph" w:styleId="8">
    <w:name w:val="heading 7"/>
    <w:basedOn w:val="1"/>
    <w:next w:val="1"/>
    <w:link w:val="79"/>
    <w:qFormat/>
    <w:uiPriority w:val="0"/>
    <w:pPr>
      <w:keepNext/>
      <w:jc w:val="center"/>
      <w:outlineLvl w:val="6"/>
    </w:pPr>
    <w:rPr>
      <w:b/>
      <w:sz w:val="72"/>
    </w:rPr>
  </w:style>
  <w:style w:type="paragraph" w:styleId="9">
    <w:name w:val="heading 8"/>
    <w:basedOn w:val="1"/>
    <w:next w:val="1"/>
    <w:link w:val="80"/>
    <w:qFormat/>
    <w:uiPriority w:val="0"/>
    <w:pPr>
      <w:keepNext/>
      <w:jc w:val="center"/>
      <w:outlineLvl w:val="7"/>
    </w:pPr>
    <w:rPr>
      <w:b/>
      <w:sz w:val="56"/>
    </w:rPr>
  </w:style>
  <w:style w:type="paragraph" w:styleId="10">
    <w:name w:val="heading 9"/>
    <w:basedOn w:val="1"/>
    <w:next w:val="1"/>
    <w:link w:val="81"/>
    <w:qFormat/>
    <w:uiPriority w:val="0"/>
    <w:pPr>
      <w:numPr>
        <w:ilvl w:val="8"/>
        <w:numId w:val="1"/>
      </w:numPr>
      <w:spacing w:before="240" w:after="60"/>
      <w:outlineLvl w:val="8"/>
    </w:pPr>
    <w:rPr>
      <w:rFonts w:ascii="Arial" w:hAnsi="Arial"/>
      <w:b/>
      <w:i/>
      <w:sz w:val="18"/>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167"/>
    <w:qFormat/>
    <w:uiPriority w:val="99"/>
    <w:rPr>
      <w:rFonts w:ascii="Tahoma" w:hAnsi="Tahoma"/>
      <w:sz w:val="16"/>
      <w:szCs w:val="16"/>
    </w:rPr>
  </w:style>
  <w:style w:type="paragraph" w:styleId="14">
    <w:name w:val="Block Text"/>
    <w:basedOn w:val="1"/>
    <w:qFormat/>
    <w:uiPriority w:val="0"/>
    <w:pPr>
      <w:tabs>
        <w:tab w:val="left" w:pos="1080"/>
      </w:tabs>
      <w:suppressAutoHyphens/>
      <w:spacing w:after="200"/>
      <w:ind w:left="547" w:right="-72" w:hanging="547"/>
    </w:pPr>
  </w:style>
  <w:style w:type="paragraph" w:styleId="15">
    <w:name w:val="Body Text"/>
    <w:basedOn w:val="1"/>
    <w:link w:val="138"/>
    <w:qFormat/>
    <w:uiPriority w:val="0"/>
    <w:pPr>
      <w:suppressAutoHyphens/>
      <w:ind w:right="-72"/>
    </w:pPr>
    <w:rPr>
      <w:spacing w:val="-4"/>
    </w:rPr>
  </w:style>
  <w:style w:type="paragraph" w:styleId="16">
    <w:name w:val="Body Text 2"/>
    <w:basedOn w:val="1"/>
    <w:link w:val="143"/>
    <w:qFormat/>
    <w:uiPriority w:val="0"/>
    <w:pPr>
      <w:suppressAutoHyphens/>
    </w:pPr>
    <w:rPr>
      <w:i/>
    </w:rPr>
  </w:style>
  <w:style w:type="paragraph" w:styleId="17">
    <w:name w:val="Body Text 3"/>
    <w:basedOn w:val="1"/>
    <w:link w:val="142"/>
    <w:qFormat/>
    <w:uiPriority w:val="0"/>
    <w:pPr>
      <w:suppressAutoHyphens/>
      <w:spacing w:after="140"/>
      <w:jc w:val="left"/>
    </w:pPr>
    <w:rPr>
      <w:i/>
      <w:iCs/>
      <w:color w:val="000000"/>
      <w:szCs w:val="24"/>
    </w:rPr>
  </w:style>
  <w:style w:type="paragraph" w:styleId="18">
    <w:name w:val="Body Text Indent"/>
    <w:basedOn w:val="1"/>
    <w:link w:val="139"/>
    <w:qFormat/>
    <w:uiPriority w:val="0"/>
    <w:pPr>
      <w:tabs>
        <w:tab w:val="left" w:pos="1080"/>
      </w:tabs>
      <w:ind w:left="1080" w:hanging="540"/>
    </w:pPr>
  </w:style>
  <w:style w:type="paragraph" w:styleId="19">
    <w:name w:val="Body Text Indent 2"/>
    <w:basedOn w:val="1"/>
    <w:link w:val="144"/>
    <w:qFormat/>
    <w:uiPriority w:val="0"/>
    <w:pPr>
      <w:tabs>
        <w:tab w:val="left" w:pos="720"/>
      </w:tabs>
      <w:ind w:left="720" w:hanging="720"/>
      <w:jc w:val="left"/>
    </w:pPr>
  </w:style>
  <w:style w:type="paragraph" w:styleId="20">
    <w:name w:val="Body Text Indent 3"/>
    <w:basedOn w:val="1"/>
    <w:link w:val="171"/>
    <w:qFormat/>
    <w:uiPriority w:val="0"/>
    <w:pPr>
      <w:spacing w:before="120"/>
      <w:ind w:left="1440" w:hanging="1440"/>
    </w:pPr>
    <w:rPr>
      <w:b/>
    </w:rPr>
  </w:style>
  <w:style w:type="paragraph" w:styleId="21">
    <w:name w:val="caption"/>
    <w:basedOn w:val="1"/>
    <w:next w:val="1"/>
    <w:qFormat/>
    <w:uiPriority w:val="0"/>
    <w:rPr>
      <w:rFonts w:ascii="Courier New" w:hAnsi="Courier New"/>
    </w:rPr>
  </w:style>
  <w:style w:type="character" w:styleId="22">
    <w:name w:val="annotation reference"/>
    <w:qFormat/>
    <w:uiPriority w:val="99"/>
    <w:rPr>
      <w:sz w:val="16"/>
    </w:rPr>
  </w:style>
  <w:style w:type="paragraph" w:styleId="23">
    <w:name w:val="annotation text"/>
    <w:basedOn w:val="1"/>
    <w:link w:val="170"/>
    <w:qFormat/>
    <w:uiPriority w:val="99"/>
    <w:pPr>
      <w:jc w:val="left"/>
    </w:pPr>
    <w:rPr>
      <w:sz w:val="20"/>
    </w:rPr>
  </w:style>
  <w:style w:type="paragraph" w:styleId="24">
    <w:name w:val="annotation subject"/>
    <w:basedOn w:val="23"/>
    <w:next w:val="23"/>
    <w:link w:val="206"/>
    <w:qFormat/>
    <w:uiPriority w:val="99"/>
    <w:pPr>
      <w:jc w:val="both"/>
    </w:pPr>
    <w:rPr>
      <w:b/>
      <w:bCs/>
    </w:rPr>
  </w:style>
  <w:style w:type="paragraph" w:styleId="25">
    <w:name w:val="Document Map"/>
    <w:basedOn w:val="1"/>
    <w:link w:val="242"/>
    <w:qFormat/>
    <w:uiPriority w:val="0"/>
    <w:pPr>
      <w:shd w:val="clear" w:color="auto" w:fill="000080"/>
      <w:jc w:val="left"/>
    </w:pPr>
    <w:rPr>
      <w:rFonts w:ascii="Tahoma" w:hAnsi="Tahoma"/>
    </w:rPr>
  </w:style>
  <w:style w:type="character" w:styleId="26">
    <w:name w:val="Emphasis"/>
    <w:qFormat/>
    <w:uiPriority w:val="20"/>
    <w:rPr>
      <w:i/>
      <w:iCs/>
    </w:rPr>
  </w:style>
  <w:style w:type="character" w:styleId="27">
    <w:name w:val="endnote reference"/>
    <w:qFormat/>
    <w:uiPriority w:val="99"/>
    <w:rPr>
      <w:rFonts w:ascii="CG Times" w:hAnsi="CG Times"/>
      <w:sz w:val="22"/>
      <w:vertAlign w:val="superscript"/>
      <w:lang w:val="en-US"/>
    </w:rPr>
  </w:style>
  <w:style w:type="paragraph" w:styleId="28">
    <w:name w:val="endnote text"/>
    <w:basedOn w:val="1"/>
    <w:link w:val="140"/>
    <w:semiHidden/>
    <w:qFormat/>
    <w:uiPriority w:val="0"/>
    <w:pPr>
      <w:tabs>
        <w:tab w:val="left" w:pos="-720"/>
      </w:tabs>
      <w:suppressAutoHyphens/>
      <w:jc w:val="left"/>
    </w:pPr>
    <w:rPr>
      <w:sz w:val="20"/>
      <w:lang w:val="vi-VN"/>
    </w:rPr>
  </w:style>
  <w:style w:type="character" w:styleId="29">
    <w:name w:val="FollowedHyperlink"/>
    <w:qFormat/>
    <w:uiPriority w:val="0"/>
    <w:rPr>
      <w:color w:val="606420"/>
      <w:u w:val="single"/>
    </w:rPr>
  </w:style>
  <w:style w:type="paragraph" w:styleId="30">
    <w:name w:val="footer"/>
    <w:basedOn w:val="1"/>
    <w:link w:val="116"/>
    <w:qFormat/>
    <w:uiPriority w:val="99"/>
    <w:rPr>
      <w:sz w:val="20"/>
    </w:rPr>
  </w:style>
  <w:style w:type="character" w:styleId="31">
    <w:name w:val="footnote reference"/>
    <w:qFormat/>
    <w:uiPriority w:val="99"/>
    <w:rPr>
      <w:vertAlign w:val="superscript"/>
    </w:rPr>
  </w:style>
  <w:style w:type="paragraph" w:styleId="32">
    <w:name w:val="footnote text"/>
    <w:basedOn w:val="1"/>
    <w:link w:val="117"/>
    <w:qFormat/>
    <w:uiPriority w:val="0"/>
    <w:pPr>
      <w:tabs>
        <w:tab w:val="left" w:pos="360"/>
      </w:tabs>
      <w:ind w:left="360" w:hanging="360"/>
    </w:pPr>
    <w:rPr>
      <w:sz w:val="20"/>
    </w:rPr>
  </w:style>
  <w:style w:type="paragraph" w:styleId="33">
    <w:name w:val="header"/>
    <w:basedOn w:val="1"/>
    <w:link w:val="115"/>
    <w:qFormat/>
    <w:uiPriority w:val="99"/>
    <w:rPr>
      <w:sz w:val="20"/>
    </w:rPr>
  </w:style>
  <w:style w:type="character" w:styleId="34">
    <w:name w:val="Hyperlink"/>
    <w:qFormat/>
    <w:uiPriority w:val="0"/>
    <w:rPr>
      <w:color w:val="0000FF"/>
      <w:u w:val="single"/>
    </w:rPr>
  </w:style>
  <w:style w:type="paragraph" w:styleId="35">
    <w:name w:val="index 1"/>
    <w:basedOn w:val="1"/>
    <w:next w:val="1"/>
    <w:autoRedefine/>
    <w:semiHidden/>
    <w:unhideWhenUsed/>
    <w:qFormat/>
    <w:uiPriority w:val="0"/>
    <w:pPr>
      <w:ind w:left="240" w:hanging="240"/>
    </w:pPr>
  </w:style>
  <w:style w:type="paragraph" w:styleId="36">
    <w:name w:val="index 3"/>
    <w:basedOn w:val="1"/>
    <w:next w:val="1"/>
    <w:autoRedefine/>
    <w:semiHidden/>
    <w:unhideWhenUsed/>
    <w:uiPriority w:val="99"/>
    <w:pPr>
      <w:ind w:left="720" w:hanging="240"/>
    </w:pPr>
  </w:style>
  <w:style w:type="paragraph" w:styleId="37">
    <w:name w:val="index 9"/>
    <w:basedOn w:val="1"/>
    <w:next w:val="1"/>
    <w:qFormat/>
    <w:uiPriority w:val="0"/>
    <w:pPr>
      <w:tabs>
        <w:tab w:val="right" w:pos="4140"/>
      </w:tabs>
      <w:ind w:left="2160" w:hanging="240"/>
      <w:jc w:val="left"/>
    </w:pPr>
    <w:rPr>
      <w:sz w:val="20"/>
    </w:rPr>
  </w:style>
  <w:style w:type="paragraph" w:styleId="38">
    <w:name w:val="index heading"/>
    <w:basedOn w:val="1"/>
    <w:next w:val="35"/>
    <w:qFormat/>
    <w:uiPriority w:val="0"/>
    <w:pPr>
      <w:jc w:val="left"/>
    </w:pPr>
    <w:rPr>
      <w:sz w:val="20"/>
    </w:rPr>
  </w:style>
  <w:style w:type="character" w:styleId="39">
    <w:name w:val="line number"/>
    <w:basedOn w:val="11"/>
    <w:uiPriority w:val="99"/>
  </w:style>
  <w:style w:type="paragraph" w:styleId="40">
    <w:name w:val="List"/>
    <w:basedOn w:val="1"/>
    <w:qFormat/>
    <w:uiPriority w:val="0"/>
    <w:pPr>
      <w:spacing w:before="120" w:after="120"/>
      <w:ind w:left="1440"/>
    </w:pPr>
  </w:style>
  <w:style w:type="paragraph" w:styleId="41">
    <w:name w:val="List 2"/>
    <w:basedOn w:val="1"/>
    <w:unhideWhenUsed/>
    <w:uiPriority w:val="0"/>
    <w:pPr>
      <w:ind w:left="720" w:hanging="360"/>
      <w:jc w:val="left"/>
    </w:pPr>
    <w:rPr>
      <w:szCs w:val="24"/>
    </w:rPr>
  </w:style>
  <w:style w:type="paragraph" w:styleId="42">
    <w:name w:val="List 3"/>
    <w:basedOn w:val="1"/>
    <w:unhideWhenUsed/>
    <w:uiPriority w:val="0"/>
    <w:pPr>
      <w:ind w:left="1080" w:hanging="360"/>
      <w:jc w:val="left"/>
    </w:pPr>
    <w:rPr>
      <w:szCs w:val="24"/>
    </w:rPr>
  </w:style>
  <w:style w:type="paragraph" w:styleId="43">
    <w:name w:val="List Bullet"/>
    <w:basedOn w:val="1"/>
    <w:autoRedefine/>
    <w:unhideWhenUsed/>
    <w:uiPriority w:val="0"/>
    <w:pPr>
      <w:tabs>
        <w:tab w:val="left" w:pos="360"/>
      </w:tabs>
      <w:ind w:left="360" w:hanging="360"/>
      <w:jc w:val="left"/>
    </w:pPr>
    <w:rPr>
      <w:sz w:val="20"/>
    </w:rPr>
  </w:style>
  <w:style w:type="paragraph" w:styleId="44">
    <w:name w:val="List Bullet 2"/>
    <w:basedOn w:val="1"/>
    <w:autoRedefine/>
    <w:unhideWhenUsed/>
    <w:uiPriority w:val="0"/>
    <w:pPr>
      <w:tabs>
        <w:tab w:val="left" w:pos="720"/>
      </w:tabs>
      <w:ind w:left="720" w:hanging="360"/>
      <w:jc w:val="left"/>
    </w:pPr>
    <w:rPr>
      <w:sz w:val="20"/>
    </w:rPr>
  </w:style>
  <w:style w:type="paragraph" w:styleId="45">
    <w:name w:val="List Bullet 3"/>
    <w:basedOn w:val="1"/>
    <w:autoRedefine/>
    <w:unhideWhenUsed/>
    <w:uiPriority w:val="0"/>
    <w:pPr>
      <w:tabs>
        <w:tab w:val="left" w:pos="1080"/>
      </w:tabs>
      <w:ind w:left="1080" w:hanging="360"/>
      <w:jc w:val="left"/>
    </w:pPr>
    <w:rPr>
      <w:sz w:val="20"/>
    </w:rPr>
  </w:style>
  <w:style w:type="paragraph" w:styleId="46">
    <w:name w:val="List Bullet 4"/>
    <w:basedOn w:val="1"/>
    <w:autoRedefine/>
    <w:unhideWhenUsed/>
    <w:uiPriority w:val="0"/>
    <w:pPr>
      <w:tabs>
        <w:tab w:val="left" w:pos="1440"/>
      </w:tabs>
      <w:ind w:left="1440" w:hanging="360"/>
      <w:jc w:val="left"/>
    </w:pPr>
    <w:rPr>
      <w:sz w:val="20"/>
    </w:rPr>
  </w:style>
  <w:style w:type="paragraph" w:styleId="47">
    <w:name w:val="List Bullet 5"/>
    <w:basedOn w:val="1"/>
    <w:autoRedefine/>
    <w:unhideWhenUsed/>
    <w:uiPriority w:val="0"/>
    <w:pPr>
      <w:tabs>
        <w:tab w:val="left" w:pos="1800"/>
      </w:tabs>
      <w:ind w:left="1800" w:hanging="360"/>
      <w:jc w:val="left"/>
    </w:pPr>
    <w:rPr>
      <w:sz w:val="20"/>
    </w:rPr>
  </w:style>
  <w:style w:type="paragraph" w:styleId="48">
    <w:name w:val="List Continue 2"/>
    <w:basedOn w:val="1"/>
    <w:unhideWhenUsed/>
    <w:uiPriority w:val="0"/>
    <w:pPr>
      <w:spacing w:after="120"/>
      <w:ind w:left="720"/>
      <w:jc w:val="left"/>
    </w:pPr>
    <w:rPr>
      <w:szCs w:val="24"/>
    </w:rPr>
  </w:style>
  <w:style w:type="paragraph" w:styleId="49">
    <w:name w:val="List Continue 3"/>
    <w:basedOn w:val="1"/>
    <w:unhideWhenUsed/>
    <w:uiPriority w:val="0"/>
    <w:pPr>
      <w:spacing w:after="120"/>
      <w:ind w:left="1080"/>
      <w:jc w:val="left"/>
    </w:pPr>
    <w:rPr>
      <w:szCs w:val="24"/>
    </w:rPr>
  </w:style>
  <w:style w:type="paragraph" w:styleId="50">
    <w:name w:val="List Number"/>
    <w:basedOn w:val="1"/>
    <w:qFormat/>
    <w:uiPriority w:val="0"/>
    <w:pPr>
      <w:tabs>
        <w:tab w:val="left" w:pos="360"/>
      </w:tabs>
      <w:ind w:left="360" w:hanging="360"/>
    </w:pPr>
  </w:style>
  <w:style w:type="paragraph" w:styleId="51">
    <w:name w:val="List Number 2"/>
    <w:basedOn w:val="1"/>
    <w:unhideWhenUsed/>
    <w:uiPriority w:val="0"/>
    <w:pPr>
      <w:tabs>
        <w:tab w:val="left" w:pos="720"/>
      </w:tabs>
      <w:ind w:left="720" w:hanging="360"/>
      <w:jc w:val="left"/>
    </w:pPr>
    <w:rPr>
      <w:sz w:val="20"/>
    </w:rPr>
  </w:style>
  <w:style w:type="paragraph" w:styleId="52">
    <w:name w:val="List Number 3"/>
    <w:basedOn w:val="1"/>
    <w:unhideWhenUsed/>
    <w:qFormat/>
    <w:uiPriority w:val="0"/>
    <w:pPr>
      <w:tabs>
        <w:tab w:val="left" w:pos="1080"/>
      </w:tabs>
      <w:ind w:left="1080" w:hanging="360"/>
      <w:jc w:val="left"/>
    </w:pPr>
    <w:rPr>
      <w:sz w:val="20"/>
    </w:rPr>
  </w:style>
  <w:style w:type="paragraph" w:styleId="53">
    <w:name w:val="List Number 4"/>
    <w:basedOn w:val="1"/>
    <w:unhideWhenUsed/>
    <w:uiPriority w:val="0"/>
    <w:pPr>
      <w:tabs>
        <w:tab w:val="left" w:pos="1440"/>
      </w:tabs>
      <w:ind w:left="1440" w:hanging="360"/>
      <w:jc w:val="left"/>
    </w:pPr>
    <w:rPr>
      <w:sz w:val="20"/>
    </w:rPr>
  </w:style>
  <w:style w:type="paragraph" w:styleId="54">
    <w:name w:val="List Number 5"/>
    <w:basedOn w:val="1"/>
    <w:unhideWhenUsed/>
    <w:uiPriority w:val="0"/>
    <w:pPr>
      <w:tabs>
        <w:tab w:val="left" w:pos="1800"/>
      </w:tabs>
      <w:ind w:left="1800" w:hanging="360"/>
      <w:jc w:val="left"/>
    </w:pPr>
    <w:rPr>
      <w:sz w:val="20"/>
    </w:rPr>
  </w:style>
  <w:style w:type="paragraph" w:styleId="55">
    <w:name w:val="Message Header"/>
    <w:basedOn w:val="1"/>
    <w:link w:val="252"/>
    <w:unhideWhenUsed/>
    <w:qFormat/>
    <w:uiPriority w:val="0"/>
    <w:pPr>
      <w:pBdr>
        <w:top w:val="single" w:color="auto" w:sz="6" w:space="1"/>
        <w:left w:val="single" w:color="auto" w:sz="6" w:space="1"/>
        <w:bottom w:val="single" w:color="auto" w:sz="6" w:space="1"/>
        <w:right w:val="single" w:color="auto" w:sz="6" w:space="1"/>
      </w:pBdr>
      <w:shd w:val="pct20" w:color="auto" w:fill="auto"/>
      <w:ind w:left="1080" w:hanging="1080"/>
      <w:jc w:val="left"/>
    </w:pPr>
    <w:rPr>
      <w:rFonts w:ascii="Arial" w:hAnsi="Arial"/>
      <w:szCs w:val="24"/>
    </w:rPr>
  </w:style>
  <w:style w:type="paragraph" w:styleId="56">
    <w:name w:val="Normal (Web)"/>
    <w:basedOn w:val="1"/>
    <w:qFormat/>
    <w:uiPriority w:val="99"/>
    <w:pPr>
      <w:spacing w:before="100" w:beforeAutospacing="1" w:after="100" w:afterAutospacing="1"/>
      <w:jc w:val="left"/>
    </w:pPr>
    <w:rPr>
      <w:rFonts w:ascii="Arial Unicode MS" w:hAnsi="Arial Unicode MS" w:eastAsia="Arial Unicode MS" w:cs="Arial Unicode MS"/>
      <w:szCs w:val="24"/>
    </w:rPr>
  </w:style>
  <w:style w:type="paragraph" w:styleId="57">
    <w:name w:val="Normal Indent"/>
    <w:basedOn w:val="1"/>
    <w:unhideWhenUsed/>
    <w:uiPriority w:val="0"/>
    <w:pPr>
      <w:ind w:left="720"/>
      <w:jc w:val="left"/>
    </w:pPr>
    <w:rPr>
      <w:szCs w:val="24"/>
    </w:rPr>
  </w:style>
  <w:style w:type="paragraph" w:styleId="58">
    <w:name w:val="Note Heading"/>
    <w:basedOn w:val="1"/>
    <w:next w:val="1"/>
    <w:link w:val="253"/>
    <w:unhideWhenUsed/>
    <w:uiPriority w:val="0"/>
    <w:pPr>
      <w:suppressAutoHyphens/>
      <w:overflowPunct w:val="0"/>
      <w:autoSpaceDE w:val="0"/>
      <w:autoSpaceDN w:val="0"/>
      <w:adjustRightInd w:val="0"/>
    </w:pPr>
  </w:style>
  <w:style w:type="character" w:styleId="59">
    <w:name w:val="page number"/>
    <w:basedOn w:val="11"/>
    <w:qFormat/>
    <w:uiPriority w:val="0"/>
  </w:style>
  <w:style w:type="paragraph" w:styleId="60">
    <w:name w:val="Subtitle"/>
    <w:basedOn w:val="1"/>
    <w:link w:val="145"/>
    <w:qFormat/>
    <w:uiPriority w:val="0"/>
    <w:pPr>
      <w:jc w:val="center"/>
    </w:pPr>
    <w:rPr>
      <w:b/>
      <w:sz w:val="44"/>
    </w:rPr>
  </w:style>
  <w:style w:type="table" w:styleId="61">
    <w:name w:val="Table Grid"/>
    <w:basedOn w:val="12"/>
    <w:uiPriority w:val="59"/>
    <w:pPr>
      <w:spacing w:after="0" w:line="240" w:lineRule="auto"/>
    </w:pPr>
    <w:rPr>
      <w:rFonts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2">
    <w:name w:val="Title"/>
    <w:basedOn w:val="1"/>
    <w:link w:val="113"/>
    <w:qFormat/>
    <w:uiPriority w:val="0"/>
    <w:pPr>
      <w:spacing w:before="240" w:after="60"/>
      <w:jc w:val="center"/>
    </w:pPr>
    <w:rPr>
      <w:rFonts w:ascii="Arial" w:hAnsi="Arial"/>
      <w:b/>
      <w:kern w:val="28"/>
      <w:sz w:val="32"/>
    </w:rPr>
  </w:style>
  <w:style w:type="paragraph" w:styleId="63">
    <w:name w:val="toa heading"/>
    <w:basedOn w:val="1"/>
    <w:next w:val="1"/>
    <w:uiPriority w:val="0"/>
    <w:pPr>
      <w:tabs>
        <w:tab w:val="left" w:pos="9000"/>
        <w:tab w:val="right" w:pos="9360"/>
      </w:tabs>
      <w:suppressAutoHyphens/>
    </w:pPr>
  </w:style>
  <w:style w:type="paragraph" w:styleId="64">
    <w:name w:val="toc 1"/>
    <w:basedOn w:val="1"/>
    <w:next w:val="1"/>
    <w:autoRedefine/>
    <w:qFormat/>
    <w:uiPriority w:val="39"/>
    <w:pPr>
      <w:tabs>
        <w:tab w:val="right" w:leader="dot" w:pos="9062"/>
      </w:tabs>
      <w:spacing w:before="80" w:after="80"/>
      <w:ind w:firstLine="709"/>
      <w:outlineLvl w:val="2"/>
    </w:pPr>
    <w:rPr>
      <w:rFonts w:eastAsia="Batang" w:asciiTheme="majorHAnsi" w:hAnsiTheme="majorHAnsi" w:cstheme="majorHAnsi"/>
      <w:b/>
      <w:bCs/>
      <w:iCs/>
      <w:kern w:val="36"/>
      <w:sz w:val="28"/>
      <w:szCs w:val="28"/>
      <w:lang w:val="nl-NL"/>
    </w:rPr>
  </w:style>
  <w:style w:type="paragraph" w:styleId="65">
    <w:name w:val="toc 2"/>
    <w:basedOn w:val="1"/>
    <w:next w:val="1"/>
    <w:qFormat/>
    <w:uiPriority w:val="39"/>
    <w:pPr>
      <w:tabs>
        <w:tab w:val="right" w:leader="dot" w:pos="9000"/>
      </w:tabs>
      <w:suppressAutoHyphens/>
      <w:ind w:left="1440" w:hanging="720"/>
    </w:pPr>
  </w:style>
  <w:style w:type="paragraph" w:styleId="66">
    <w:name w:val="toc 3"/>
    <w:basedOn w:val="1"/>
    <w:next w:val="1"/>
    <w:uiPriority w:val="0"/>
    <w:pPr>
      <w:tabs>
        <w:tab w:val="right" w:leader="dot" w:pos="9000"/>
      </w:tabs>
      <w:suppressAutoHyphens/>
      <w:ind w:left="1440" w:hanging="720"/>
    </w:pPr>
    <w:rPr>
      <w:i/>
    </w:rPr>
  </w:style>
  <w:style w:type="paragraph" w:styleId="67">
    <w:name w:val="toc 4"/>
    <w:basedOn w:val="1"/>
    <w:next w:val="1"/>
    <w:uiPriority w:val="0"/>
    <w:pPr>
      <w:tabs>
        <w:tab w:val="left" w:leader="dot" w:pos="8640"/>
        <w:tab w:val="right" w:pos="9000"/>
      </w:tabs>
      <w:suppressAutoHyphens/>
      <w:ind w:left="2880" w:right="720" w:hanging="720"/>
    </w:pPr>
  </w:style>
  <w:style w:type="paragraph" w:styleId="68">
    <w:name w:val="toc 5"/>
    <w:basedOn w:val="1"/>
    <w:next w:val="1"/>
    <w:uiPriority w:val="0"/>
    <w:pPr>
      <w:tabs>
        <w:tab w:val="left" w:leader="dot" w:pos="8640"/>
        <w:tab w:val="right" w:pos="9000"/>
      </w:tabs>
      <w:suppressAutoHyphens/>
      <w:ind w:left="3600" w:right="720" w:hanging="720"/>
    </w:pPr>
  </w:style>
  <w:style w:type="paragraph" w:styleId="69">
    <w:name w:val="toc 6"/>
    <w:basedOn w:val="1"/>
    <w:next w:val="1"/>
    <w:uiPriority w:val="0"/>
    <w:pPr>
      <w:tabs>
        <w:tab w:val="left" w:pos="8640"/>
        <w:tab w:val="right" w:pos="9000"/>
      </w:tabs>
      <w:suppressAutoHyphens/>
      <w:ind w:left="720" w:hanging="720"/>
    </w:pPr>
  </w:style>
  <w:style w:type="paragraph" w:styleId="70">
    <w:name w:val="toc 7"/>
    <w:basedOn w:val="1"/>
    <w:next w:val="1"/>
    <w:uiPriority w:val="0"/>
    <w:pPr>
      <w:suppressAutoHyphens/>
      <w:ind w:left="720" w:hanging="720"/>
    </w:pPr>
  </w:style>
  <w:style w:type="paragraph" w:styleId="71">
    <w:name w:val="toc 8"/>
    <w:basedOn w:val="1"/>
    <w:next w:val="1"/>
    <w:uiPriority w:val="0"/>
    <w:pPr>
      <w:tabs>
        <w:tab w:val="left" w:pos="8640"/>
        <w:tab w:val="right" w:pos="9000"/>
      </w:tabs>
      <w:suppressAutoHyphens/>
      <w:ind w:left="720" w:hanging="720"/>
    </w:pPr>
  </w:style>
  <w:style w:type="paragraph" w:styleId="72">
    <w:name w:val="toc 9"/>
    <w:basedOn w:val="1"/>
    <w:next w:val="1"/>
    <w:uiPriority w:val="0"/>
    <w:pPr>
      <w:tabs>
        <w:tab w:val="left" w:leader="dot" w:pos="8640"/>
        <w:tab w:val="right" w:pos="9000"/>
      </w:tabs>
      <w:suppressAutoHyphens/>
      <w:ind w:left="720" w:hanging="720"/>
    </w:pPr>
  </w:style>
  <w:style w:type="character" w:customStyle="1" w:styleId="73">
    <w:name w:val="Heading 1 Char"/>
    <w:basedOn w:val="11"/>
    <w:link w:val="2"/>
    <w:qFormat/>
    <w:uiPriority w:val="0"/>
    <w:rPr>
      <w:rFonts w:ascii="Times New Roman Bold" w:hAnsi="Times New Roman Bold" w:eastAsia="Times New Roman" w:cs="Times New Roman"/>
      <w:b/>
      <w:smallCaps/>
      <w:sz w:val="36"/>
      <w:szCs w:val="20"/>
      <w:lang w:val="en-US"/>
    </w:rPr>
  </w:style>
  <w:style w:type="character" w:customStyle="1" w:styleId="74">
    <w:name w:val="Heading 2 Char"/>
    <w:basedOn w:val="11"/>
    <w:link w:val="3"/>
    <w:qFormat/>
    <w:uiPriority w:val="0"/>
    <w:rPr>
      <w:rFonts w:ascii="Times New Roman Bold" w:hAnsi="Times New Roman Bold" w:eastAsia="Times New Roman" w:cs="Times New Roman"/>
      <w:b/>
      <w:szCs w:val="20"/>
      <w:lang w:val="en-US"/>
    </w:rPr>
  </w:style>
  <w:style w:type="character" w:customStyle="1" w:styleId="75">
    <w:name w:val="Heading 3 Char1"/>
    <w:link w:val="4"/>
    <w:qFormat/>
    <w:uiPriority w:val="0"/>
    <w:rPr>
      <w:rFonts w:eastAsia="Times New Roman" w:cs="Times New Roman"/>
      <w:b/>
      <w:szCs w:val="20"/>
      <w:lang w:val="en-US"/>
    </w:rPr>
  </w:style>
  <w:style w:type="character" w:customStyle="1" w:styleId="76">
    <w:name w:val="Heading 4 Char"/>
    <w:basedOn w:val="11"/>
    <w:link w:val="5"/>
    <w:qFormat/>
    <w:uiPriority w:val="9"/>
    <w:rPr>
      <w:rFonts w:eastAsia="Times New Roman" w:cs="Times New Roman"/>
      <w:b/>
      <w:bCs/>
      <w:sz w:val="24"/>
      <w:szCs w:val="20"/>
      <w:lang w:val="en-US"/>
    </w:rPr>
  </w:style>
  <w:style w:type="character" w:customStyle="1" w:styleId="77">
    <w:name w:val="Heading 5 Char"/>
    <w:basedOn w:val="11"/>
    <w:link w:val="6"/>
    <w:qFormat/>
    <w:uiPriority w:val="0"/>
    <w:rPr>
      <w:rFonts w:ascii="Arial" w:hAnsi="Arial" w:eastAsia="Times New Roman" w:cs="Times New Roman"/>
      <w:sz w:val="24"/>
      <w:szCs w:val="20"/>
      <w:u w:val="single"/>
      <w:lang w:val="en-US"/>
    </w:rPr>
  </w:style>
  <w:style w:type="character" w:customStyle="1" w:styleId="78">
    <w:name w:val="Heading 6 Char"/>
    <w:basedOn w:val="11"/>
    <w:link w:val="7"/>
    <w:qFormat/>
    <w:uiPriority w:val="0"/>
    <w:rPr>
      <w:rFonts w:eastAsia="Times New Roman" w:cs="Times New Roman"/>
      <w:b/>
      <w:szCs w:val="20"/>
      <w:lang w:val="en-US"/>
    </w:rPr>
  </w:style>
  <w:style w:type="character" w:customStyle="1" w:styleId="79">
    <w:name w:val="Heading 7 Char"/>
    <w:basedOn w:val="11"/>
    <w:link w:val="8"/>
    <w:qFormat/>
    <w:uiPriority w:val="0"/>
    <w:rPr>
      <w:rFonts w:eastAsia="Times New Roman" w:cs="Times New Roman"/>
      <w:b/>
      <w:sz w:val="72"/>
      <w:szCs w:val="20"/>
      <w:lang w:val="en-US"/>
    </w:rPr>
  </w:style>
  <w:style w:type="character" w:customStyle="1" w:styleId="80">
    <w:name w:val="Heading 8 Char"/>
    <w:basedOn w:val="11"/>
    <w:link w:val="9"/>
    <w:uiPriority w:val="0"/>
    <w:rPr>
      <w:rFonts w:eastAsia="Times New Roman" w:cs="Times New Roman"/>
      <w:b/>
      <w:sz w:val="56"/>
      <w:szCs w:val="20"/>
      <w:lang w:val="en-US"/>
    </w:rPr>
  </w:style>
  <w:style w:type="character" w:customStyle="1" w:styleId="81">
    <w:name w:val="Heading 9 Char"/>
    <w:basedOn w:val="11"/>
    <w:link w:val="10"/>
    <w:uiPriority w:val="0"/>
    <w:rPr>
      <w:rFonts w:ascii="Arial" w:hAnsi="Arial" w:eastAsia="Times New Roman" w:cs="Times New Roman"/>
      <w:b/>
      <w:i/>
      <w:sz w:val="18"/>
      <w:szCs w:val="20"/>
    </w:rPr>
  </w:style>
  <w:style w:type="character" w:customStyle="1" w:styleId="82">
    <w:name w:val="Heading 3 Char"/>
    <w:basedOn w:val="11"/>
    <w:qFormat/>
    <w:uiPriority w:val="9"/>
    <w:rPr>
      <w:rFonts w:asciiTheme="majorHAnsi" w:hAnsiTheme="majorHAnsi" w:eastAsiaTheme="majorEastAsia" w:cstheme="majorBidi"/>
      <w:color w:val="1F4E79" w:themeColor="accent1" w:themeShade="80"/>
      <w:sz w:val="24"/>
      <w:szCs w:val="24"/>
      <w:lang w:val="en-US"/>
    </w:rPr>
  </w:style>
  <w:style w:type="character" w:customStyle="1" w:styleId="83">
    <w:name w:val="Bibliogrphy"/>
    <w:basedOn w:val="11"/>
    <w:qFormat/>
    <w:uiPriority w:val="0"/>
  </w:style>
  <w:style w:type="character" w:customStyle="1" w:styleId="84">
    <w:name w:val="Doc Init"/>
    <w:basedOn w:val="11"/>
    <w:qFormat/>
    <w:uiPriority w:val="0"/>
  </w:style>
  <w:style w:type="paragraph" w:customStyle="1" w:styleId="85">
    <w:name w:val="Document 1"/>
    <w:qFormat/>
    <w:uiPriority w:val="0"/>
    <w:pPr>
      <w:keepNext/>
      <w:keepLines/>
      <w:tabs>
        <w:tab w:val="left" w:pos="-720"/>
      </w:tabs>
      <w:suppressAutoHyphens/>
      <w:spacing w:after="0" w:line="240" w:lineRule="auto"/>
    </w:pPr>
    <w:rPr>
      <w:rFonts w:ascii="Times" w:hAnsi="Times" w:eastAsia="Times New Roman" w:cs="Times New Roman"/>
      <w:sz w:val="24"/>
      <w:szCs w:val="20"/>
      <w:lang w:val="en-US" w:eastAsia="en-US" w:bidi="ar-SA"/>
    </w:rPr>
  </w:style>
  <w:style w:type="character" w:customStyle="1" w:styleId="86">
    <w:name w:val="Document 2"/>
    <w:uiPriority w:val="0"/>
    <w:rPr>
      <w:rFonts w:ascii="Times" w:hAnsi="Times"/>
      <w:sz w:val="24"/>
      <w:lang w:val="en-US"/>
    </w:rPr>
  </w:style>
  <w:style w:type="character" w:customStyle="1" w:styleId="87">
    <w:name w:val="Document 3"/>
    <w:uiPriority w:val="0"/>
    <w:rPr>
      <w:rFonts w:ascii="Times" w:hAnsi="Times"/>
      <w:sz w:val="24"/>
      <w:lang w:val="en-US"/>
    </w:rPr>
  </w:style>
  <w:style w:type="character" w:customStyle="1" w:styleId="88">
    <w:name w:val="Document 4"/>
    <w:uiPriority w:val="0"/>
    <w:rPr>
      <w:b/>
      <w:i/>
      <w:sz w:val="24"/>
    </w:rPr>
  </w:style>
  <w:style w:type="character" w:customStyle="1" w:styleId="89">
    <w:name w:val="Document 5"/>
    <w:basedOn w:val="11"/>
    <w:uiPriority w:val="0"/>
  </w:style>
  <w:style w:type="character" w:customStyle="1" w:styleId="90">
    <w:name w:val="Document 6"/>
    <w:basedOn w:val="11"/>
    <w:uiPriority w:val="0"/>
  </w:style>
  <w:style w:type="character" w:customStyle="1" w:styleId="91">
    <w:name w:val="Document 7"/>
    <w:basedOn w:val="11"/>
    <w:uiPriority w:val="0"/>
  </w:style>
  <w:style w:type="character" w:customStyle="1" w:styleId="92">
    <w:name w:val="Document 8"/>
    <w:basedOn w:val="11"/>
    <w:uiPriority w:val="0"/>
  </w:style>
  <w:style w:type="character" w:customStyle="1" w:styleId="93">
    <w:name w:val="Tech Init"/>
    <w:uiPriority w:val="0"/>
    <w:rPr>
      <w:rFonts w:ascii="Times" w:hAnsi="Times"/>
      <w:sz w:val="24"/>
      <w:lang w:val="en-US"/>
    </w:rPr>
  </w:style>
  <w:style w:type="character" w:customStyle="1" w:styleId="94">
    <w:name w:val="Technical 1"/>
    <w:uiPriority w:val="0"/>
    <w:rPr>
      <w:rFonts w:ascii="Times" w:hAnsi="Times"/>
      <w:sz w:val="24"/>
      <w:lang w:val="en-US"/>
    </w:rPr>
  </w:style>
  <w:style w:type="character" w:customStyle="1" w:styleId="95">
    <w:name w:val="Technical 2"/>
    <w:uiPriority w:val="0"/>
    <w:rPr>
      <w:rFonts w:ascii="Times" w:hAnsi="Times"/>
      <w:sz w:val="24"/>
      <w:lang w:val="en-US"/>
    </w:rPr>
  </w:style>
  <w:style w:type="character" w:customStyle="1" w:styleId="96">
    <w:name w:val="Technical 3"/>
    <w:uiPriority w:val="0"/>
    <w:rPr>
      <w:rFonts w:ascii="Times" w:hAnsi="Times"/>
      <w:sz w:val="24"/>
      <w:lang w:val="en-US"/>
    </w:rPr>
  </w:style>
  <w:style w:type="paragraph" w:customStyle="1" w:styleId="97">
    <w:name w:val="Technical 4"/>
    <w:uiPriority w:val="0"/>
    <w:pPr>
      <w:tabs>
        <w:tab w:val="left" w:pos="-720"/>
      </w:tabs>
      <w:suppressAutoHyphens/>
      <w:spacing w:after="0" w:line="240" w:lineRule="auto"/>
    </w:pPr>
    <w:rPr>
      <w:rFonts w:ascii="Times" w:hAnsi="Times" w:eastAsia="Times New Roman" w:cs="Times New Roman"/>
      <w:b/>
      <w:sz w:val="24"/>
      <w:szCs w:val="20"/>
      <w:lang w:val="en-US" w:eastAsia="en-US" w:bidi="ar-SA"/>
    </w:rPr>
  </w:style>
  <w:style w:type="paragraph" w:customStyle="1" w:styleId="98">
    <w:name w:val="Technical 5"/>
    <w:uiPriority w:val="0"/>
    <w:pPr>
      <w:tabs>
        <w:tab w:val="left" w:pos="-720"/>
      </w:tabs>
      <w:suppressAutoHyphens/>
      <w:spacing w:after="0" w:line="240" w:lineRule="auto"/>
      <w:ind w:firstLine="720"/>
    </w:pPr>
    <w:rPr>
      <w:rFonts w:ascii="Times" w:hAnsi="Times" w:eastAsia="Times New Roman" w:cs="Times New Roman"/>
      <w:b/>
      <w:sz w:val="24"/>
      <w:szCs w:val="20"/>
      <w:lang w:val="en-US" w:eastAsia="en-US" w:bidi="ar-SA"/>
    </w:rPr>
  </w:style>
  <w:style w:type="paragraph" w:customStyle="1" w:styleId="99">
    <w:name w:val="Technical 6"/>
    <w:uiPriority w:val="0"/>
    <w:pPr>
      <w:tabs>
        <w:tab w:val="left" w:pos="-720"/>
      </w:tabs>
      <w:suppressAutoHyphens/>
      <w:spacing w:after="0" w:line="240" w:lineRule="auto"/>
      <w:ind w:firstLine="720"/>
    </w:pPr>
    <w:rPr>
      <w:rFonts w:ascii="Times" w:hAnsi="Times" w:eastAsia="Times New Roman" w:cs="Times New Roman"/>
      <w:b/>
      <w:sz w:val="24"/>
      <w:szCs w:val="20"/>
      <w:lang w:val="en-US" w:eastAsia="en-US" w:bidi="ar-SA"/>
    </w:rPr>
  </w:style>
  <w:style w:type="paragraph" w:customStyle="1" w:styleId="100">
    <w:name w:val="Technical 7"/>
    <w:uiPriority w:val="0"/>
    <w:pPr>
      <w:tabs>
        <w:tab w:val="left" w:pos="-720"/>
      </w:tabs>
      <w:suppressAutoHyphens/>
      <w:spacing w:after="0" w:line="240" w:lineRule="auto"/>
      <w:ind w:firstLine="720"/>
    </w:pPr>
    <w:rPr>
      <w:rFonts w:ascii="Times" w:hAnsi="Times" w:eastAsia="Times New Roman" w:cs="Times New Roman"/>
      <w:b/>
      <w:sz w:val="24"/>
      <w:szCs w:val="20"/>
      <w:lang w:val="en-US" w:eastAsia="en-US" w:bidi="ar-SA"/>
    </w:rPr>
  </w:style>
  <w:style w:type="paragraph" w:customStyle="1" w:styleId="101">
    <w:name w:val="Technical 8"/>
    <w:uiPriority w:val="0"/>
    <w:pPr>
      <w:tabs>
        <w:tab w:val="left" w:pos="-720"/>
      </w:tabs>
      <w:suppressAutoHyphens/>
      <w:spacing w:after="0" w:line="240" w:lineRule="auto"/>
      <w:ind w:firstLine="720"/>
    </w:pPr>
    <w:rPr>
      <w:rFonts w:ascii="Times" w:hAnsi="Times" w:eastAsia="Times New Roman" w:cs="Times New Roman"/>
      <w:b/>
      <w:sz w:val="24"/>
      <w:szCs w:val="20"/>
      <w:lang w:val="en-US" w:eastAsia="en-US" w:bidi="ar-SA"/>
    </w:rPr>
  </w:style>
  <w:style w:type="paragraph" w:customStyle="1" w:styleId="102">
    <w:name w:val="Pleading"/>
    <w:uiPriority w:val="0"/>
    <w:pPr>
      <w:tabs>
        <w:tab w:val="left" w:pos="-720"/>
      </w:tabs>
      <w:suppressAutoHyphens/>
      <w:spacing w:after="0" w:line="240" w:lineRule="exact"/>
    </w:pPr>
    <w:rPr>
      <w:rFonts w:ascii="Times" w:hAnsi="Times" w:eastAsia="Times New Roman" w:cs="Times New Roman"/>
      <w:sz w:val="24"/>
      <w:szCs w:val="20"/>
      <w:lang w:val="en-US" w:eastAsia="en-US" w:bidi="ar-SA"/>
    </w:rPr>
  </w:style>
  <w:style w:type="paragraph" w:customStyle="1" w:styleId="103">
    <w:name w:val="Right Par 1"/>
    <w:uiPriority w:val="0"/>
    <w:pPr>
      <w:tabs>
        <w:tab w:val="left" w:pos="-720"/>
        <w:tab w:val="left" w:pos="0"/>
        <w:tab w:val="decimal" w:pos="720"/>
      </w:tabs>
      <w:suppressAutoHyphens/>
      <w:spacing w:after="0" w:line="240" w:lineRule="auto"/>
      <w:ind w:firstLine="720"/>
    </w:pPr>
    <w:rPr>
      <w:rFonts w:ascii="Times" w:hAnsi="Times" w:eastAsia="Times New Roman" w:cs="Times New Roman"/>
      <w:sz w:val="24"/>
      <w:szCs w:val="20"/>
      <w:lang w:val="en-US" w:eastAsia="en-US" w:bidi="ar-SA"/>
    </w:rPr>
  </w:style>
  <w:style w:type="paragraph" w:customStyle="1" w:styleId="104">
    <w:name w:val="Right Par 2"/>
    <w:uiPriority w:val="0"/>
    <w:pPr>
      <w:tabs>
        <w:tab w:val="left" w:pos="-720"/>
        <w:tab w:val="left" w:pos="0"/>
        <w:tab w:val="left" w:pos="720"/>
        <w:tab w:val="decimal" w:pos="1440"/>
      </w:tabs>
      <w:suppressAutoHyphens/>
      <w:spacing w:after="0" w:line="240" w:lineRule="auto"/>
      <w:ind w:firstLine="1440"/>
    </w:pPr>
    <w:rPr>
      <w:rFonts w:ascii="Times" w:hAnsi="Times" w:eastAsia="Times New Roman" w:cs="Times New Roman"/>
      <w:sz w:val="24"/>
      <w:szCs w:val="20"/>
      <w:lang w:val="en-US" w:eastAsia="en-US" w:bidi="ar-SA"/>
    </w:rPr>
  </w:style>
  <w:style w:type="paragraph" w:customStyle="1" w:styleId="105">
    <w:name w:val="Right Par 3"/>
    <w:uiPriority w:val="0"/>
    <w:pPr>
      <w:tabs>
        <w:tab w:val="left" w:pos="-720"/>
        <w:tab w:val="left" w:pos="0"/>
        <w:tab w:val="left" w:pos="720"/>
        <w:tab w:val="left" w:pos="1440"/>
        <w:tab w:val="decimal" w:pos="2160"/>
      </w:tabs>
      <w:suppressAutoHyphens/>
      <w:spacing w:after="0" w:line="240" w:lineRule="auto"/>
      <w:ind w:firstLine="2160"/>
    </w:pPr>
    <w:rPr>
      <w:rFonts w:ascii="Times" w:hAnsi="Times" w:eastAsia="Times New Roman" w:cs="Times New Roman"/>
      <w:sz w:val="24"/>
      <w:szCs w:val="20"/>
      <w:lang w:val="en-US" w:eastAsia="en-US" w:bidi="ar-SA"/>
    </w:rPr>
  </w:style>
  <w:style w:type="paragraph" w:customStyle="1" w:styleId="106">
    <w:name w:val="Right Par 4"/>
    <w:uiPriority w:val="0"/>
    <w:pPr>
      <w:tabs>
        <w:tab w:val="left" w:pos="-720"/>
        <w:tab w:val="left" w:pos="0"/>
        <w:tab w:val="left" w:pos="720"/>
        <w:tab w:val="left" w:pos="1440"/>
        <w:tab w:val="left" w:pos="2160"/>
        <w:tab w:val="decimal" w:pos="2880"/>
      </w:tabs>
      <w:suppressAutoHyphens/>
      <w:spacing w:after="0" w:line="240" w:lineRule="auto"/>
      <w:ind w:firstLine="2880"/>
    </w:pPr>
    <w:rPr>
      <w:rFonts w:ascii="Times" w:hAnsi="Times" w:eastAsia="Times New Roman" w:cs="Times New Roman"/>
      <w:sz w:val="24"/>
      <w:szCs w:val="20"/>
      <w:lang w:val="en-US" w:eastAsia="en-US" w:bidi="ar-SA"/>
    </w:rPr>
  </w:style>
  <w:style w:type="paragraph" w:customStyle="1" w:styleId="107">
    <w:name w:val="Right Par 5"/>
    <w:uiPriority w:val="0"/>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hAnsi="Times" w:eastAsia="Times New Roman" w:cs="Times New Roman"/>
      <w:sz w:val="24"/>
      <w:szCs w:val="20"/>
      <w:lang w:val="en-US" w:eastAsia="en-US" w:bidi="ar-SA"/>
    </w:rPr>
  </w:style>
  <w:style w:type="paragraph" w:customStyle="1" w:styleId="108">
    <w:name w:val="Right Par 6"/>
    <w:uiPriority w:val="0"/>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hAnsi="Times" w:eastAsia="Times New Roman" w:cs="Times New Roman"/>
      <w:sz w:val="24"/>
      <w:szCs w:val="20"/>
      <w:lang w:val="en-US" w:eastAsia="en-US" w:bidi="ar-SA"/>
    </w:rPr>
  </w:style>
  <w:style w:type="paragraph" w:customStyle="1" w:styleId="109">
    <w:name w:val="Right Par 7"/>
    <w:uiPriority w:val="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hAnsi="Times" w:eastAsia="Times New Roman" w:cs="Times New Roman"/>
      <w:sz w:val="24"/>
      <w:szCs w:val="20"/>
      <w:lang w:val="en-US" w:eastAsia="en-US" w:bidi="ar-SA"/>
    </w:rPr>
  </w:style>
  <w:style w:type="paragraph" w:customStyle="1" w:styleId="110">
    <w:name w:val="Right Par 8"/>
    <w:uiPriority w:val="0"/>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hAnsi="Times" w:eastAsia="Times New Roman" w:cs="Times New Roman"/>
      <w:sz w:val="24"/>
      <w:szCs w:val="20"/>
      <w:lang w:val="en-US" w:eastAsia="en-US" w:bidi="ar-SA"/>
    </w:rPr>
  </w:style>
  <w:style w:type="character" w:customStyle="1" w:styleId="111">
    <w:name w:val="_Equation Caption"/>
    <w:uiPriority w:val="0"/>
  </w:style>
  <w:style w:type="character" w:customStyle="1" w:styleId="112">
    <w:name w:val="vl.pg.no."/>
    <w:uiPriority w:val="0"/>
    <w:rPr>
      <w:rFonts w:ascii="Times" w:hAnsi="Times"/>
      <w:b/>
      <w:sz w:val="20"/>
      <w:lang w:val="en-US"/>
    </w:rPr>
  </w:style>
  <w:style w:type="character" w:customStyle="1" w:styleId="113">
    <w:name w:val="Title Char"/>
    <w:basedOn w:val="11"/>
    <w:link w:val="62"/>
    <w:uiPriority w:val="0"/>
    <w:rPr>
      <w:rFonts w:ascii="Arial" w:hAnsi="Arial" w:eastAsia="Times New Roman" w:cs="Times New Roman"/>
      <w:b/>
      <w:kern w:val="28"/>
      <w:sz w:val="32"/>
      <w:szCs w:val="20"/>
      <w:lang w:val="en-US"/>
    </w:rPr>
  </w:style>
  <w:style w:type="character" w:customStyle="1" w:styleId="114">
    <w:name w:val="footnote"/>
    <w:uiPriority w:val="0"/>
    <w:rPr>
      <w:rFonts w:ascii="Book Antiqua" w:hAnsi="Book Antiqua"/>
      <w:sz w:val="24"/>
      <w:lang w:val="en-US"/>
    </w:rPr>
  </w:style>
  <w:style w:type="character" w:customStyle="1" w:styleId="115">
    <w:name w:val="Header Char"/>
    <w:basedOn w:val="11"/>
    <w:link w:val="33"/>
    <w:uiPriority w:val="99"/>
    <w:rPr>
      <w:rFonts w:eastAsia="Times New Roman" w:cs="Times New Roman"/>
      <w:sz w:val="20"/>
      <w:szCs w:val="20"/>
      <w:lang w:val="en-US"/>
    </w:rPr>
  </w:style>
  <w:style w:type="character" w:customStyle="1" w:styleId="116">
    <w:name w:val="Footer Char"/>
    <w:basedOn w:val="11"/>
    <w:link w:val="30"/>
    <w:qFormat/>
    <w:uiPriority w:val="99"/>
    <w:rPr>
      <w:rFonts w:eastAsia="Times New Roman" w:cs="Times New Roman"/>
      <w:sz w:val="20"/>
      <w:szCs w:val="20"/>
      <w:lang w:val="en-US"/>
    </w:rPr>
  </w:style>
  <w:style w:type="character" w:customStyle="1" w:styleId="117">
    <w:name w:val="Footnote Text Char"/>
    <w:basedOn w:val="11"/>
    <w:link w:val="32"/>
    <w:qFormat/>
    <w:uiPriority w:val="0"/>
    <w:rPr>
      <w:rFonts w:eastAsia="Times New Roman" w:cs="Times New Roman"/>
      <w:sz w:val="20"/>
      <w:szCs w:val="20"/>
      <w:lang w:val="en-US"/>
    </w:rPr>
  </w:style>
  <w:style w:type="paragraph" w:customStyle="1" w:styleId="118">
    <w:name w:val="Head 2.1"/>
    <w:basedOn w:val="1"/>
    <w:qFormat/>
    <w:uiPriority w:val="0"/>
    <w:pPr>
      <w:keepNext/>
      <w:pBdr>
        <w:bottom w:val="single" w:color="auto" w:sz="24" w:space="3"/>
      </w:pBdr>
      <w:suppressAutoHyphens/>
      <w:spacing w:before="480" w:after="240"/>
      <w:jc w:val="center"/>
    </w:pPr>
    <w:rPr>
      <w:rFonts w:ascii="Times New Roman Bold" w:hAnsi="Times New Roman Bold"/>
      <w:b/>
      <w:smallCaps/>
      <w:sz w:val="32"/>
    </w:rPr>
  </w:style>
  <w:style w:type="paragraph" w:customStyle="1" w:styleId="119">
    <w:name w:val="Head 2.2"/>
    <w:basedOn w:val="1"/>
    <w:qFormat/>
    <w:uiPriority w:val="0"/>
    <w:pPr>
      <w:tabs>
        <w:tab w:val="left" w:pos="360"/>
      </w:tabs>
      <w:suppressAutoHyphens/>
      <w:spacing w:after="240"/>
      <w:ind w:left="360" w:hanging="360"/>
      <w:jc w:val="left"/>
    </w:pPr>
    <w:rPr>
      <w:b/>
    </w:rPr>
  </w:style>
  <w:style w:type="character" w:customStyle="1" w:styleId="120">
    <w:name w:val="insert2"/>
    <w:qFormat/>
    <w:uiPriority w:val="0"/>
    <w:rPr>
      <w:rFonts w:ascii="Arial" w:hAnsi="Arial"/>
      <w:i/>
      <w:sz w:val="24"/>
      <w:lang w:val="en-US"/>
    </w:rPr>
  </w:style>
  <w:style w:type="character" w:customStyle="1" w:styleId="121">
    <w:name w:val="reference"/>
    <w:qFormat/>
    <w:uiPriority w:val="0"/>
    <w:rPr>
      <w:rFonts w:ascii="Book Antiqua" w:hAnsi="Book Antiqua"/>
      <w:i/>
      <w:sz w:val="24"/>
      <w:lang w:val="en-US"/>
    </w:rPr>
  </w:style>
  <w:style w:type="paragraph" w:customStyle="1" w:styleId="122">
    <w:name w:val="Heading rb2"/>
    <w:basedOn w:val="1"/>
    <w:qFormat/>
    <w:uiPriority w:val="0"/>
    <w:pPr>
      <w:tabs>
        <w:tab w:val="left" w:pos="-851"/>
        <w:tab w:val="right" w:pos="-567"/>
        <w:tab w:val="right" w:pos="2127"/>
        <w:tab w:val="right" w:pos="2694"/>
        <w:tab w:val="left" w:pos="2977"/>
        <w:tab w:val="right" w:pos="10348"/>
      </w:tabs>
      <w:spacing w:line="400" w:lineRule="exact"/>
      <w:ind w:right="-28"/>
      <w:jc w:val="left"/>
    </w:pPr>
    <w:rPr>
      <w:rFonts w:ascii="Arial" w:hAnsi="Arial"/>
      <w:b/>
      <w:spacing w:val="6"/>
      <w:sz w:val="26"/>
    </w:rPr>
  </w:style>
  <w:style w:type="paragraph" w:customStyle="1" w:styleId="123">
    <w:name w:val="Head fid1"/>
    <w:basedOn w:val="124"/>
    <w:qFormat/>
    <w:uiPriority w:val="0"/>
  </w:style>
  <w:style w:type="paragraph" w:customStyle="1" w:styleId="124">
    <w:name w:val="Head 2"/>
    <w:basedOn w:val="1"/>
    <w:autoRedefine/>
    <w:qFormat/>
    <w:uiPriority w:val="0"/>
    <w:pPr>
      <w:spacing w:before="120" w:after="120"/>
    </w:pPr>
    <w:rPr>
      <w:b/>
      <w:lang w:val="en-GB"/>
    </w:rPr>
  </w:style>
  <w:style w:type="paragraph" w:customStyle="1" w:styleId="125">
    <w:name w:val="explanatory_clause"/>
    <w:basedOn w:val="1"/>
    <w:qFormat/>
    <w:uiPriority w:val="0"/>
    <w:pPr>
      <w:suppressAutoHyphens/>
      <w:spacing w:after="240"/>
      <w:ind w:left="738" w:right="-14" w:hanging="738"/>
      <w:jc w:val="left"/>
    </w:pPr>
    <w:rPr>
      <w:rFonts w:ascii="Arial" w:hAnsi="Arial"/>
      <w:sz w:val="22"/>
    </w:rPr>
  </w:style>
  <w:style w:type="paragraph" w:customStyle="1" w:styleId="126">
    <w:name w:val="explanatory_notes"/>
    <w:basedOn w:val="1"/>
    <w:qFormat/>
    <w:uiPriority w:val="0"/>
    <w:pPr>
      <w:suppressAutoHyphens/>
      <w:spacing w:after="240" w:line="360" w:lineRule="exact"/>
    </w:pPr>
    <w:rPr>
      <w:rFonts w:ascii="Arial" w:hAnsi="Arial"/>
    </w:rPr>
  </w:style>
  <w:style w:type="paragraph" w:customStyle="1" w:styleId="127">
    <w:name w:val="Head 2.2b"/>
    <w:basedOn w:val="1"/>
    <w:qFormat/>
    <w:uiPriority w:val="0"/>
    <w:pPr>
      <w:suppressAutoHyphens/>
      <w:spacing w:after="240"/>
      <w:ind w:left="360" w:hanging="360"/>
      <w:jc w:val="left"/>
    </w:pPr>
    <w:rPr>
      <w:rFonts w:ascii="Tms Rmn" w:hAnsi="Tms Rmn"/>
      <w:b/>
    </w:rPr>
  </w:style>
  <w:style w:type="paragraph" w:customStyle="1" w:styleId="128">
    <w:name w:val="Head 3.1"/>
    <w:basedOn w:val="118"/>
    <w:qFormat/>
    <w:uiPriority w:val="0"/>
  </w:style>
  <w:style w:type="paragraph" w:customStyle="1" w:styleId="129">
    <w:name w:val="Head 4.1"/>
    <w:basedOn w:val="118"/>
    <w:qFormat/>
    <w:uiPriority w:val="0"/>
  </w:style>
  <w:style w:type="paragraph" w:customStyle="1" w:styleId="130">
    <w:name w:val="Head 4.2"/>
    <w:basedOn w:val="1"/>
    <w:qFormat/>
    <w:uiPriority w:val="0"/>
    <w:pPr>
      <w:suppressAutoHyphens/>
      <w:spacing w:after="240"/>
      <w:ind w:left="360" w:hanging="360"/>
      <w:jc w:val="left"/>
    </w:pPr>
    <w:rPr>
      <w:b/>
    </w:rPr>
  </w:style>
  <w:style w:type="paragraph" w:customStyle="1" w:styleId="131">
    <w:name w:val="Head 5.1"/>
    <w:basedOn w:val="118"/>
    <w:qFormat/>
    <w:uiPriority w:val="0"/>
    <w:pPr>
      <w:spacing w:after="0"/>
    </w:pPr>
  </w:style>
  <w:style w:type="paragraph" w:customStyle="1" w:styleId="132">
    <w:name w:val="Head 5.2"/>
    <w:basedOn w:val="1"/>
    <w:qFormat/>
    <w:uiPriority w:val="0"/>
    <w:pPr>
      <w:keepNext/>
      <w:suppressAutoHyphens/>
      <w:spacing w:before="480" w:after="240"/>
      <w:ind w:left="547" w:hanging="547"/>
      <w:jc w:val="center"/>
    </w:pPr>
    <w:rPr>
      <w:b/>
    </w:rPr>
  </w:style>
  <w:style w:type="paragraph" w:customStyle="1" w:styleId="133">
    <w:name w:val="Head 6.1"/>
    <w:basedOn w:val="131"/>
    <w:qFormat/>
    <w:uiPriority w:val="0"/>
    <w:pPr>
      <w:pBdr>
        <w:bottom w:val="none" w:color="auto" w:sz="0" w:space="0"/>
      </w:pBdr>
      <w:spacing w:before="0" w:after="240"/>
    </w:pPr>
    <w:rPr>
      <w:caps/>
    </w:rPr>
  </w:style>
  <w:style w:type="paragraph" w:customStyle="1" w:styleId="134">
    <w:name w:val="Head 7.1"/>
    <w:basedOn w:val="118"/>
    <w:qFormat/>
    <w:uiPriority w:val="0"/>
  </w:style>
  <w:style w:type="paragraph" w:customStyle="1" w:styleId="135">
    <w:name w:val="Head 7.2"/>
    <w:basedOn w:val="1"/>
    <w:qFormat/>
    <w:uiPriority w:val="0"/>
    <w:pPr>
      <w:suppressAutoHyphens/>
      <w:spacing w:after="240"/>
      <w:ind w:left="720" w:hanging="720"/>
      <w:jc w:val="left"/>
    </w:pPr>
    <w:rPr>
      <w:rFonts w:ascii="Times New Roman Bold" w:hAnsi="Times New Roman Bold"/>
      <w:b/>
      <w:sz w:val="28"/>
    </w:rPr>
  </w:style>
  <w:style w:type="paragraph" w:customStyle="1" w:styleId="136">
    <w:name w:val="Head 8.1"/>
    <w:basedOn w:val="2"/>
    <w:qFormat/>
    <w:uiPriority w:val="0"/>
    <w:pPr>
      <w:outlineLvl w:val="9"/>
    </w:pPr>
    <w:rPr>
      <w:smallCaps w:val="0"/>
      <w:sz w:val="32"/>
    </w:rPr>
  </w:style>
  <w:style w:type="paragraph" w:customStyle="1" w:styleId="137">
    <w:name w:val="Head 8.2"/>
    <w:basedOn w:val="136"/>
    <w:qFormat/>
    <w:uiPriority w:val="0"/>
    <w:rPr>
      <w:smallCaps/>
      <w:sz w:val="28"/>
    </w:rPr>
  </w:style>
  <w:style w:type="character" w:customStyle="1" w:styleId="138">
    <w:name w:val="Body Text Char"/>
    <w:basedOn w:val="11"/>
    <w:link w:val="15"/>
    <w:qFormat/>
    <w:uiPriority w:val="0"/>
    <w:rPr>
      <w:rFonts w:eastAsia="Times New Roman" w:cs="Times New Roman"/>
      <w:spacing w:val="-4"/>
      <w:sz w:val="24"/>
      <w:szCs w:val="20"/>
      <w:lang w:val="en-US"/>
    </w:rPr>
  </w:style>
  <w:style w:type="character" w:customStyle="1" w:styleId="139">
    <w:name w:val="Body Text Indent Char"/>
    <w:basedOn w:val="11"/>
    <w:link w:val="18"/>
    <w:qFormat/>
    <w:uiPriority w:val="0"/>
    <w:rPr>
      <w:rFonts w:eastAsia="Times New Roman" w:cs="Times New Roman"/>
      <w:sz w:val="24"/>
      <w:szCs w:val="20"/>
      <w:lang w:val="en-US"/>
    </w:rPr>
  </w:style>
  <w:style w:type="character" w:customStyle="1" w:styleId="140">
    <w:name w:val="Endnote Text Char"/>
    <w:link w:val="28"/>
    <w:semiHidden/>
    <w:qFormat/>
    <w:uiPriority w:val="0"/>
    <w:rPr>
      <w:rFonts w:eastAsia="Times New Roman" w:cs="Times New Roman"/>
      <w:sz w:val="20"/>
      <w:szCs w:val="20"/>
    </w:rPr>
  </w:style>
  <w:style w:type="character" w:customStyle="1" w:styleId="141">
    <w:name w:val="Endnote Text Char1"/>
    <w:basedOn w:val="11"/>
    <w:semiHidden/>
    <w:qFormat/>
    <w:uiPriority w:val="99"/>
    <w:rPr>
      <w:rFonts w:eastAsia="Times New Roman" w:cs="Times New Roman"/>
      <w:sz w:val="20"/>
      <w:szCs w:val="20"/>
      <w:lang w:val="en-US"/>
    </w:rPr>
  </w:style>
  <w:style w:type="character" w:customStyle="1" w:styleId="142">
    <w:name w:val="Body Text 3 Char"/>
    <w:basedOn w:val="11"/>
    <w:link w:val="17"/>
    <w:qFormat/>
    <w:uiPriority w:val="0"/>
    <w:rPr>
      <w:rFonts w:eastAsia="Times New Roman" w:cs="Times New Roman"/>
      <w:i/>
      <w:iCs/>
      <w:color w:val="000000"/>
      <w:sz w:val="24"/>
      <w:szCs w:val="24"/>
      <w:lang w:val="en-US"/>
    </w:rPr>
  </w:style>
  <w:style w:type="character" w:customStyle="1" w:styleId="143">
    <w:name w:val="Body Text 2 Char"/>
    <w:basedOn w:val="11"/>
    <w:link w:val="16"/>
    <w:qFormat/>
    <w:uiPriority w:val="0"/>
    <w:rPr>
      <w:rFonts w:eastAsia="Times New Roman" w:cs="Times New Roman"/>
      <w:i/>
      <w:sz w:val="24"/>
      <w:szCs w:val="20"/>
      <w:lang w:val="en-US"/>
    </w:rPr>
  </w:style>
  <w:style w:type="character" w:customStyle="1" w:styleId="144">
    <w:name w:val="Body Text Indent 2 Char"/>
    <w:basedOn w:val="11"/>
    <w:link w:val="19"/>
    <w:qFormat/>
    <w:uiPriority w:val="0"/>
    <w:rPr>
      <w:rFonts w:eastAsia="Times New Roman" w:cs="Times New Roman"/>
      <w:sz w:val="24"/>
      <w:szCs w:val="20"/>
      <w:lang w:val="en-US"/>
    </w:rPr>
  </w:style>
  <w:style w:type="character" w:customStyle="1" w:styleId="145">
    <w:name w:val="Subtitle Char"/>
    <w:basedOn w:val="11"/>
    <w:link w:val="60"/>
    <w:qFormat/>
    <w:uiPriority w:val="0"/>
    <w:rPr>
      <w:rFonts w:eastAsia="Times New Roman" w:cs="Times New Roman"/>
      <w:b/>
      <w:sz w:val="44"/>
      <w:szCs w:val="20"/>
      <w:lang w:val="en-US"/>
    </w:rPr>
  </w:style>
  <w:style w:type="paragraph" w:customStyle="1" w:styleId="146">
    <w:name w:val="TOC Number1"/>
    <w:basedOn w:val="5"/>
    <w:autoRedefine/>
    <w:qFormat/>
    <w:uiPriority w:val="0"/>
    <w:pPr>
      <w:keepNext w:val="0"/>
      <w:suppressAutoHyphens/>
      <w:spacing w:after="120"/>
      <w:ind w:left="0" w:firstLine="0"/>
      <w:outlineLvl w:val="9"/>
    </w:pPr>
    <w:rPr>
      <w:sz w:val="28"/>
      <w:szCs w:val="28"/>
    </w:rPr>
  </w:style>
  <w:style w:type="paragraph" w:customStyle="1" w:styleId="147">
    <w:name w:val="Subtitle 2"/>
    <w:basedOn w:val="30"/>
    <w:autoRedefine/>
    <w:qFormat/>
    <w:uiPriority w:val="0"/>
    <w:pPr>
      <w:widowControl w:val="0"/>
      <w:tabs>
        <w:tab w:val="right" w:leader="underscore" w:pos="9504"/>
      </w:tabs>
      <w:spacing w:before="120" w:after="120" w:line="264" w:lineRule="auto"/>
      <w:ind w:firstLine="29"/>
      <w:outlineLvl w:val="1"/>
    </w:pPr>
    <w:rPr>
      <w:sz w:val="28"/>
      <w:szCs w:val="28"/>
    </w:rPr>
  </w:style>
  <w:style w:type="paragraph" w:customStyle="1" w:styleId="148">
    <w:name w:val="(i)"/>
    <w:basedOn w:val="1"/>
    <w:link w:val="149"/>
    <w:qFormat/>
    <w:uiPriority w:val="0"/>
    <w:pPr>
      <w:suppressAutoHyphens/>
    </w:pPr>
    <w:rPr>
      <w:rFonts w:ascii="Tms Rmn" w:hAnsi="Tms Rmn"/>
    </w:rPr>
  </w:style>
  <w:style w:type="character" w:customStyle="1" w:styleId="149">
    <w:name w:val="(i) Char"/>
    <w:link w:val="148"/>
    <w:qFormat/>
    <w:locked/>
    <w:uiPriority w:val="0"/>
    <w:rPr>
      <w:rFonts w:ascii="Tms Rmn" w:hAnsi="Tms Rmn" w:eastAsia="Times New Roman" w:cs="Times New Roman"/>
      <w:sz w:val="24"/>
      <w:szCs w:val="20"/>
      <w:lang w:val="en-US"/>
    </w:rPr>
  </w:style>
  <w:style w:type="paragraph" w:customStyle="1" w:styleId="150">
    <w:name w:val="2AutoList1"/>
    <w:basedOn w:val="1"/>
    <w:qFormat/>
    <w:uiPriority w:val="0"/>
    <w:pPr>
      <w:tabs>
        <w:tab w:val="left" w:pos="504"/>
      </w:tabs>
      <w:ind w:left="504" w:hanging="504"/>
    </w:pPr>
  </w:style>
  <w:style w:type="paragraph" w:customStyle="1" w:styleId="151">
    <w:name w:val="Header 1 - Clauses"/>
    <w:basedOn w:val="1"/>
    <w:qFormat/>
    <w:uiPriority w:val="0"/>
    <w:pPr>
      <w:spacing w:after="200"/>
      <w:jc w:val="left"/>
    </w:pPr>
    <w:rPr>
      <w:b/>
    </w:rPr>
  </w:style>
  <w:style w:type="paragraph" w:customStyle="1" w:styleId="152">
    <w:name w:val="Header 2 - SubClauses"/>
    <w:basedOn w:val="1"/>
    <w:link w:val="153"/>
    <w:autoRedefine/>
    <w:qFormat/>
    <w:uiPriority w:val="0"/>
    <w:pPr>
      <w:spacing w:after="200"/>
      <w:ind w:left="567" w:hanging="567"/>
    </w:pPr>
  </w:style>
  <w:style w:type="character" w:customStyle="1" w:styleId="153">
    <w:name w:val="Header 2 - SubClauses Char Char"/>
    <w:link w:val="152"/>
    <w:qFormat/>
    <w:uiPriority w:val="0"/>
    <w:rPr>
      <w:rFonts w:eastAsia="Times New Roman" w:cs="Times New Roman"/>
      <w:sz w:val="24"/>
      <w:szCs w:val="20"/>
    </w:rPr>
  </w:style>
  <w:style w:type="paragraph" w:customStyle="1" w:styleId="154">
    <w:name w:val="P3 Header1-Clauses"/>
    <w:basedOn w:val="151"/>
    <w:qFormat/>
    <w:uiPriority w:val="0"/>
    <w:pPr>
      <w:tabs>
        <w:tab w:val="left" w:pos="864"/>
        <w:tab w:val="left" w:pos="972"/>
      </w:tabs>
      <w:ind w:left="432" w:firstLine="144"/>
      <w:jc w:val="both"/>
    </w:pPr>
    <w:rPr>
      <w:b w:val="0"/>
    </w:rPr>
  </w:style>
  <w:style w:type="paragraph" w:customStyle="1" w:styleId="155">
    <w:name w:val="Outline3"/>
    <w:basedOn w:val="1"/>
    <w:qFormat/>
    <w:uiPriority w:val="0"/>
    <w:pPr>
      <w:tabs>
        <w:tab w:val="left" w:pos="1728"/>
      </w:tabs>
      <w:spacing w:before="240"/>
      <w:ind w:left="1728" w:hanging="432"/>
      <w:jc w:val="left"/>
    </w:pPr>
    <w:rPr>
      <w:kern w:val="28"/>
    </w:rPr>
  </w:style>
  <w:style w:type="paragraph" w:customStyle="1" w:styleId="156">
    <w:name w:val="Outline4"/>
    <w:basedOn w:val="1"/>
    <w:autoRedefine/>
    <w:qFormat/>
    <w:uiPriority w:val="0"/>
    <w:pPr>
      <w:tabs>
        <w:tab w:val="left" w:pos="2160"/>
      </w:tabs>
      <w:ind w:firstLine="567"/>
    </w:pPr>
    <w:rPr>
      <w:kern w:val="28"/>
    </w:rPr>
  </w:style>
  <w:style w:type="paragraph" w:customStyle="1" w:styleId="157">
    <w:name w:val="Outline i)"/>
    <w:basedOn w:val="1"/>
    <w:qFormat/>
    <w:uiPriority w:val="0"/>
    <w:pPr>
      <w:tabs>
        <w:tab w:val="left" w:pos="1782"/>
      </w:tabs>
      <w:spacing w:before="120"/>
      <w:ind w:left="1782" w:hanging="792"/>
      <w:jc w:val="left"/>
    </w:pPr>
  </w:style>
  <w:style w:type="paragraph" w:customStyle="1" w:styleId="158">
    <w:name w:val="Outline"/>
    <w:basedOn w:val="1"/>
    <w:qFormat/>
    <w:uiPriority w:val="0"/>
    <w:pPr>
      <w:spacing w:before="240"/>
      <w:jc w:val="left"/>
    </w:pPr>
    <w:rPr>
      <w:kern w:val="28"/>
    </w:rPr>
  </w:style>
  <w:style w:type="paragraph" w:customStyle="1" w:styleId="159">
    <w:name w:val="BankNormal"/>
    <w:basedOn w:val="1"/>
    <w:qFormat/>
    <w:uiPriority w:val="0"/>
    <w:pPr>
      <w:spacing w:after="240"/>
      <w:jc w:val="left"/>
    </w:pPr>
  </w:style>
  <w:style w:type="paragraph" w:customStyle="1" w:styleId="160">
    <w:name w:val="Section V. Header"/>
    <w:basedOn w:val="1"/>
    <w:qFormat/>
    <w:uiPriority w:val="99"/>
    <w:pPr>
      <w:jc w:val="center"/>
    </w:pPr>
    <w:rPr>
      <w:b/>
      <w:sz w:val="36"/>
    </w:rPr>
  </w:style>
  <w:style w:type="character" w:customStyle="1" w:styleId="161">
    <w:name w:val="Table"/>
    <w:qFormat/>
    <w:uiPriority w:val="0"/>
    <w:rPr>
      <w:rFonts w:ascii="Arial" w:hAnsi="Arial"/>
      <w:sz w:val="20"/>
    </w:rPr>
  </w:style>
  <w:style w:type="paragraph" w:customStyle="1" w:styleId="162">
    <w:name w:val="Section VII Header2"/>
    <w:basedOn w:val="2"/>
    <w:autoRedefine/>
    <w:qFormat/>
    <w:uiPriority w:val="0"/>
    <w:pPr>
      <w:keepNext/>
      <w:suppressAutoHyphens w:val="0"/>
      <w:spacing w:before="0" w:after="200"/>
    </w:pPr>
    <w:rPr>
      <w:rFonts w:ascii="Times New Roman" w:hAnsi="Times New Roman"/>
      <w:bCs/>
      <w:i/>
      <w:smallCaps w:val="0"/>
      <w:kern w:val="28"/>
      <w:sz w:val="20"/>
    </w:rPr>
  </w:style>
  <w:style w:type="paragraph" w:customStyle="1" w:styleId="163">
    <w:name w:val="ClauseSub_Para"/>
    <w:qFormat/>
    <w:uiPriority w:val="0"/>
    <w:pPr>
      <w:spacing w:before="60" w:after="60" w:line="240" w:lineRule="auto"/>
      <w:ind w:left="2268"/>
    </w:pPr>
    <w:rPr>
      <w:rFonts w:ascii="Times New Roman" w:hAnsi="Times New Roman" w:eastAsia="Times New Roman" w:cs="Times New Roman"/>
      <w:sz w:val="22"/>
      <w:szCs w:val="22"/>
      <w:lang w:val="en-GB" w:eastAsia="en-US" w:bidi="ar-SA"/>
    </w:rPr>
  </w:style>
  <w:style w:type="paragraph" w:customStyle="1" w:styleId="164">
    <w:name w:val="ClauseSub_List"/>
    <w:qFormat/>
    <w:uiPriority w:val="0"/>
    <w:pPr>
      <w:tabs>
        <w:tab w:val="left" w:pos="576"/>
      </w:tabs>
      <w:suppressAutoHyphens/>
      <w:spacing w:after="0" w:line="240" w:lineRule="auto"/>
      <w:ind w:left="576" w:hanging="576"/>
    </w:pPr>
    <w:rPr>
      <w:rFonts w:ascii="Times New Roman" w:hAnsi="Times New Roman" w:eastAsia="Times New Roman" w:cs="Times New Roman"/>
      <w:sz w:val="22"/>
      <w:szCs w:val="22"/>
      <w:lang w:val="en-GB" w:eastAsia="en-US" w:bidi="ar-SA"/>
    </w:rPr>
  </w:style>
  <w:style w:type="paragraph" w:customStyle="1" w:styleId="165">
    <w:name w:val="ClauseSub_List_SubList"/>
    <w:qFormat/>
    <w:uiPriority w:val="0"/>
    <w:pPr>
      <w:tabs>
        <w:tab w:val="left" w:pos="1800"/>
      </w:tabs>
      <w:spacing w:after="0" w:line="240" w:lineRule="auto"/>
      <w:ind w:left="1800" w:hanging="360"/>
    </w:pPr>
    <w:rPr>
      <w:rFonts w:ascii="Times New Roman" w:hAnsi="Times New Roman" w:eastAsia="Times New Roman" w:cs="Times New Roman"/>
      <w:sz w:val="22"/>
      <w:szCs w:val="22"/>
      <w:lang w:val="en-GB" w:eastAsia="en-US" w:bidi="ar-SA"/>
    </w:rPr>
  </w:style>
  <w:style w:type="paragraph" w:customStyle="1" w:styleId="166">
    <w:name w:val="ClauseSub_ParaIndent"/>
    <w:basedOn w:val="163"/>
    <w:qFormat/>
    <w:uiPriority w:val="0"/>
    <w:pPr>
      <w:ind w:left="2835"/>
    </w:pPr>
  </w:style>
  <w:style w:type="character" w:customStyle="1" w:styleId="167">
    <w:name w:val="Balloon Text Char"/>
    <w:basedOn w:val="11"/>
    <w:link w:val="13"/>
    <w:qFormat/>
    <w:uiPriority w:val="99"/>
    <w:rPr>
      <w:rFonts w:ascii="Tahoma" w:hAnsi="Tahoma" w:eastAsia="Times New Roman" w:cs="Times New Roman"/>
      <w:sz w:val="16"/>
      <w:szCs w:val="16"/>
    </w:rPr>
  </w:style>
  <w:style w:type="paragraph" w:customStyle="1" w:styleId="168">
    <w:name w:val="Section X Header 3"/>
    <w:basedOn w:val="2"/>
    <w:autoRedefine/>
    <w:qFormat/>
    <w:uiPriority w:val="0"/>
    <w:pPr>
      <w:keepNext/>
      <w:suppressAutoHyphens w:val="0"/>
      <w:spacing w:before="0" w:after="0"/>
    </w:pPr>
    <w:rPr>
      <w:rFonts w:ascii="Times New Roman" w:hAnsi="Times New Roman"/>
      <w:smallCaps w:val="0"/>
      <w:sz w:val="44"/>
    </w:rPr>
  </w:style>
  <w:style w:type="paragraph" w:customStyle="1" w:styleId="169">
    <w:name w:val="Part 1"/>
    <w:basedOn w:val="1"/>
    <w:autoRedefine/>
    <w:qFormat/>
    <w:uiPriority w:val="0"/>
    <w:pPr>
      <w:spacing w:before="240" w:after="240"/>
      <w:jc w:val="center"/>
    </w:pPr>
    <w:rPr>
      <w:b/>
      <w:sz w:val="48"/>
    </w:rPr>
  </w:style>
  <w:style w:type="character" w:customStyle="1" w:styleId="170">
    <w:name w:val="Comment Text Char"/>
    <w:basedOn w:val="11"/>
    <w:link w:val="23"/>
    <w:qFormat/>
    <w:uiPriority w:val="99"/>
    <w:rPr>
      <w:rFonts w:eastAsia="Times New Roman" w:cs="Times New Roman"/>
      <w:sz w:val="20"/>
      <w:szCs w:val="20"/>
      <w:lang w:val="en-US"/>
    </w:rPr>
  </w:style>
  <w:style w:type="character" w:customStyle="1" w:styleId="171">
    <w:name w:val="Body Text Indent 3 Char"/>
    <w:basedOn w:val="11"/>
    <w:link w:val="20"/>
    <w:qFormat/>
    <w:uiPriority w:val="0"/>
    <w:rPr>
      <w:rFonts w:eastAsia="Times New Roman" w:cs="Times New Roman"/>
      <w:b/>
      <w:sz w:val="24"/>
      <w:szCs w:val="20"/>
      <w:lang w:val="en-US"/>
    </w:rPr>
  </w:style>
  <w:style w:type="paragraph" w:customStyle="1" w:styleId="172">
    <w:name w:val="FIDIC__SectionBegin"/>
    <w:basedOn w:val="1"/>
    <w:next w:val="173"/>
    <w:qFormat/>
    <w:uiPriority w:val="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173">
    <w:name w:val="FIDIC__SectionName"/>
    <w:basedOn w:val="174"/>
    <w:next w:val="174"/>
    <w:qFormat/>
    <w:uiPriority w:val="0"/>
    <w:pPr>
      <w:spacing w:before="100" w:after="300"/>
    </w:pPr>
    <w:rPr>
      <w:sz w:val="30"/>
      <w:szCs w:val="30"/>
    </w:rPr>
  </w:style>
  <w:style w:type="paragraph" w:customStyle="1" w:styleId="174">
    <w:name w:val="FIDIC_ClauseSubName"/>
    <w:basedOn w:val="175"/>
    <w:qFormat/>
    <w:uiPriority w:val="0"/>
    <w:pPr>
      <w:spacing w:before="240" w:line="240" w:lineRule="exact"/>
    </w:pPr>
    <w:rPr>
      <w:sz w:val="24"/>
      <w:szCs w:val="24"/>
    </w:rPr>
  </w:style>
  <w:style w:type="paragraph" w:customStyle="1" w:styleId="175">
    <w:name w:val="FIDIC__CoverTitle"/>
    <w:basedOn w:val="1"/>
    <w:qFormat/>
    <w:uiPriority w:val="0"/>
    <w:pPr>
      <w:spacing w:after="240"/>
      <w:jc w:val="left"/>
    </w:pPr>
    <w:rPr>
      <w:rFonts w:ascii="Arial" w:hAnsi="Arial" w:cs="Arial"/>
      <w:color w:val="0000CC"/>
      <w:spacing w:val="-5"/>
      <w:sz w:val="40"/>
      <w:szCs w:val="40"/>
      <w:lang w:val="en-GB"/>
    </w:rPr>
  </w:style>
  <w:style w:type="paragraph" w:customStyle="1" w:styleId="176">
    <w:name w:val="FIDIC_ClauseName"/>
    <w:basedOn w:val="174"/>
    <w:next w:val="174"/>
    <w:qFormat/>
    <w:uiPriority w:val="0"/>
    <w:rPr>
      <w:sz w:val="28"/>
      <w:szCs w:val="28"/>
    </w:rPr>
  </w:style>
  <w:style w:type="paragraph" w:customStyle="1" w:styleId="177">
    <w:name w:val="FIDIC_ClauseSubSubPara"/>
    <w:basedOn w:val="174"/>
    <w:qFormat/>
    <w:uiPriority w:val="0"/>
    <w:pPr>
      <w:spacing w:before="100" w:after="100" w:line="220" w:lineRule="exact"/>
    </w:pPr>
    <w:rPr>
      <w:sz w:val="20"/>
      <w:szCs w:val="20"/>
      <w:lang w:val="en-US"/>
    </w:rPr>
  </w:style>
  <w:style w:type="paragraph" w:customStyle="1" w:styleId="178">
    <w:name w:val="FIDIC_ClauseSubSubName"/>
    <w:basedOn w:val="174"/>
    <w:next w:val="177"/>
    <w:qFormat/>
    <w:uiPriority w:val="0"/>
    <w:pPr>
      <w:spacing w:before="120" w:after="120"/>
    </w:pPr>
    <w:rPr>
      <w:rFonts w:ascii="Helvetica Neue" w:hAnsi="Helvetica Neue" w:cs="Times New Roman"/>
      <w:sz w:val="20"/>
      <w:szCs w:val="20"/>
      <w:lang w:val="en-US"/>
    </w:rPr>
  </w:style>
  <w:style w:type="paragraph" w:customStyle="1" w:styleId="179">
    <w:name w:val="FIDIC__SectionEnd"/>
    <w:basedOn w:val="1"/>
    <w:next w:val="173"/>
    <w:qFormat/>
    <w:uiPriority w:val="0"/>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180">
    <w:name w:val="sec7-SubClause"/>
    <w:basedOn w:val="151"/>
    <w:qFormat/>
    <w:uiPriority w:val="0"/>
    <w:pPr>
      <w:tabs>
        <w:tab w:val="left" w:pos="573"/>
      </w:tabs>
      <w:spacing w:after="0"/>
      <w:ind w:left="576" w:hanging="576"/>
    </w:pPr>
    <w:rPr>
      <w:bCs/>
      <w:szCs w:val="24"/>
      <w:lang w:val="en-US"/>
    </w:rPr>
  </w:style>
  <w:style w:type="paragraph" w:customStyle="1" w:styleId="181">
    <w:name w:val="Sec7-Clauses"/>
    <w:basedOn w:val="151"/>
    <w:qFormat/>
    <w:uiPriority w:val="0"/>
    <w:pPr>
      <w:spacing w:after="0"/>
    </w:pPr>
    <w:rPr>
      <w:bCs/>
      <w:szCs w:val="24"/>
    </w:rPr>
  </w:style>
  <w:style w:type="paragraph" w:customStyle="1" w:styleId="182">
    <w:name w:val="sec7-header1"/>
    <w:basedOn w:val="174"/>
    <w:qFormat/>
    <w:uiPriority w:val="0"/>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183">
    <w:name w:val="Section VI Header"/>
    <w:basedOn w:val="160"/>
    <w:qFormat/>
    <w:uiPriority w:val="0"/>
    <w:rPr>
      <w:lang w:val="en-US"/>
    </w:rPr>
  </w:style>
  <w:style w:type="paragraph" w:customStyle="1" w:styleId="184">
    <w:name w:val="Section IX Header"/>
    <w:basedOn w:val="160"/>
    <w:qFormat/>
    <w:uiPriority w:val="0"/>
    <w:rPr>
      <w:lang w:val="en-US"/>
    </w:rPr>
  </w:style>
  <w:style w:type="paragraph" w:customStyle="1" w:styleId="185">
    <w:name w:val="Parts"/>
    <w:basedOn w:val="2"/>
    <w:qFormat/>
    <w:uiPriority w:val="0"/>
    <w:rPr>
      <w:sz w:val="56"/>
    </w:rPr>
  </w:style>
  <w:style w:type="paragraph" w:customStyle="1" w:styleId="186">
    <w:name w:val="Style Header 1 - Clauses + Left:  0&quot; Hanging:  0.3&quot; After:  0 pt"/>
    <w:basedOn w:val="151"/>
    <w:qFormat/>
    <w:uiPriority w:val="0"/>
    <w:pPr>
      <w:tabs>
        <w:tab w:val="left" w:pos="342"/>
      </w:tabs>
      <w:spacing w:after="0"/>
      <w:ind w:left="342" w:hanging="360"/>
    </w:pPr>
    <w:rPr>
      <w:bCs/>
    </w:rPr>
  </w:style>
  <w:style w:type="paragraph" w:customStyle="1" w:styleId="187">
    <w:name w:val="Style Header 2 - SubClauses + Bold"/>
    <w:basedOn w:val="152"/>
    <w:link w:val="188"/>
    <w:autoRedefine/>
    <w:qFormat/>
    <w:uiPriority w:val="0"/>
    <w:rPr>
      <w:b/>
      <w:bCs/>
    </w:rPr>
  </w:style>
  <w:style w:type="character" w:customStyle="1" w:styleId="188">
    <w:name w:val="Style Header 2 - SubClauses + Bold Char"/>
    <w:link w:val="187"/>
    <w:qFormat/>
    <w:uiPriority w:val="0"/>
    <w:rPr>
      <w:rFonts w:eastAsia="Times New Roman" w:cs="Times New Roman"/>
      <w:b/>
      <w:bCs/>
      <w:sz w:val="24"/>
      <w:szCs w:val="20"/>
    </w:rPr>
  </w:style>
  <w:style w:type="paragraph" w:customStyle="1" w:styleId="189">
    <w:name w:val="Style Header 1 - Clauses + After:  0 pt"/>
    <w:basedOn w:val="151"/>
    <w:qFormat/>
    <w:uiPriority w:val="0"/>
    <w:pPr>
      <w:jc w:val="both"/>
    </w:pPr>
    <w:rPr>
      <w:b w:val="0"/>
      <w:bCs/>
    </w:rPr>
  </w:style>
  <w:style w:type="paragraph" w:customStyle="1" w:styleId="190">
    <w:name w:val="Style Style Header 1 - Clauses + After:  0 pt + Left:  0&quot; Hanging:..."/>
    <w:basedOn w:val="189"/>
    <w:qFormat/>
    <w:uiPriority w:val="0"/>
    <w:pPr>
      <w:tabs>
        <w:tab w:val="left" w:pos="576"/>
      </w:tabs>
      <w:ind w:left="576" w:hanging="576"/>
    </w:pPr>
    <w:rPr>
      <w:bCs w:val="0"/>
    </w:rPr>
  </w:style>
  <w:style w:type="paragraph" w:customStyle="1" w:styleId="191">
    <w:name w:val="Style Style Header 1 - Clauses + After:  0 pt + Left:  0&quot; Hanging:...1"/>
    <w:basedOn w:val="189"/>
    <w:autoRedefine/>
    <w:qFormat/>
    <w:uiPriority w:val="0"/>
    <w:pPr>
      <w:tabs>
        <w:tab w:val="left" w:pos="576"/>
      </w:tabs>
      <w:spacing w:after="240"/>
      <w:ind w:left="576" w:hanging="576"/>
    </w:pPr>
    <w:rPr>
      <w:bCs w:val="0"/>
    </w:rPr>
  </w:style>
  <w:style w:type="paragraph" w:customStyle="1" w:styleId="192">
    <w:name w:val="Style P3 Header1-Clauses + After:  12 pt"/>
    <w:basedOn w:val="154"/>
    <w:qFormat/>
    <w:uiPriority w:val="0"/>
    <w:pPr>
      <w:tabs>
        <w:tab w:val="left" w:pos="1008"/>
        <w:tab w:val="clear" w:pos="864"/>
      </w:tabs>
      <w:spacing w:after="240"/>
      <w:ind w:left="1008"/>
    </w:pPr>
  </w:style>
  <w:style w:type="paragraph" w:customStyle="1" w:styleId="193">
    <w:name w:val="Style Heading 4Sub-Clause Sub-paragraphClauseSubSub_No&amp;Name + Aft..."/>
    <w:basedOn w:val="5"/>
    <w:qFormat/>
    <w:uiPriority w:val="0"/>
    <w:pPr>
      <w:tabs>
        <w:tab w:val="left" w:pos="1512"/>
      </w:tabs>
      <w:spacing w:after="180"/>
      <w:ind w:left="1512" w:hanging="540"/>
    </w:pPr>
  </w:style>
  <w:style w:type="paragraph" w:customStyle="1" w:styleId="194">
    <w:name w:val="Section 7 heading 3"/>
    <w:basedOn w:val="4"/>
    <w:qFormat/>
    <w:uiPriority w:val="0"/>
  </w:style>
  <w:style w:type="paragraph" w:customStyle="1" w:styleId="195">
    <w:name w:val="Section 7 heading 4"/>
    <w:basedOn w:val="4"/>
    <w:link w:val="196"/>
    <w:qFormat/>
    <w:uiPriority w:val="0"/>
    <w:pPr>
      <w:tabs>
        <w:tab w:val="left" w:pos="576"/>
      </w:tabs>
      <w:ind w:left="576" w:hanging="576"/>
      <w:jc w:val="left"/>
    </w:pPr>
    <w:rPr>
      <w:sz w:val="24"/>
    </w:rPr>
  </w:style>
  <w:style w:type="character" w:customStyle="1" w:styleId="196">
    <w:name w:val="Section 7 heading 4 Char"/>
    <w:link w:val="195"/>
    <w:qFormat/>
    <w:uiPriority w:val="0"/>
    <w:rPr>
      <w:rFonts w:eastAsia="Times New Roman" w:cs="Times New Roman"/>
      <w:b/>
      <w:sz w:val="24"/>
      <w:szCs w:val="20"/>
      <w:lang w:val="en-US"/>
    </w:rPr>
  </w:style>
  <w:style w:type="paragraph" w:customStyle="1" w:styleId="197">
    <w:name w:val="Section 7 heading 5"/>
    <w:basedOn w:val="4"/>
    <w:qFormat/>
    <w:uiPriority w:val="0"/>
    <w:pPr>
      <w:jc w:val="both"/>
    </w:pPr>
    <w:rPr>
      <w:sz w:val="24"/>
    </w:rPr>
  </w:style>
  <w:style w:type="paragraph" w:customStyle="1" w:styleId="198">
    <w:name w:val="Style Section 7 heading 3 + After:  10 pt"/>
    <w:basedOn w:val="194"/>
    <w:qFormat/>
    <w:uiPriority w:val="0"/>
    <w:pPr>
      <w:spacing w:after="200"/>
    </w:pPr>
    <w:rPr>
      <w:rFonts w:ascii="Times New Roman Bold" w:hAnsi="Times New Roman Bold"/>
      <w:bCs/>
      <w:szCs w:val="28"/>
    </w:rPr>
  </w:style>
  <w:style w:type="paragraph" w:customStyle="1" w:styleId="199">
    <w:name w:val="Style TOC 1 + Before:  8 pt"/>
    <w:basedOn w:val="64"/>
    <w:qFormat/>
    <w:uiPriority w:val="0"/>
    <w:pPr>
      <w:tabs>
        <w:tab w:val="right" w:pos="720"/>
        <w:tab w:val="right" w:leader="dot" w:pos="9000"/>
        <w:tab w:val="clear" w:pos="9062"/>
      </w:tabs>
      <w:suppressAutoHyphens/>
      <w:spacing w:before="160" w:after="0"/>
      <w:ind w:left="720" w:right="720" w:hanging="720"/>
    </w:pPr>
    <w:rPr>
      <w:rFonts w:eastAsia="Times New Roman"/>
      <w:b w:val="0"/>
      <w:iCs w:val="0"/>
      <w:kern w:val="0"/>
      <w:szCs w:val="20"/>
    </w:rPr>
  </w:style>
  <w:style w:type="paragraph" w:customStyle="1" w:styleId="200">
    <w:name w:val="Style ClauseSub_List + 12 pt Justified After:  10 pt"/>
    <w:basedOn w:val="164"/>
    <w:qFormat/>
    <w:uiPriority w:val="0"/>
    <w:pPr>
      <w:spacing w:after="200"/>
      <w:jc w:val="both"/>
    </w:pPr>
    <w:rPr>
      <w:sz w:val="24"/>
      <w:szCs w:val="24"/>
    </w:rPr>
  </w:style>
  <w:style w:type="paragraph" w:customStyle="1" w:styleId="201">
    <w:name w:val="UG - Sec 3 - Heading 2"/>
    <w:basedOn w:val="202"/>
    <w:qFormat/>
    <w:uiPriority w:val="0"/>
  </w:style>
  <w:style w:type="paragraph" w:customStyle="1" w:styleId="202">
    <w:name w:val="UG - Heading 2"/>
    <w:basedOn w:val="3"/>
    <w:next w:val="1"/>
    <w:qFormat/>
    <w:uiPriority w:val="0"/>
    <w:pPr>
      <w:pBdr>
        <w:bottom w:val="none" w:color="auto" w:sz="0" w:space="0"/>
      </w:pBdr>
    </w:pPr>
    <w:rPr>
      <w:sz w:val="32"/>
      <w:szCs w:val="28"/>
    </w:rPr>
  </w:style>
  <w:style w:type="paragraph" w:customStyle="1" w:styleId="203">
    <w:name w:val="titulo"/>
    <w:basedOn w:val="6"/>
    <w:qFormat/>
    <w:uiPriority w:val="0"/>
    <w:pPr>
      <w:keepNext w:val="0"/>
      <w:spacing w:after="240"/>
    </w:pPr>
    <w:rPr>
      <w:rFonts w:ascii="Times New Roman Bold" w:hAnsi="Times New Roman Bold"/>
      <w:b/>
      <w:u w:val="none"/>
    </w:rPr>
  </w:style>
  <w:style w:type="paragraph" w:customStyle="1" w:styleId="204">
    <w:name w:val="Default Paragraph Font1"/>
    <w:next w:val="1"/>
    <w:qFormat/>
    <w:uiPriority w:val="0"/>
    <w:pPr>
      <w:tabs>
        <w:tab w:val="left" w:pos="567"/>
      </w:tabs>
      <w:spacing w:after="0" w:line="240" w:lineRule="auto"/>
    </w:pPr>
    <w:rPr>
      <w:rFonts w:ascii="‚l‚r –¾’©" w:hAnsi="‚l‚r –¾’©" w:eastAsia="Times New Roman" w:cs="‚l‚r –¾’©"/>
      <w:sz w:val="21"/>
      <w:szCs w:val="20"/>
      <w:lang w:val="en-GB" w:eastAsia="en-GB" w:bidi="ar-SA"/>
    </w:rPr>
  </w:style>
  <w:style w:type="paragraph" w:customStyle="1" w:styleId="205">
    <w:name w:val="Title1"/>
    <w:basedOn w:val="1"/>
    <w:qFormat/>
    <w:uiPriority w:val="0"/>
    <w:pPr>
      <w:suppressAutoHyphens/>
      <w:jc w:val="left"/>
    </w:pPr>
    <w:rPr>
      <w:rFonts w:ascii="Times New Roman Bold" w:hAnsi="Times New Roman Bold"/>
      <w:b/>
      <w:sz w:val="36"/>
    </w:rPr>
  </w:style>
  <w:style w:type="character" w:customStyle="1" w:styleId="206">
    <w:name w:val="Comment Subject Char"/>
    <w:basedOn w:val="170"/>
    <w:link w:val="24"/>
    <w:qFormat/>
    <w:uiPriority w:val="99"/>
    <w:rPr>
      <w:rFonts w:eastAsia="Times New Roman" w:cs="Times New Roman"/>
      <w:b/>
      <w:bCs/>
      <w:sz w:val="20"/>
      <w:szCs w:val="20"/>
      <w:lang w:val="en-US"/>
    </w:rPr>
  </w:style>
  <w:style w:type="paragraph" w:customStyle="1" w:styleId="207">
    <w:name w:val="Style Section 7 heading 5 + Left Left:  0&quot; Hanging:  0.49&quot;"/>
    <w:basedOn w:val="197"/>
    <w:qFormat/>
    <w:uiPriority w:val="0"/>
    <w:pPr>
      <w:ind w:left="706" w:hanging="706"/>
      <w:jc w:val="left"/>
    </w:pPr>
    <w:rPr>
      <w:bCs/>
    </w:rPr>
  </w:style>
  <w:style w:type="paragraph" w:customStyle="1" w:styleId="208">
    <w:name w:val="Block Quotation"/>
    <w:basedOn w:val="1"/>
    <w:qFormat/>
    <w:uiPriority w:val="0"/>
    <w:pPr>
      <w:ind w:left="855" w:right="-72" w:hanging="315"/>
    </w:pPr>
    <w:rPr>
      <w:lang w:val="en-GB" w:eastAsia="fr-FR"/>
    </w:rPr>
  </w:style>
  <w:style w:type="paragraph" w:customStyle="1" w:styleId="209">
    <w:name w:val="Header 3 - Paragraph"/>
    <w:basedOn w:val="1"/>
    <w:qFormat/>
    <w:uiPriority w:val="0"/>
    <w:pPr>
      <w:tabs>
        <w:tab w:val="left" w:pos="864"/>
        <w:tab w:val="left" w:pos="1152"/>
      </w:tabs>
      <w:spacing w:after="200"/>
      <w:ind w:left="1238" w:hanging="619"/>
    </w:pPr>
    <w:rPr>
      <w:lang w:eastAsia="fr-FR"/>
    </w:rPr>
  </w:style>
  <w:style w:type="paragraph" w:customStyle="1" w:styleId="210">
    <w:name w:val="outlinebullet"/>
    <w:basedOn w:val="1"/>
    <w:qFormat/>
    <w:uiPriority w:val="0"/>
    <w:pPr>
      <w:tabs>
        <w:tab w:val="left" w:pos="720"/>
        <w:tab w:val="left" w:pos="1037"/>
        <w:tab w:val="left" w:pos="1440"/>
      </w:tabs>
      <w:spacing w:before="120"/>
      <w:ind w:left="1440" w:hanging="450"/>
      <w:jc w:val="left"/>
    </w:pPr>
    <w:rPr>
      <w:lang w:eastAsia="fr-FR"/>
    </w:rPr>
  </w:style>
  <w:style w:type="paragraph" w:customStyle="1" w:styleId="211">
    <w:name w:val="Outline1"/>
    <w:basedOn w:val="158"/>
    <w:next w:val="212"/>
    <w:qFormat/>
    <w:uiPriority w:val="0"/>
    <w:pPr>
      <w:keepNext/>
      <w:tabs>
        <w:tab w:val="left" w:pos="360"/>
        <w:tab w:val="left" w:pos="420"/>
      </w:tabs>
      <w:ind w:left="360" w:hanging="360"/>
    </w:pPr>
    <w:rPr>
      <w:lang w:eastAsia="fr-FR"/>
    </w:rPr>
  </w:style>
  <w:style w:type="paragraph" w:customStyle="1" w:styleId="212">
    <w:name w:val="Outline2"/>
    <w:basedOn w:val="1"/>
    <w:qFormat/>
    <w:uiPriority w:val="0"/>
    <w:pPr>
      <w:tabs>
        <w:tab w:val="left" w:pos="360"/>
        <w:tab w:val="left" w:pos="420"/>
        <w:tab w:val="left" w:pos="864"/>
      </w:tabs>
      <w:spacing w:before="240"/>
      <w:ind w:left="864" w:hanging="504"/>
      <w:jc w:val="left"/>
    </w:pPr>
    <w:rPr>
      <w:kern w:val="28"/>
      <w:lang w:eastAsia="fr-FR"/>
    </w:rPr>
  </w:style>
  <w:style w:type="paragraph" w:customStyle="1" w:styleId="213">
    <w:name w:val="a1 1"/>
    <w:qFormat/>
    <w:uiPriority w:val="0"/>
    <w:pPr>
      <w:widowControl w:val="0"/>
      <w:tabs>
        <w:tab w:val="left" w:pos="-720"/>
      </w:tabs>
      <w:suppressAutoHyphens/>
      <w:spacing w:after="0" w:line="240" w:lineRule="auto"/>
    </w:pPr>
    <w:rPr>
      <w:rFonts w:ascii="CG Times" w:hAnsi="CG Times" w:eastAsia="Times New Roman" w:cs="Times New Roman"/>
      <w:sz w:val="24"/>
      <w:szCs w:val="20"/>
      <w:lang w:val="en-US" w:eastAsia="en-US" w:bidi="ar-SA"/>
    </w:rPr>
  </w:style>
  <w:style w:type="paragraph" w:customStyle="1" w:styleId="214">
    <w:name w:val="REGULAR 3"/>
    <w:qFormat/>
    <w:uiPriority w:val="0"/>
    <w:pPr>
      <w:widowControl w:val="0"/>
      <w:tabs>
        <w:tab w:val="left" w:pos="0"/>
        <w:tab w:val="right" w:pos="1560"/>
        <w:tab w:val="left" w:pos="1800"/>
        <w:tab w:val="left" w:pos="2160"/>
      </w:tabs>
      <w:suppressAutoHyphens/>
      <w:spacing w:after="0" w:line="240" w:lineRule="auto"/>
    </w:pPr>
    <w:rPr>
      <w:rFonts w:ascii="CG Times" w:hAnsi="CG Times" w:eastAsia="Times New Roman" w:cs="Times New Roman"/>
      <w:sz w:val="24"/>
      <w:szCs w:val="20"/>
      <w:lang w:val="en-US" w:eastAsia="en-US" w:bidi="ar-SA"/>
    </w:rPr>
  </w:style>
  <w:style w:type="character" w:customStyle="1" w:styleId="215">
    <w:name w:val="Heading 3 Char Char"/>
    <w:qFormat/>
    <w:uiPriority w:val="0"/>
    <w:rPr>
      <w:sz w:val="24"/>
      <w:lang w:val="en-US" w:eastAsia="fr-FR" w:bidi="ar-SA"/>
    </w:rPr>
  </w:style>
  <w:style w:type="paragraph" w:customStyle="1" w:styleId="216">
    <w:name w:val="UG Header 1"/>
    <w:basedOn w:val="2"/>
    <w:next w:val="1"/>
    <w:uiPriority w:val="0"/>
    <w:pPr>
      <w:spacing w:before="240"/>
    </w:pPr>
    <w:rPr>
      <w:smallCaps w:val="0"/>
    </w:rPr>
  </w:style>
  <w:style w:type="paragraph" w:customStyle="1" w:styleId="217">
    <w:name w:val="UG - Sec 3 - Heading 3"/>
    <w:basedOn w:val="1"/>
    <w:uiPriority w:val="0"/>
    <w:pPr>
      <w:autoSpaceDE w:val="0"/>
      <w:autoSpaceDN w:val="0"/>
      <w:adjustRightInd w:val="0"/>
      <w:spacing w:after="200"/>
      <w:jc w:val="left"/>
    </w:pPr>
    <w:rPr>
      <w:rFonts w:cs="Arial-BoldMT"/>
      <w:b/>
      <w:bCs/>
      <w:color w:val="000000"/>
    </w:rPr>
  </w:style>
  <w:style w:type="paragraph" w:customStyle="1" w:styleId="218">
    <w:name w:val="UG - Sec 3b - Heading 2"/>
    <w:basedOn w:val="201"/>
    <w:uiPriority w:val="0"/>
  </w:style>
  <w:style w:type="paragraph" w:customStyle="1" w:styleId="219">
    <w:name w:val="UG - Sec 3b - Heading 3"/>
    <w:basedOn w:val="217"/>
    <w:uiPriority w:val="0"/>
  </w:style>
  <w:style w:type="paragraph" w:customStyle="1" w:styleId="220">
    <w:name w:val="UG - Sec 3b - Heading 4"/>
    <w:basedOn w:val="1"/>
    <w:uiPriority w:val="0"/>
    <w:pPr>
      <w:autoSpaceDE w:val="0"/>
      <w:autoSpaceDN w:val="0"/>
      <w:adjustRightInd w:val="0"/>
      <w:spacing w:before="120" w:after="200"/>
      <w:ind w:left="720" w:hanging="720"/>
    </w:pPr>
    <w:rPr>
      <w:rFonts w:cs="Arial-BoldMT"/>
      <w:bCs/>
      <w:color w:val="000000"/>
    </w:rPr>
  </w:style>
  <w:style w:type="paragraph" w:customStyle="1" w:styleId="221">
    <w:name w:val="S4-header1"/>
    <w:basedOn w:val="1"/>
    <w:uiPriority w:val="0"/>
    <w:pPr>
      <w:spacing w:before="120" w:after="240"/>
      <w:jc w:val="center"/>
    </w:pPr>
    <w:rPr>
      <w:b/>
      <w:sz w:val="36"/>
    </w:rPr>
  </w:style>
  <w:style w:type="paragraph" w:customStyle="1" w:styleId="222">
    <w:name w:val="Section V. Heading 2"/>
    <w:basedOn w:val="160"/>
    <w:uiPriority w:val="0"/>
    <w:pPr>
      <w:spacing w:before="120" w:after="200"/>
    </w:pPr>
    <w:rPr>
      <w:sz w:val="28"/>
    </w:rPr>
  </w:style>
  <w:style w:type="paragraph" w:customStyle="1" w:styleId="223">
    <w:name w:val="UG-Sec 4 - heading 3"/>
    <w:basedOn w:val="1"/>
    <w:uiPriority w:val="0"/>
    <w:pPr>
      <w:spacing w:before="120" w:after="200"/>
      <w:jc w:val="center"/>
    </w:pPr>
    <w:rPr>
      <w:b/>
      <w:sz w:val="28"/>
      <w:szCs w:val="28"/>
    </w:rPr>
  </w:style>
  <w:style w:type="paragraph" w:customStyle="1" w:styleId="224">
    <w:name w:val="Section 1 Header 2"/>
    <w:basedOn w:val="186"/>
    <w:uiPriority w:val="0"/>
    <w:rPr>
      <w:lang w:val="en-US"/>
    </w:rPr>
  </w:style>
  <w:style w:type="paragraph" w:customStyle="1" w:styleId="225">
    <w:name w:val="Section 1 Header 1"/>
    <w:basedOn w:val="16"/>
    <w:uiPriority w:val="0"/>
    <w:pPr>
      <w:spacing w:before="120" w:after="200"/>
      <w:jc w:val="center"/>
    </w:pPr>
    <w:rPr>
      <w:b/>
      <w:bCs/>
      <w:i w:val="0"/>
      <w:iCs/>
      <w:sz w:val="28"/>
    </w:rPr>
  </w:style>
  <w:style w:type="paragraph" w:customStyle="1" w:styleId="226">
    <w:name w:val="Section 4 heading"/>
    <w:basedOn w:val="1"/>
    <w:next w:val="1"/>
    <w:uiPriority w:val="0"/>
    <w:pPr>
      <w:widowControl w:val="0"/>
      <w:tabs>
        <w:tab w:val="left" w:leader="dot" w:pos="8748"/>
      </w:tabs>
      <w:autoSpaceDE w:val="0"/>
      <w:autoSpaceDN w:val="0"/>
      <w:spacing w:after="240"/>
      <w:jc w:val="center"/>
    </w:pPr>
    <w:rPr>
      <w:b/>
      <w:sz w:val="36"/>
      <w:szCs w:val="24"/>
    </w:rPr>
  </w:style>
  <w:style w:type="paragraph" w:customStyle="1" w:styleId="227">
    <w:name w:val="Style 11"/>
    <w:basedOn w:val="1"/>
    <w:uiPriority w:val="0"/>
    <w:pPr>
      <w:widowControl w:val="0"/>
      <w:autoSpaceDE w:val="0"/>
      <w:autoSpaceDN w:val="0"/>
      <w:spacing w:line="384" w:lineRule="atLeast"/>
      <w:jc w:val="left"/>
    </w:pPr>
    <w:rPr>
      <w:szCs w:val="24"/>
    </w:rPr>
  </w:style>
  <w:style w:type="paragraph" w:customStyle="1" w:styleId="228">
    <w:name w:val="Sec3 header"/>
    <w:basedOn w:val="227"/>
    <w:uiPriority w:val="0"/>
    <w:pPr>
      <w:tabs>
        <w:tab w:val="left" w:leader="dot" w:pos="8424"/>
      </w:tabs>
      <w:spacing w:before="80" w:line="240" w:lineRule="auto"/>
    </w:pPr>
    <w:rPr>
      <w:rFonts w:ascii="Arial" w:hAnsi="Arial" w:cs="Arial"/>
      <w:b/>
      <w:sz w:val="22"/>
      <w:szCs w:val="20"/>
    </w:rPr>
  </w:style>
  <w:style w:type="paragraph" w:customStyle="1" w:styleId="229">
    <w:name w:val="Style 19"/>
    <w:basedOn w:val="1"/>
    <w:uiPriority w:val="0"/>
    <w:pPr>
      <w:widowControl w:val="0"/>
      <w:autoSpaceDE w:val="0"/>
      <w:autoSpaceDN w:val="0"/>
      <w:adjustRightInd w:val="0"/>
      <w:jc w:val="left"/>
    </w:pPr>
    <w:rPr>
      <w:szCs w:val="24"/>
    </w:rPr>
  </w:style>
  <w:style w:type="paragraph" w:customStyle="1" w:styleId="230">
    <w:name w:val="Style 17"/>
    <w:basedOn w:val="1"/>
    <w:uiPriority w:val="0"/>
    <w:pPr>
      <w:widowControl w:val="0"/>
      <w:autoSpaceDE w:val="0"/>
      <w:autoSpaceDN w:val="0"/>
      <w:spacing w:line="264" w:lineRule="exact"/>
      <w:ind w:left="576" w:hanging="360"/>
      <w:jc w:val="left"/>
    </w:pPr>
    <w:rPr>
      <w:szCs w:val="24"/>
    </w:rPr>
  </w:style>
  <w:style w:type="paragraph" w:customStyle="1" w:styleId="231">
    <w:name w:val="Style 20"/>
    <w:basedOn w:val="1"/>
    <w:uiPriority w:val="0"/>
    <w:pPr>
      <w:widowControl w:val="0"/>
      <w:autoSpaceDE w:val="0"/>
      <w:autoSpaceDN w:val="0"/>
      <w:spacing w:before="144" w:after="360" w:line="264" w:lineRule="exact"/>
      <w:jc w:val="left"/>
    </w:pPr>
    <w:rPr>
      <w:szCs w:val="24"/>
    </w:rPr>
  </w:style>
  <w:style w:type="paragraph" w:customStyle="1" w:styleId="232">
    <w:name w:val="Header1"/>
    <w:basedOn w:val="1"/>
    <w:uiPriority w:val="0"/>
    <w:pPr>
      <w:widowControl w:val="0"/>
      <w:autoSpaceDE w:val="0"/>
      <w:autoSpaceDN w:val="0"/>
      <w:spacing w:before="240" w:after="480"/>
      <w:jc w:val="center"/>
    </w:pPr>
    <w:rPr>
      <w:b/>
      <w:bCs/>
      <w:spacing w:val="4"/>
      <w:sz w:val="44"/>
      <w:szCs w:val="46"/>
    </w:rPr>
  </w:style>
  <w:style w:type="paragraph" w:customStyle="1" w:styleId="233">
    <w:name w:val="Defaul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paragraph" w:customStyle="1" w:styleId="234">
    <w:name w:val="Head1"/>
    <w:basedOn w:val="1"/>
    <w:uiPriority w:val="0"/>
    <w:pPr>
      <w:suppressAutoHyphens/>
      <w:spacing w:after="100"/>
      <w:jc w:val="center"/>
    </w:pPr>
    <w:rPr>
      <w:rFonts w:ascii="Times New Roman Bold" w:hAnsi="Times New Roman Bold"/>
      <w:b/>
    </w:rPr>
  </w:style>
  <w:style w:type="paragraph" w:customStyle="1" w:styleId="235">
    <w:name w:val="Style 12"/>
    <w:basedOn w:val="1"/>
    <w:uiPriority w:val="0"/>
    <w:pPr>
      <w:widowControl w:val="0"/>
      <w:autoSpaceDE w:val="0"/>
      <w:autoSpaceDN w:val="0"/>
      <w:spacing w:line="264" w:lineRule="exact"/>
      <w:ind w:hanging="576"/>
    </w:pPr>
    <w:rPr>
      <w:szCs w:val="24"/>
    </w:rPr>
  </w:style>
  <w:style w:type="paragraph" w:customStyle="1" w:styleId="236">
    <w:name w:val="Text Box"/>
    <w:uiPriority w:val="0"/>
    <w:pPr>
      <w:keepNext/>
      <w:keepLines/>
      <w:tabs>
        <w:tab w:val="left" w:pos="-720"/>
      </w:tabs>
      <w:suppressAutoHyphens/>
      <w:spacing w:after="0" w:line="240" w:lineRule="auto"/>
      <w:jc w:val="both"/>
    </w:pPr>
    <w:rPr>
      <w:rFonts w:ascii="Times New Roman" w:hAnsi="Times New Roman" w:eastAsia="Times New Roman" w:cs="Times New Roman"/>
      <w:spacing w:val="-2"/>
      <w:sz w:val="22"/>
      <w:szCs w:val="20"/>
      <w:lang w:val="en-US" w:eastAsia="en-US" w:bidi="ar-SA"/>
    </w:rPr>
  </w:style>
  <w:style w:type="paragraph" w:customStyle="1" w:styleId="237">
    <w:name w:val="Sub-Clause Text"/>
    <w:basedOn w:val="1"/>
    <w:uiPriority w:val="0"/>
    <w:pPr>
      <w:spacing w:before="120" w:after="120"/>
    </w:pPr>
    <w:rPr>
      <w:spacing w:val="-4"/>
    </w:rPr>
  </w:style>
  <w:style w:type="paragraph" w:customStyle="1" w:styleId="238">
    <w:name w:val="Heading 1- Clause name"/>
    <w:basedOn w:val="1"/>
    <w:uiPriority w:val="0"/>
    <w:pPr>
      <w:tabs>
        <w:tab w:val="left" w:pos="360"/>
      </w:tabs>
      <w:spacing w:before="120" w:after="120"/>
      <w:ind w:left="360" w:hanging="360"/>
      <w:jc w:val="left"/>
    </w:pPr>
    <w:rPr>
      <w:b/>
    </w:rPr>
  </w:style>
  <w:style w:type="paragraph" w:customStyle="1" w:styleId="239">
    <w:name w:val="sec7-clauses"/>
    <w:basedOn w:val="238"/>
    <w:uiPriority w:val="0"/>
  </w:style>
  <w:style w:type="paragraph" w:customStyle="1" w:styleId="240">
    <w:name w:val="Sec1-Clauses"/>
    <w:basedOn w:val="238"/>
    <w:uiPriority w:val="0"/>
  </w:style>
  <w:style w:type="paragraph" w:customStyle="1" w:styleId="241">
    <w:name w:val="Section VI. Header"/>
    <w:basedOn w:val="160"/>
    <w:uiPriority w:val="0"/>
    <w:pPr>
      <w:spacing w:before="120" w:after="240"/>
    </w:pPr>
    <w:rPr>
      <w:lang w:val="en-US"/>
    </w:rPr>
  </w:style>
  <w:style w:type="character" w:customStyle="1" w:styleId="242">
    <w:name w:val="Document Map Char"/>
    <w:basedOn w:val="11"/>
    <w:link w:val="25"/>
    <w:uiPriority w:val="0"/>
    <w:rPr>
      <w:rFonts w:ascii="Tahoma" w:hAnsi="Tahoma" w:eastAsia="Times New Roman" w:cs="Times New Roman"/>
      <w:sz w:val="24"/>
      <w:szCs w:val="20"/>
      <w:shd w:val="clear" w:color="auto" w:fill="000080"/>
      <w:lang w:val="en-US"/>
    </w:rPr>
  </w:style>
  <w:style w:type="paragraph" w:customStyle="1" w:styleId="243">
    <w:name w:val="Head 1.2"/>
    <w:basedOn w:val="1"/>
    <w:uiPriority w:val="0"/>
    <w:pPr>
      <w:tabs>
        <w:tab w:val="left" w:pos="360"/>
      </w:tabs>
      <w:ind w:left="360" w:hanging="360"/>
    </w:pPr>
    <w:rPr>
      <w:rFonts w:ascii="Arial" w:hAnsi="Arial"/>
      <w:sz w:val="20"/>
    </w:rPr>
  </w:style>
  <w:style w:type="paragraph" w:customStyle="1" w:styleId="244">
    <w:name w:val="ChapterNumber"/>
    <w:uiPriority w:val="0"/>
    <w:pPr>
      <w:tabs>
        <w:tab w:val="left" w:pos="-720"/>
      </w:tabs>
      <w:suppressAutoHyphens/>
      <w:spacing w:after="0" w:line="240" w:lineRule="auto"/>
    </w:pPr>
    <w:rPr>
      <w:rFonts w:ascii="CG Times" w:hAnsi="CG Times" w:eastAsia="Times New Roman" w:cs="Times New Roman"/>
      <w:sz w:val="22"/>
      <w:szCs w:val="20"/>
      <w:lang w:val="en-US" w:eastAsia="en-US" w:bidi="ar-SA"/>
    </w:rPr>
  </w:style>
  <w:style w:type="paragraph" w:customStyle="1" w:styleId="245">
    <w:name w:val="Heading 1a"/>
    <w:uiPriority w:val="0"/>
    <w:pPr>
      <w:keepNext/>
      <w:keepLines/>
      <w:tabs>
        <w:tab w:val="left" w:pos="-720"/>
      </w:tabs>
      <w:suppressAutoHyphens/>
      <w:spacing w:after="0" w:line="240" w:lineRule="auto"/>
      <w:jc w:val="center"/>
    </w:pPr>
    <w:rPr>
      <w:rFonts w:ascii="Times New Roman" w:hAnsi="Times New Roman" w:eastAsia="Times New Roman" w:cs="Times New Roman"/>
      <w:b/>
      <w:smallCaps/>
      <w:sz w:val="32"/>
      <w:szCs w:val="20"/>
      <w:lang w:val="en-US" w:eastAsia="en-US" w:bidi="ar-SA"/>
    </w:rPr>
  </w:style>
  <w:style w:type="paragraph" w:customStyle="1" w:styleId="246">
    <w:name w:val="Section III Heading 1"/>
    <w:qFormat/>
    <w:uiPriority w:val="0"/>
    <w:pPr>
      <w:spacing w:before="120" w:after="240" w:line="240" w:lineRule="auto"/>
    </w:pPr>
    <w:rPr>
      <w:rFonts w:ascii="Times New Roman" w:hAnsi="Times New Roman" w:eastAsia="Times New Roman" w:cs="Times New Roman"/>
      <w:b/>
      <w:sz w:val="24"/>
      <w:szCs w:val="20"/>
      <w:lang w:val="en-US" w:eastAsia="en-US" w:bidi="ar-SA"/>
    </w:rPr>
  </w:style>
  <w:style w:type="character" w:customStyle="1" w:styleId="247">
    <w:name w:val="Heading 1 Char1"/>
    <w:uiPriority w:val="0"/>
    <w:rPr>
      <w:rFonts w:ascii="Cambria" w:hAnsi="Cambria" w:eastAsia="Times New Roman" w:cs="Times New Roman"/>
      <w:b/>
      <w:bCs/>
      <w:color w:val="365F91"/>
      <w:sz w:val="28"/>
      <w:szCs w:val="28"/>
    </w:rPr>
  </w:style>
  <w:style w:type="character" w:customStyle="1" w:styleId="248">
    <w:name w:val="st"/>
    <w:basedOn w:val="11"/>
    <w:uiPriority w:val="0"/>
  </w:style>
  <w:style w:type="paragraph" w:customStyle="1" w:styleId="249">
    <w:name w:val="plane"/>
    <w:basedOn w:val="1"/>
    <w:uiPriority w:val="0"/>
    <w:pPr>
      <w:suppressAutoHyphens/>
    </w:pPr>
    <w:rPr>
      <w:rFonts w:ascii="Tms Rmn" w:hAnsi="Tms Rmn"/>
    </w:rPr>
  </w:style>
  <w:style w:type="paragraph" w:customStyle="1" w:styleId="250">
    <w:name w:val="S1-Header2"/>
    <w:basedOn w:val="1"/>
    <w:uiPriority w:val="0"/>
    <w:pPr>
      <w:tabs>
        <w:tab w:val="left" w:pos="360"/>
      </w:tabs>
      <w:spacing w:after="200"/>
      <w:jc w:val="left"/>
    </w:pPr>
    <w:rPr>
      <w:b/>
      <w:szCs w:val="24"/>
    </w:rPr>
  </w:style>
  <w:style w:type="paragraph" w:customStyle="1" w:styleId="251">
    <w:name w:val="S4-Header 2"/>
    <w:basedOn w:val="1"/>
    <w:uiPriority w:val="0"/>
    <w:pPr>
      <w:spacing w:before="120" w:after="240"/>
      <w:jc w:val="center"/>
    </w:pPr>
    <w:rPr>
      <w:b/>
      <w:sz w:val="32"/>
      <w:szCs w:val="24"/>
    </w:rPr>
  </w:style>
  <w:style w:type="character" w:customStyle="1" w:styleId="252">
    <w:name w:val="Message Header Char"/>
    <w:basedOn w:val="11"/>
    <w:link w:val="55"/>
    <w:uiPriority w:val="0"/>
    <w:rPr>
      <w:rFonts w:ascii="Arial" w:hAnsi="Arial" w:eastAsia="Times New Roman" w:cs="Times New Roman"/>
      <w:sz w:val="24"/>
      <w:szCs w:val="24"/>
      <w:shd w:val="pct20" w:color="auto" w:fill="auto"/>
      <w:lang w:val="en-US"/>
    </w:rPr>
  </w:style>
  <w:style w:type="character" w:customStyle="1" w:styleId="253">
    <w:name w:val="Note Heading Char"/>
    <w:basedOn w:val="11"/>
    <w:link w:val="58"/>
    <w:uiPriority w:val="0"/>
    <w:rPr>
      <w:rFonts w:eastAsia="Times New Roman" w:cs="Times New Roman"/>
      <w:sz w:val="24"/>
      <w:szCs w:val="20"/>
      <w:lang w:val="en-US"/>
    </w:rPr>
  </w:style>
  <w:style w:type="paragraph" w:customStyle="1" w:styleId="254">
    <w:name w:val="Section Title"/>
    <w:next w:val="1"/>
    <w:uiPriority w:val="0"/>
    <w:pPr>
      <w:spacing w:after="200" w:line="240" w:lineRule="auto"/>
      <w:jc w:val="center"/>
    </w:pPr>
    <w:rPr>
      <w:rFonts w:ascii="Times New Roman" w:hAnsi="Times New Roman" w:eastAsia="Times New Roman" w:cs="Times New Roman"/>
      <w:b/>
      <w:sz w:val="44"/>
      <w:szCs w:val="20"/>
      <w:lang w:val="en-GB" w:eastAsia="en-US" w:bidi="ar-SA"/>
    </w:rPr>
  </w:style>
  <w:style w:type="paragraph" w:customStyle="1" w:styleId="255">
    <w:name w:val="Level 3 (Body)"/>
    <w:uiPriority w:val="0"/>
    <w:pPr>
      <w:tabs>
        <w:tab w:val="left" w:pos="1502"/>
      </w:tabs>
      <w:spacing w:after="0" w:line="270" w:lineRule="atLeast"/>
      <w:ind w:left="1502" w:hanging="425"/>
      <w:jc w:val="both"/>
    </w:pPr>
    <w:rPr>
      <w:rFonts w:ascii="Optima" w:hAnsi="Optima" w:eastAsia="Times New Roman" w:cs="Times New Roman"/>
      <w:sz w:val="22"/>
      <w:szCs w:val="20"/>
      <w:lang w:val="en-US" w:eastAsia="en-US" w:bidi="ar-SA"/>
    </w:rPr>
  </w:style>
  <w:style w:type="paragraph" w:customStyle="1" w:styleId="256">
    <w:name w:val="Enclosure"/>
    <w:basedOn w:val="1"/>
    <w:uiPriority w:val="0"/>
    <w:pPr>
      <w:jc w:val="left"/>
    </w:pPr>
    <w:rPr>
      <w:szCs w:val="24"/>
    </w:rPr>
  </w:style>
  <w:style w:type="paragraph" w:customStyle="1" w:styleId="257">
    <w:name w:val="Short Return Address"/>
    <w:basedOn w:val="1"/>
    <w:uiPriority w:val="0"/>
    <w:pPr>
      <w:jc w:val="left"/>
    </w:pPr>
    <w:rPr>
      <w:szCs w:val="24"/>
    </w:rPr>
  </w:style>
  <w:style w:type="paragraph" w:customStyle="1" w:styleId="258">
    <w:name w:val="B Head"/>
    <w:uiPriority w:val="0"/>
    <w:pPr>
      <w:tabs>
        <w:tab w:val="left" w:pos="-720"/>
      </w:tabs>
      <w:suppressAutoHyphens/>
      <w:overflowPunct w:val="0"/>
      <w:autoSpaceDE w:val="0"/>
      <w:autoSpaceDN w:val="0"/>
      <w:adjustRightInd w:val="0"/>
      <w:spacing w:after="0" w:line="240" w:lineRule="auto"/>
    </w:pPr>
    <w:rPr>
      <w:rFonts w:ascii="Times New Roman" w:hAnsi="Times New Roman" w:eastAsia="Times New Roman" w:cs="Times New Roman"/>
      <w:sz w:val="20"/>
      <w:szCs w:val="20"/>
      <w:lang w:val="en-US" w:eastAsia="en-US" w:bidi="ar-SA"/>
    </w:rPr>
  </w:style>
  <w:style w:type="paragraph" w:customStyle="1" w:styleId="259">
    <w:name w:val="C Head"/>
    <w:uiPriority w:val="0"/>
    <w:pPr>
      <w:tabs>
        <w:tab w:val="left" w:pos="-720"/>
      </w:tabs>
      <w:suppressAutoHyphens/>
      <w:overflowPunct w:val="0"/>
      <w:autoSpaceDE w:val="0"/>
      <w:autoSpaceDN w:val="0"/>
      <w:adjustRightInd w:val="0"/>
      <w:spacing w:after="0" w:line="240" w:lineRule="auto"/>
    </w:pPr>
    <w:rPr>
      <w:rFonts w:ascii="Times New Roman" w:hAnsi="Times New Roman" w:eastAsia="Times New Roman" w:cs="Times New Roman"/>
      <w:sz w:val="20"/>
      <w:szCs w:val="20"/>
      <w:lang w:val="en-US" w:eastAsia="en-US" w:bidi="ar-SA"/>
    </w:rPr>
  </w:style>
  <w:style w:type="paragraph" w:customStyle="1" w:styleId="260">
    <w:name w:val="Sec No. &amp; He"/>
    <w:uiPriority w:val="0"/>
    <w:pPr>
      <w:tabs>
        <w:tab w:val="left" w:pos="-720"/>
      </w:tabs>
      <w:suppressAutoHyphens/>
      <w:overflowPunct w:val="0"/>
      <w:autoSpaceDE w:val="0"/>
      <w:autoSpaceDN w:val="0"/>
      <w:adjustRightInd w:val="0"/>
      <w:spacing w:after="0" w:line="240" w:lineRule="auto"/>
    </w:pPr>
    <w:rPr>
      <w:rFonts w:ascii="Times New Roman" w:hAnsi="Times New Roman" w:eastAsia="Times New Roman" w:cs="Times New Roman"/>
      <w:sz w:val="20"/>
      <w:szCs w:val="20"/>
      <w:lang w:val="en-US" w:eastAsia="en-US" w:bidi="ar-SA"/>
    </w:rPr>
  </w:style>
  <w:style w:type="paragraph" w:customStyle="1" w:styleId="261">
    <w:name w:val="Right Par[1]"/>
    <w:uiPriority w:val="0"/>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hAnsi="CG Times" w:eastAsia="Times New Roman" w:cs="Times New Roman"/>
      <w:b/>
      <w:i/>
      <w:sz w:val="24"/>
      <w:szCs w:val="20"/>
      <w:lang w:val="en-US" w:eastAsia="en-US" w:bidi="ar-SA"/>
    </w:rPr>
  </w:style>
  <w:style w:type="paragraph" w:customStyle="1" w:styleId="262">
    <w:name w:val="Right Par[2]"/>
    <w:qFormat/>
    <w:uiPriority w:val="0"/>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hAnsi="CG Times" w:eastAsia="Times New Roman" w:cs="Times New Roman"/>
      <w:b/>
      <w:i/>
      <w:sz w:val="24"/>
      <w:szCs w:val="20"/>
      <w:lang w:val="en-US" w:eastAsia="en-US" w:bidi="ar-SA"/>
    </w:rPr>
  </w:style>
  <w:style w:type="paragraph" w:customStyle="1" w:styleId="263">
    <w:name w:val="Right Par[3]"/>
    <w:uiPriority w:val="0"/>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hAnsi="CG Times" w:eastAsia="Times New Roman" w:cs="Times New Roman"/>
      <w:b/>
      <w:i/>
      <w:sz w:val="24"/>
      <w:szCs w:val="20"/>
      <w:lang w:val="en-US" w:eastAsia="en-US" w:bidi="ar-SA"/>
    </w:rPr>
  </w:style>
  <w:style w:type="paragraph" w:customStyle="1" w:styleId="264">
    <w:name w:val="Right Par[4]"/>
    <w:uiPriority w:val="0"/>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hAnsi="CG Times" w:eastAsia="Times New Roman" w:cs="Times New Roman"/>
      <w:b/>
      <w:i/>
      <w:sz w:val="24"/>
      <w:szCs w:val="20"/>
      <w:lang w:val="en-US" w:eastAsia="en-US" w:bidi="ar-SA"/>
    </w:rPr>
  </w:style>
  <w:style w:type="paragraph" w:customStyle="1" w:styleId="265">
    <w:name w:val="Right Par[5]"/>
    <w:uiPriority w:val="0"/>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hAnsi="CG Times" w:eastAsia="Times New Roman" w:cs="Times New Roman"/>
      <w:b/>
      <w:i/>
      <w:sz w:val="24"/>
      <w:szCs w:val="20"/>
      <w:lang w:val="en-US" w:eastAsia="en-US" w:bidi="ar-SA"/>
    </w:rPr>
  </w:style>
  <w:style w:type="paragraph" w:customStyle="1" w:styleId="266">
    <w:name w:val="Right Par[6]"/>
    <w:uiPriority w:val="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hAnsi="CG Times" w:eastAsia="Times New Roman" w:cs="Times New Roman"/>
      <w:b/>
      <w:i/>
      <w:sz w:val="24"/>
      <w:szCs w:val="20"/>
      <w:lang w:val="en-US" w:eastAsia="en-US" w:bidi="ar-SA"/>
    </w:rPr>
  </w:style>
  <w:style w:type="paragraph" w:customStyle="1" w:styleId="267">
    <w:name w:val="Right Par[7]"/>
    <w:uiPriority w:val="0"/>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hAnsi="CG Times" w:eastAsia="Times New Roman" w:cs="Times New Roman"/>
      <w:b/>
      <w:i/>
      <w:sz w:val="24"/>
      <w:szCs w:val="20"/>
      <w:lang w:val="en-US" w:eastAsia="en-US" w:bidi="ar-SA"/>
    </w:rPr>
  </w:style>
  <w:style w:type="paragraph" w:customStyle="1" w:styleId="268">
    <w:name w:val="Right Par[8]"/>
    <w:uiPriority w:val="0"/>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hAnsi="CG Times" w:eastAsia="Times New Roman" w:cs="Times New Roman"/>
      <w:b/>
      <w:i/>
      <w:sz w:val="24"/>
      <w:szCs w:val="20"/>
      <w:lang w:val="en-US" w:eastAsia="en-US" w:bidi="ar-SA"/>
    </w:rPr>
  </w:style>
  <w:style w:type="paragraph" w:customStyle="1" w:styleId="269">
    <w:name w:val="text 3"/>
    <w:basedOn w:val="1"/>
    <w:uiPriority w:val="0"/>
    <w:pPr>
      <w:spacing w:before="240" w:after="240"/>
      <w:ind w:left="1418"/>
      <w:jc w:val="left"/>
    </w:pPr>
    <w:rPr>
      <w:szCs w:val="24"/>
    </w:rPr>
  </w:style>
  <w:style w:type="paragraph" w:customStyle="1" w:styleId="270">
    <w:name w:val="e4"/>
    <w:basedOn w:val="1"/>
    <w:next w:val="1"/>
    <w:uiPriority w:val="0"/>
    <w:pPr>
      <w:keepLines/>
      <w:pBdr>
        <w:bottom w:val="single" w:color="auto" w:sz="6" w:space="0"/>
      </w:pBdr>
      <w:overflowPunct w:val="0"/>
      <w:autoSpaceDE w:val="0"/>
      <w:autoSpaceDN w:val="0"/>
      <w:adjustRightInd w:val="0"/>
      <w:spacing w:after="260" w:line="260" w:lineRule="atLeast"/>
      <w:jc w:val="left"/>
    </w:pPr>
  </w:style>
  <w:style w:type="paragraph" w:customStyle="1" w:styleId="271">
    <w:name w:val="S8 Header 1"/>
    <w:basedOn w:val="1"/>
    <w:next w:val="1"/>
    <w:uiPriority w:val="0"/>
    <w:pPr>
      <w:spacing w:before="120" w:after="200"/>
    </w:pPr>
    <w:rPr>
      <w:b/>
    </w:rPr>
  </w:style>
  <w:style w:type="paragraph" w:customStyle="1" w:styleId="272">
    <w:name w:val="S1-Header1"/>
    <w:basedOn w:val="1"/>
    <w:uiPriority w:val="0"/>
    <w:pPr>
      <w:tabs>
        <w:tab w:val="left" w:pos="648"/>
      </w:tabs>
      <w:spacing w:before="240" w:after="240"/>
      <w:ind w:left="360" w:hanging="72"/>
      <w:jc w:val="center"/>
    </w:pPr>
    <w:rPr>
      <w:b/>
      <w:sz w:val="28"/>
      <w:szCs w:val="24"/>
    </w:rPr>
  </w:style>
  <w:style w:type="paragraph" w:customStyle="1" w:styleId="273">
    <w:name w:val="Style Header 2 - SubClauses + Italic"/>
    <w:basedOn w:val="152"/>
    <w:uiPriority w:val="0"/>
    <w:pPr>
      <w:tabs>
        <w:tab w:val="left" w:pos="504"/>
      </w:tabs>
      <w:ind w:left="504" w:hanging="504"/>
    </w:pPr>
    <w:rPr>
      <w:rFonts w:cs="Arial"/>
      <w:i/>
      <w:iCs/>
      <w:szCs w:val="24"/>
      <w:lang w:val="en-US"/>
    </w:rPr>
  </w:style>
  <w:style w:type="paragraph" w:customStyle="1" w:styleId="274">
    <w:name w:val="Style Header 2 - SubClauses + After:  6 pt"/>
    <w:basedOn w:val="152"/>
    <w:uiPriority w:val="0"/>
    <w:pPr>
      <w:tabs>
        <w:tab w:val="left" w:pos="504"/>
      </w:tabs>
      <w:ind w:left="504" w:hanging="504"/>
    </w:pPr>
    <w:rPr>
      <w:szCs w:val="24"/>
      <w:lang w:val="en-US"/>
    </w:rPr>
  </w:style>
  <w:style w:type="paragraph" w:customStyle="1" w:styleId="275">
    <w:name w:val="Style Subtitle + Left:  0.13&quot; Right:  0.2&quot;"/>
    <w:basedOn w:val="60"/>
    <w:uiPriority w:val="0"/>
    <w:pPr>
      <w:spacing w:before="120" w:after="240"/>
      <w:ind w:left="180" w:right="288"/>
    </w:pPr>
    <w:rPr>
      <w:bCs/>
      <w:sz w:val="36"/>
    </w:rPr>
  </w:style>
  <w:style w:type="paragraph" w:customStyle="1" w:styleId="276">
    <w:name w:val="Style Arial 20 pt Bold Centered Before:  6 pt After:  12 pt"/>
    <w:basedOn w:val="1"/>
    <w:uiPriority w:val="0"/>
    <w:pPr>
      <w:spacing w:before="120" w:after="240"/>
      <w:jc w:val="center"/>
    </w:pPr>
    <w:rPr>
      <w:b/>
      <w:bCs/>
      <w:sz w:val="36"/>
    </w:rPr>
  </w:style>
  <w:style w:type="paragraph" w:customStyle="1" w:styleId="277">
    <w:name w:val="S3-Header 1"/>
    <w:basedOn w:val="1"/>
    <w:uiPriority w:val="0"/>
    <w:pPr>
      <w:spacing w:before="120" w:after="200"/>
      <w:ind w:left="1080" w:hanging="720"/>
    </w:pPr>
    <w:rPr>
      <w:b/>
      <w:bCs/>
      <w:sz w:val="28"/>
    </w:rPr>
  </w:style>
  <w:style w:type="paragraph" w:customStyle="1" w:styleId="278">
    <w:name w:val="S3-Heading 2"/>
    <w:basedOn w:val="1"/>
    <w:uiPriority w:val="0"/>
    <w:pPr>
      <w:spacing w:after="200"/>
      <w:ind w:left="1080" w:right="288" w:hanging="720"/>
    </w:pPr>
    <w:rPr>
      <w:b/>
      <w:bCs/>
      <w:szCs w:val="24"/>
    </w:rPr>
  </w:style>
  <w:style w:type="paragraph" w:customStyle="1" w:styleId="279">
    <w:name w:val="S4 Header"/>
    <w:basedOn w:val="1"/>
    <w:next w:val="1"/>
    <w:uiPriority w:val="0"/>
    <w:pPr>
      <w:spacing w:before="120" w:after="240"/>
      <w:jc w:val="center"/>
    </w:pPr>
    <w:rPr>
      <w:b/>
      <w:sz w:val="32"/>
    </w:rPr>
  </w:style>
  <w:style w:type="paragraph" w:customStyle="1" w:styleId="280">
    <w:name w:val="S4-Header 1"/>
    <w:basedOn w:val="1"/>
    <w:next w:val="1"/>
    <w:uiPriority w:val="0"/>
    <w:pPr>
      <w:spacing w:before="120" w:after="240"/>
      <w:jc w:val="center"/>
    </w:pPr>
    <w:rPr>
      <w:rFonts w:cs="Arial"/>
      <w:b/>
      <w:sz w:val="36"/>
      <w:szCs w:val="24"/>
    </w:rPr>
  </w:style>
  <w:style w:type="paragraph" w:customStyle="1" w:styleId="281">
    <w:name w:val="Style Section V. Header + Left:  0.25&quot; Right:  0.2&quot;"/>
    <w:basedOn w:val="160"/>
    <w:uiPriority w:val="0"/>
    <w:pPr>
      <w:spacing w:before="120" w:after="240"/>
      <w:ind w:left="360" w:right="288"/>
    </w:pPr>
    <w:rPr>
      <w:bCs/>
      <w:sz w:val="32"/>
    </w:rPr>
  </w:style>
  <w:style w:type="paragraph" w:customStyle="1" w:styleId="282">
    <w:name w:val="S6-Header 1"/>
    <w:basedOn w:val="1"/>
    <w:next w:val="1"/>
    <w:uiPriority w:val="0"/>
    <w:pPr>
      <w:spacing w:before="120" w:after="240"/>
      <w:jc w:val="center"/>
    </w:pPr>
    <w:rPr>
      <w:rFonts w:cs="Arial"/>
      <w:b/>
      <w:sz w:val="32"/>
      <w:szCs w:val="24"/>
    </w:rPr>
  </w:style>
  <w:style w:type="paragraph" w:customStyle="1" w:styleId="283">
    <w:name w:val="Part"/>
    <w:basedOn w:val="1"/>
    <w:uiPriority w:val="0"/>
    <w:pPr>
      <w:keepNext/>
      <w:spacing w:before="2280"/>
      <w:jc w:val="center"/>
    </w:pPr>
    <w:rPr>
      <w:b/>
      <w:sz w:val="52"/>
      <w:szCs w:val="24"/>
    </w:rPr>
  </w:style>
  <w:style w:type="paragraph" w:customStyle="1" w:styleId="284">
    <w:name w:val="Style Head 4.1 + Before:  6 pt After:  6 pt"/>
    <w:basedOn w:val="129"/>
    <w:uiPriority w:val="0"/>
    <w:pPr>
      <w:keepNext w:val="0"/>
      <w:pBdr>
        <w:bottom w:val="none" w:color="auto" w:sz="0" w:space="0"/>
      </w:pBdr>
      <w:overflowPunct w:val="0"/>
      <w:autoSpaceDE w:val="0"/>
      <w:autoSpaceDN w:val="0"/>
      <w:adjustRightInd w:val="0"/>
      <w:spacing w:before="120" w:after="200"/>
    </w:pPr>
    <w:rPr>
      <w:rFonts w:ascii="Times New Roman" w:hAnsi="Times New Roman"/>
      <w:bCs/>
      <w:smallCaps w:val="0"/>
      <w:sz w:val="28"/>
    </w:rPr>
  </w:style>
  <w:style w:type="paragraph" w:customStyle="1" w:styleId="285">
    <w:name w:val="S9 Header 1"/>
    <w:basedOn w:val="1"/>
    <w:next w:val="1"/>
    <w:uiPriority w:val="0"/>
    <w:pPr>
      <w:spacing w:before="120" w:after="240"/>
      <w:jc w:val="center"/>
    </w:pPr>
    <w:rPr>
      <w:b/>
      <w:sz w:val="36"/>
      <w:szCs w:val="24"/>
    </w:rPr>
  </w:style>
  <w:style w:type="paragraph" w:customStyle="1" w:styleId="286">
    <w:name w:val="Style S1-Header1 + Times New Roman 14 pt"/>
    <w:basedOn w:val="272"/>
    <w:uiPriority w:val="0"/>
    <w:pPr>
      <w:tabs>
        <w:tab w:val="clear" w:pos="648"/>
      </w:tabs>
      <w:ind w:left="0" w:firstLine="0"/>
    </w:pPr>
    <w:rPr>
      <w:bCs/>
    </w:rPr>
  </w:style>
  <w:style w:type="paragraph" w:customStyle="1" w:styleId="287">
    <w:name w:val="Style Style S1-Header1 + Times New Roman 14 pt +"/>
    <w:basedOn w:val="286"/>
    <w:uiPriority w:val="0"/>
    <w:pPr>
      <w:tabs>
        <w:tab w:val="left" w:pos="648"/>
      </w:tabs>
      <w:ind w:left="360" w:hanging="72"/>
    </w:pPr>
  </w:style>
  <w:style w:type="paragraph" w:customStyle="1" w:styleId="288">
    <w:name w:val="Style Style S1-Header1 + Times New Roman 14 pt +1"/>
    <w:basedOn w:val="286"/>
    <w:uiPriority w:val="0"/>
    <w:pPr>
      <w:tabs>
        <w:tab w:val="left" w:pos="648"/>
      </w:tabs>
      <w:ind w:left="360" w:hanging="72"/>
    </w:pPr>
  </w:style>
  <w:style w:type="character" w:customStyle="1" w:styleId="289">
    <w:name w:val="A Head"/>
    <w:uiPriority w:val="0"/>
    <w:rPr>
      <w:rFonts w:hint="default" w:ascii="Times New Roman" w:hAnsi="Times New Roman" w:cs="Times New Roman"/>
      <w:sz w:val="20"/>
      <w:lang w:val="en-US"/>
    </w:rPr>
  </w:style>
  <w:style w:type="character" w:customStyle="1" w:styleId="290">
    <w:name w:val="Default Para"/>
    <w:uiPriority w:val="0"/>
    <w:rPr>
      <w:rFonts w:hint="default" w:ascii="CG Times" w:hAnsi="CG Times"/>
      <w:b/>
      <w:i/>
      <w:sz w:val="24"/>
      <w:lang w:val="en-US"/>
    </w:rPr>
  </w:style>
  <w:style w:type="character" w:customStyle="1" w:styleId="291">
    <w:name w:val="Bullet List"/>
    <w:basedOn w:val="11"/>
    <w:uiPriority w:val="0"/>
  </w:style>
  <w:style w:type="character" w:customStyle="1" w:styleId="292">
    <w:name w:val="Style Header 2 - SubClauses + Italic Char"/>
    <w:uiPriority w:val="0"/>
    <w:rPr>
      <w:rFonts w:hint="default" w:ascii="Arial" w:hAnsi="Arial" w:cs="Arial"/>
      <w:i/>
      <w:iCs/>
      <w:sz w:val="24"/>
      <w:szCs w:val="24"/>
      <w:lang w:val="en-US" w:eastAsia="en-US" w:bidi="ar-SA"/>
    </w:rPr>
  </w:style>
  <w:style w:type="character" w:customStyle="1" w:styleId="293">
    <w:name w:val="S1-Header1 Char Char"/>
    <w:uiPriority w:val="0"/>
    <w:rPr>
      <w:rFonts w:hint="default" w:ascii="Arial" w:hAnsi="Arial" w:cs="Arial"/>
      <w:b/>
      <w:sz w:val="28"/>
      <w:szCs w:val="24"/>
      <w:lang w:val="en-US" w:eastAsia="en-US" w:bidi="ar-SA"/>
    </w:rPr>
  </w:style>
  <w:style w:type="character" w:customStyle="1" w:styleId="294">
    <w:name w:val="Style S1-Header1 + Times New Roman 14 pt Char"/>
    <w:uiPriority w:val="0"/>
    <w:rPr>
      <w:rFonts w:hint="default" w:ascii="Arial" w:hAnsi="Arial" w:cs="Arial"/>
      <w:b/>
      <w:bCs/>
      <w:sz w:val="28"/>
      <w:szCs w:val="24"/>
      <w:lang w:val="en-US" w:eastAsia="en-US" w:bidi="ar-SA"/>
    </w:rPr>
  </w:style>
  <w:style w:type="character" w:customStyle="1" w:styleId="295">
    <w:name w:val="Style Style S1-Header1 + Times New Roman 14 pt + Char"/>
    <w:uiPriority w:val="0"/>
    <w:rPr>
      <w:rFonts w:hint="default" w:ascii="Arial" w:hAnsi="Arial" w:cs="Arial"/>
      <w:sz w:val="28"/>
      <w:szCs w:val="24"/>
      <w:lang w:val="en-US" w:eastAsia="en-US" w:bidi="ar-SA"/>
    </w:rPr>
  </w:style>
  <w:style w:type="character" w:customStyle="1" w:styleId="296">
    <w:name w:val="Style Style S1-Header1 + Times New Roman 14 pt +1 Char"/>
    <w:uiPriority w:val="0"/>
    <w:rPr>
      <w:rFonts w:hint="default" w:ascii="Arial" w:hAnsi="Arial" w:cs="Arial"/>
      <w:sz w:val="28"/>
      <w:szCs w:val="24"/>
      <w:lang w:val="en-US" w:eastAsia="en-US" w:bidi="ar-SA"/>
    </w:rPr>
  </w:style>
  <w:style w:type="character" w:customStyle="1" w:styleId="297">
    <w:name w:val="hps"/>
    <w:uiPriority w:val="0"/>
  </w:style>
  <w:style w:type="character" w:customStyle="1" w:styleId="298">
    <w:name w:val="short_text"/>
    <w:uiPriority w:val="0"/>
  </w:style>
  <w:style w:type="character" w:customStyle="1" w:styleId="299">
    <w:name w:val="atn"/>
    <w:uiPriority w:val="0"/>
  </w:style>
  <w:style w:type="character" w:customStyle="1" w:styleId="300">
    <w:name w:val="dieu Char"/>
    <w:uiPriority w:val="0"/>
    <w:rPr>
      <w:rFonts w:ascii="Times New Roman" w:hAnsi="Times New Roman" w:eastAsia="Times New Roman" w:cs="Times New Roman"/>
      <w:b/>
      <w:color w:val="0000FF"/>
      <w:sz w:val="26"/>
      <w:szCs w:val="20"/>
      <w:lang w:val="en-US"/>
    </w:rPr>
  </w:style>
  <w:style w:type="paragraph" w:customStyle="1" w:styleId="301">
    <w:name w:val="3"/>
    <w:basedOn w:val="4"/>
    <w:uiPriority w:val="0"/>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302">
    <w:name w:val="Mau"/>
    <w:basedOn w:val="5"/>
    <w:uiPriority w:val="0"/>
    <w:pPr>
      <w:spacing w:after="120"/>
      <w:ind w:left="0" w:right="0" w:firstLine="567"/>
      <w:jc w:val="right"/>
    </w:pPr>
    <w:rPr>
      <w:rFonts w:ascii=".VnTime" w:hAnsi=".VnTime"/>
      <w:sz w:val="28"/>
      <w:szCs w:val="28"/>
      <w:u w:val="single"/>
      <w:lang w:val="de-DE"/>
    </w:rPr>
  </w:style>
  <w:style w:type="paragraph" w:customStyle="1" w:styleId="303">
    <w:name w:val="4"/>
    <w:basedOn w:val="1"/>
    <w:uiPriority w:val="0"/>
    <w:pPr>
      <w:spacing w:before="360" w:line="288" w:lineRule="auto"/>
    </w:pPr>
    <w:rPr>
      <w:rFonts w:ascii=".VnArial" w:hAnsi=".VnArial"/>
      <w:b/>
      <w:sz w:val="20"/>
    </w:rPr>
  </w:style>
  <w:style w:type="paragraph" w:styleId="304">
    <w:name w:val="List Paragraph"/>
    <w:basedOn w:val="1"/>
    <w:link w:val="305"/>
    <w:qFormat/>
    <w:uiPriority w:val="34"/>
    <w:pPr>
      <w:ind w:left="720"/>
      <w:contextualSpacing/>
    </w:pPr>
  </w:style>
  <w:style w:type="character" w:customStyle="1" w:styleId="305">
    <w:name w:val="List Paragraph Char"/>
    <w:link w:val="304"/>
    <w:qFormat/>
    <w:uiPriority w:val="34"/>
    <w:rPr>
      <w:rFonts w:eastAsia="Times New Roman" w:cs="Times New Roman"/>
      <w:sz w:val="24"/>
      <w:szCs w:val="20"/>
      <w:lang w:val="en-US"/>
    </w:rPr>
  </w:style>
  <w:style w:type="paragraph" w:customStyle="1" w:styleId="306">
    <w:name w:val="Style1"/>
    <w:basedOn w:val="1"/>
    <w:uiPriority w:val="0"/>
    <w:pPr>
      <w:widowControl w:val="0"/>
    </w:pPr>
    <w:rPr>
      <w:rFonts w:ascii=".VnTime" w:hAnsi=".VnTime"/>
      <w:sz w:val="26"/>
    </w:rPr>
  </w:style>
  <w:style w:type="paragraph" w:customStyle="1" w:styleId="307">
    <w:name w:val="HAStyle1"/>
    <w:basedOn w:val="240"/>
    <w:qFormat/>
    <w:uiPriority w:val="0"/>
    <w:pPr>
      <w:widowControl w:val="0"/>
      <w:numPr>
        <w:ilvl w:val="0"/>
        <w:numId w:val="2"/>
      </w:numPr>
      <w:spacing w:line="264" w:lineRule="auto"/>
    </w:pPr>
    <w:rPr>
      <w:rFonts w:eastAsiaTheme="minorHAnsi"/>
      <w:sz w:val="28"/>
      <w:szCs w:val="28"/>
    </w:rPr>
  </w:style>
  <w:style w:type="paragraph" w:customStyle="1" w:styleId="308">
    <w:name w:val="Revision"/>
    <w:hidden/>
    <w:semiHidden/>
    <w:uiPriority w:val="99"/>
    <w:pPr>
      <w:spacing w:after="0" w:line="240" w:lineRule="auto"/>
    </w:pPr>
    <w:rPr>
      <w:rFonts w:ascii="Times New Roman" w:hAnsi="Times New Roman" w:eastAsia="Times New Roman" w:cs="Times New Roman"/>
      <w:sz w:val="24"/>
      <w:szCs w:val="20"/>
      <w:lang w:val="en-US" w:eastAsia="en-US" w:bidi="ar-SA"/>
    </w:rPr>
  </w:style>
  <w:style w:type="character" w:customStyle="1" w:styleId="309">
    <w:name w:val="Other_"/>
    <w:link w:val="310"/>
    <w:uiPriority w:val="99"/>
    <w:rPr>
      <w:rFonts w:cs="Times New Roman"/>
      <w:i/>
      <w:iCs/>
      <w:sz w:val="26"/>
      <w:szCs w:val="26"/>
      <w:shd w:val="clear" w:color="auto" w:fill="FFFFFF"/>
    </w:rPr>
  </w:style>
  <w:style w:type="paragraph" w:customStyle="1" w:styleId="310">
    <w:name w:val="Other"/>
    <w:basedOn w:val="1"/>
    <w:link w:val="309"/>
    <w:uiPriority w:val="99"/>
    <w:pPr>
      <w:widowControl w:val="0"/>
      <w:shd w:val="clear" w:color="auto" w:fill="FFFFFF"/>
      <w:spacing w:after="100" w:line="262" w:lineRule="auto"/>
      <w:ind w:firstLine="400"/>
      <w:jc w:val="center"/>
    </w:pPr>
    <w:rPr>
      <w:rFonts w:eastAsiaTheme="minorHAnsi"/>
      <w:i/>
      <w:iCs/>
      <w:sz w:val="26"/>
      <w:szCs w:val="26"/>
      <w:lang w:val="vi-VN"/>
    </w:rPr>
  </w:style>
  <w:style w:type="character" w:customStyle="1" w:styleId="311">
    <w:name w:val="Khác_"/>
    <w:link w:val="312"/>
    <w:uiPriority w:val="99"/>
    <w:rPr>
      <w:rFonts w:cs="Times New Roman"/>
      <w:szCs w:val="28"/>
    </w:rPr>
  </w:style>
  <w:style w:type="paragraph" w:customStyle="1" w:styleId="312">
    <w:name w:val="Khác"/>
    <w:basedOn w:val="1"/>
    <w:link w:val="311"/>
    <w:uiPriority w:val="99"/>
    <w:pPr>
      <w:widowControl w:val="0"/>
      <w:spacing w:after="60" w:line="312" w:lineRule="auto"/>
      <w:ind w:firstLine="400"/>
      <w:jc w:val="left"/>
    </w:pPr>
    <w:rPr>
      <w:rFonts w:eastAsiaTheme="minorHAnsi"/>
      <w:sz w:val="28"/>
      <w:szCs w:val="28"/>
      <w:lang w:val="vi-VN"/>
    </w:rPr>
  </w:style>
  <w:style w:type="character" w:customStyle="1" w:styleId="313">
    <w:name w:val="fontstyle01"/>
    <w:basedOn w:val="11"/>
    <w:uiPriority w:val="0"/>
    <w:rPr>
      <w:rFonts w:hint="default" w:ascii="TimesNewRomanPSMT" w:hAnsi="TimesNewRomanPSMT"/>
      <w:color w:val="000000"/>
      <w:sz w:val="24"/>
      <w:szCs w:val="24"/>
    </w:rPr>
  </w:style>
  <w:style w:type="character" w:customStyle="1" w:styleId="314">
    <w:name w:val="Unresolved Mention1"/>
    <w:basedOn w:val="11"/>
    <w:semiHidden/>
    <w:unhideWhenUsed/>
    <w:uiPriority w:val="99"/>
    <w:rPr>
      <w:color w:val="605E5C"/>
      <w:shd w:val="clear" w:color="auto" w:fill="E1DFDD"/>
    </w:rPr>
  </w:style>
  <w:style w:type="character" w:customStyle="1" w:styleId="315">
    <w:name w:val="fontstyle21"/>
    <w:basedOn w:val="11"/>
    <w:uiPriority w:val="0"/>
    <w:rPr>
      <w:rFonts w:hint="default" w:ascii="Times New Roman" w:hAnsi="Times New Roman" w:cs="Times New Roman"/>
      <w:color w:val="000000"/>
      <w:sz w:val="28"/>
      <w:szCs w:val="28"/>
    </w:rPr>
  </w:style>
  <w:style w:type="paragraph" w:customStyle="1" w:styleId="316">
    <w:name w:val="Header.Section VI"/>
    <w:basedOn w:val="1"/>
    <w:uiPriority w:val="0"/>
    <w:pPr>
      <w:spacing w:before="120" w:after="240"/>
      <w:jc w:val="center"/>
    </w:pPr>
    <w:rPr>
      <w:b/>
      <w:sz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1.png"/><Relationship Id="rId79" Type="http://schemas.openxmlformats.org/officeDocument/2006/relationships/oleObject" Target="embeddings/oleObject8.bin"/><Relationship Id="rId78" Type="http://schemas.openxmlformats.org/officeDocument/2006/relationships/image" Target="media/image64.png"/><Relationship Id="rId77" Type="http://schemas.openxmlformats.org/officeDocument/2006/relationships/oleObject" Target="embeddings/oleObject7.bin"/><Relationship Id="rId76" Type="http://schemas.openxmlformats.org/officeDocument/2006/relationships/oleObject" Target="embeddings/oleObject6.bin"/><Relationship Id="rId75" Type="http://schemas.openxmlformats.org/officeDocument/2006/relationships/image" Target="media/image63.png"/><Relationship Id="rId74" Type="http://schemas.openxmlformats.org/officeDocument/2006/relationships/oleObject" Target="embeddings/oleObject5.bin"/><Relationship Id="rId73" Type="http://schemas.openxmlformats.org/officeDocument/2006/relationships/oleObject" Target="embeddings/oleObject4.bin"/><Relationship Id="rId72" Type="http://schemas.openxmlformats.org/officeDocument/2006/relationships/image" Target="media/image62.png"/><Relationship Id="rId71" Type="http://schemas.openxmlformats.org/officeDocument/2006/relationships/oleObject" Target="embeddings/oleObject3.bin"/><Relationship Id="rId70" Type="http://schemas.openxmlformats.org/officeDocument/2006/relationships/oleObject" Target="embeddings/oleObject2.bin"/><Relationship Id="rId7" Type="http://schemas.openxmlformats.org/officeDocument/2006/relationships/theme" Target="theme/theme1.xml"/><Relationship Id="rId69" Type="http://schemas.openxmlformats.org/officeDocument/2006/relationships/image" Target="media/image61.png"/><Relationship Id="rId68" Type="http://schemas.openxmlformats.org/officeDocument/2006/relationships/oleObject" Target="embeddings/oleObject1.bin"/><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png"/><Relationship Id="rId64" Type="http://schemas.openxmlformats.org/officeDocument/2006/relationships/image" Target="media/image57.jpe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1.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pn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7F41C6-7DE9-445E-9AEC-AB06724B8640}">
  <ds:schemaRefs/>
</ds:datastoreItem>
</file>

<file path=docProps/app.xml><?xml version="1.0" encoding="utf-8"?>
<Properties xmlns="http://schemas.openxmlformats.org/officeDocument/2006/extended-properties" xmlns:vt="http://schemas.openxmlformats.org/officeDocument/2006/docPropsVTypes">
  <Template>Normal.dotm</Template>
  <Pages>31</Pages>
  <Words>3280</Words>
  <Characters>11182</Characters>
  <Lines>2657</Lines>
  <Paragraphs>748</Paragraphs>
  <TotalTime>6</TotalTime>
  <ScaleCrop>false</ScaleCrop>
  <LinksUpToDate>false</LinksUpToDate>
  <CharactersWithSpaces>14093</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2026-05-20T09:23:00Z</dcterms:created>
  <dc:creator>MyPC</dc:creator>
  <cp:lastModifiedBy>WPS_1778638012</cp:lastModifiedBy>
  <cp:lastPrinted>2025-08-04T12:40:00Z</cp:lastPrinted>
  <dcterms:modified xsi:type="dcterms:W3CDTF">2026-05-26T07:44:54Z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eyJoZGlkIjoiYmVlY2EzNWVlZWNjMzY3ODM0YjYzYWQ4YzA1NzRhNzciLCJ1c2VySWQiOiIxMzc0MzkyODc0NDM0In0=</vt:lpwstr>
  </property>
  <property fmtid="{D5CDD505-2E9C-101B-9397-08002B2CF9AE}" pid="3" name="KSOProductBuildVer">
    <vt:lpwstr>1033-12.1.0.26372</vt:lpwstr>
  </property>
  <property fmtid="{D5CDD505-2E9C-101B-9397-08002B2CF9AE}" pid="4" name="ICV">
    <vt:lpwstr>BEB8EC87438C4CE8865B62D05F941BF2_12</vt:lpwstr>
  </property>
</Properties>
</file>