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7B" w:rsidRPr="00A03B7B" w:rsidRDefault="00A03B7B" w:rsidP="00A03B7B">
      <w:pPr>
        <w:keepNext/>
        <w:keepLines/>
        <w:widowControl w:val="0"/>
        <w:spacing w:before="0" w:after="60" w:line="240" w:lineRule="auto"/>
        <w:contextualSpacing/>
        <w:jc w:val="center"/>
        <w:outlineLvl w:val="1"/>
        <w:rPr>
          <w:rFonts w:eastAsia="Times New Roman" w:cstheme="majorBidi"/>
          <w:b/>
          <w:sz w:val="28"/>
          <w:szCs w:val="26"/>
        </w:rPr>
      </w:pPr>
      <w:r w:rsidRPr="00A03B7B">
        <w:rPr>
          <w:rFonts w:eastAsia="Times New Roman" w:cstheme="majorBidi"/>
          <w:b/>
          <w:sz w:val="28"/>
          <w:szCs w:val="26"/>
        </w:rPr>
        <w:t>Chương V: PHẠM VI CUNG CẤP</w:t>
      </w:r>
    </w:p>
    <w:p w:rsidR="00A03B7B" w:rsidRPr="00A03B7B" w:rsidRDefault="00A03B7B" w:rsidP="00A03B7B">
      <w:pPr>
        <w:keepNext/>
        <w:keepLines/>
        <w:widowControl w:val="0"/>
        <w:spacing w:before="0" w:after="0" w:line="240" w:lineRule="auto"/>
        <w:ind w:firstLine="720"/>
        <w:jc w:val="left"/>
        <w:outlineLvl w:val="2"/>
        <w:rPr>
          <w:rFonts w:eastAsia="Times New Roman" w:cstheme="majorBidi"/>
          <w:b/>
          <w:sz w:val="28"/>
          <w:szCs w:val="24"/>
        </w:rPr>
      </w:pPr>
      <w:r w:rsidRPr="00A03B7B">
        <w:rPr>
          <w:rFonts w:eastAsia="Times New Roman" w:cstheme="majorBidi"/>
          <w:b/>
          <w:sz w:val="28"/>
          <w:szCs w:val="24"/>
        </w:rPr>
        <w:t>Mục 1. Phạm vi và tiến độ cung cấp thuốc</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Phạm vi và tiến độ cung cấp thuốc quy định tại Mẫu số 00, Chương IV - biểu mẫu dự thầu Phạm vi cung cấp thuốc và dịch vụ liên quan (nếu có)</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thuộc tiêu chí kỹ thuật đó.</w:t>
      </w:r>
    </w:p>
    <w:p w:rsidR="00A03B7B" w:rsidRPr="00A03B7B" w:rsidRDefault="00A03B7B" w:rsidP="00A03B7B">
      <w:pPr>
        <w:widowControl w:val="0"/>
        <w:spacing w:before="0" w:after="0" w:line="240" w:lineRule="auto"/>
        <w:ind w:firstLine="720"/>
        <w:rPr>
          <w:rFonts w:eastAsia="Calibri" w:cs="Times New Roman"/>
          <w:b/>
          <w:sz w:val="28"/>
          <w:szCs w:val="28"/>
        </w:rPr>
      </w:pPr>
      <w:r w:rsidRPr="00A03B7B">
        <w:rPr>
          <w:rFonts w:eastAsia="Calibri" w:cs="Times New Roman"/>
          <w:b/>
          <w:sz w:val="28"/>
          <w:szCs w:val="28"/>
        </w:rPr>
        <w:t>1.2. Tiến độ cung cấp thuốc</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Thuốc có thể được yêu cầu cung cấp thành một hoặc nhiều đợt khác nhau tùy theo yêu cầu của gói thầu. Căn cứ quy mô, tính chất của gói thầu cũng như loại thuốc cụ thể mà quy định, cụ thể như sau:</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Thời gian giao hàng: Trong vòng 72 giờ kể từ ngày Bên chủ đầu tư gửi dự trù cho Bên nhà thầu. Việc gửi dự trù thuốc thực hiện theo hàng tháng hoặc hàng quý theo thỏa thuận với Trung tâm Y Tế Ea Kar. Riêng thuốc gây nghiện, thuốc hướng tâm thần do số lượng sử dụng ít, việc dự trù sẽ lập theo quý nhằm giảm bớt chi phí đi lại của nhà thầu.</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Giao hàng trong giờ hành chính: Khoa Dược-TTB-VTYT Trung tâm Y Tế Ea Kar tại địa bàn xã Ea Kar, tỉnh Đắk Lắk;</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Số nhà/số tầng/số phòng: 40;</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Tên đường, phố: Trần Hưng Đạo;</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Thành phố: Xã Ea Kar, Tỉnh Đắk Lắk;</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Số điện thoại: (0262)6274007; Fax</w:t>
      </w:r>
    </w:p>
    <w:p w:rsidR="00A03B7B" w:rsidRPr="00A03B7B" w:rsidRDefault="00A03B7B" w:rsidP="00A03B7B">
      <w:pPr>
        <w:keepNext/>
        <w:keepLines/>
        <w:widowControl w:val="0"/>
        <w:spacing w:before="0" w:after="0" w:line="240" w:lineRule="auto"/>
        <w:ind w:firstLine="720"/>
        <w:outlineLvl w:val="2"/>
        <w:rPr>
          <w:rFonts w:eastAsia="Times New Roman" w:cstheme="majorBidi"/>
          <w:b/>
          <w:sz w:val="28"/>
          <w:szCs w:val="24"/>
        </w:rPr>
      </w:pPr>
      <w:r w:rsidRPr="00A03B7B">
        <w:rPr>
          <w:rFonts w:eastAsia="Times New Roman" w:cstheme="majorBidi"/>
          <w:b/>
          <w:sz w:val="28"/>
          <w:szCs w:val="24"/>
        </w:rPr>
        <w:t>Mục 2. Yêu cầu về kỹ thuật</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Yêu cầu về kỹ thuật bao gồm các nội dung cơ bản như sau:</w:t>
      </w:r>
    </w:p>
    <w:p w:rsidR="00A03B7B" w:rsidRPr="00A03B7B" w:rsidRDefault="00A03B7B" w:rsidP="00A03B7B">
      <w:pPr>
        <w:tabs>
          <w:tab w:val="left" w:pos="1302"/>
        </w:tabs>
        <w:spacing w:before="0" w:after="0" w:line="240" w:lineRule="auto"/>
        <w:ind w:firstLine="720"/>
        <w:rPr>
          <w:rFonts w:eastAsia="Times New Roman" w:cs="Times New Roman"/>
          <w:b/>
          <w:sz w:val="28"/>
          <w:szCs w:val="28"/>
        </w:rPr>
      </w:pPr>
      <w:r w:rsidRPr="00A03B7B">
        <w:rPr>
          <w:rFonts w:eastAsia="Times New Roman" w:cs="Times New Roman"/>
          <w:b/>
          <w:sz w:val="28"/>
          <w:szCs w:val="28"/>
        </w:rPr>
        <w:t>2.1. Giới thiệu chung về gói thầu</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xml:space="preserve">Gói thầu: Mua thuốc dược liệu, thuốc có kết hợp dược chất với các dược liệu, </w:t>
      </w:r>
      <w:r w:rsidRPr="00A03B7B">
        <w:rPr>
          <w:rFonts w:eastAsia="Calibri" w:cs="Times New Roman"/>
          <w:sz w:val="28"/>
          <w:szCs w:val="28"/>
        </w:rPr>
        <w:lastRenderedPageBreak/>
        <w:t>thuốc cổ truyền năm 2026;</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Dự toán mua sắm: Mua thuốc phục vụ khám, chữa bệnh của Trung tâm Y tế Ea Kar năm 2026-2027;</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Nguồn vốn: Nguồn tài chính hợp pháp (Nguồn thu DVSNC sử dụng NSNN năm 2026-2027);</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Hình thức lựa chọn nhà thầu: Đấu thầu rộng rãi trong nước, qua mạng;</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Phương thức lựa chọn nhà thầu: Một giai đoạn, một túi hồ sơ;</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Thời gian tổ chức lựa chọn nhà thầu: 90 ngày;</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Thời gian bắt đầu tổ chức lựa chọn nhà thầu: Qúy II/2026;</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Loại hợp đồng: Hợp đồng theo đơn giá cố định;</w:t>
      </w:r>
    </w:p>
    <w:p w:rsidR="00A03B7B" w:rsidRPr="00A03B7B" w:rsidRDefault="00A03B7B" w:rsidP="00A03B7B">
      <w:pPr>
        <w:widowControl w:val="0"/>
        <w:spacing w:before="0" w:after="0" w:line="240" w:lineRule="auto"/>
        <w:ind w:firstLine="720"/>
        <w:rPr>
          <w:rFonts w:eastAsia="Times New Roman" w:cs="Times New Roman"/>
          <w:sz w:val="28"/>
          <w:szCs w:val="28"/>
        </w:rPr>
      </w:pPr>
      <w:r w:rsidRPr="00A03B7B">
        <w:rPr>
          <w:rFonts w:eastAsia="Calibri" w:cs="Times New Roman"/>
          <w:color w:val="000000"/>
          <w:sz w:val="28"/>
          <w:szCs w:val="28"/>
        </w:rPr>
        <w:t xml:space="preserve">Thời gian thực hiện gói thầu: </w:t>
      </w:r>
      <w:r w:rsidRPr="00A03B7B">
        <w:rPr>
          <w:rFonts w:eastAsia="Times New Roman" w:cs="Times New Roman"/>
          <w:sz w:val="28"/>
          <w:szCs w:val="28"/>
        </w:rPr>
        <w:t>06 tháng, kể từ ngày ký hợp đồng;</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color w:val="000000"/>
          <w:sz w:val="28"/>
          <w:szCs w:val="28"/>
        </w:rPr>
        <w:t>Tùy chọn mua thêm: Tối đa 30% so với khối lượng tương ứng của hợp đồng (giá trị ước tính 966.123.000 đồng);</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Quy mô dự án: Gồm 01 gói thầu Mua thuốc dược liệu, thuốc có kết hợp dược chất với các dược liệu, thuốc cổ truyền năm 2026;</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xml:space="preserve">Thời hạn hiệu lực của E-HSDT là: </w:t>
      </w:r>
      <w:r w:rsidRPr="00A03B7B">
        <w:rPr>
          <w:rFonts w:eastAsia="Calibri" w:cs="Times New Roman"/>
          <w:color w:val="FF0000"/>
          <w:sz w:val="28"/>
          <w:szCs w:val="28"/>
          <w:lang w:val="it-IT"/>
        </w:rPr>
        <w:t>≥</w:t>
      </w:r>
      <w:r w:rsidRPr="00A03B7B">
        <w:rPr>
          <w:rFonts w:eastAsia="Calibri" w:cs="Times New Roman"/>
          <w:color w:val="FF0000"/>
          <w:sz w:val="28"/>
          <w:szCs w:val="28"/>
        </w:rPr>
        <w:t xml:space="preserve"> 90 ngày</w:t>
      </w:r>
      <w:r w:rsidRPr="00A03B7B">
        <w:rPr>
          <w:rFonts w:eastAsia="Calibri" w:cs="Times New Roman"/>
          <w:sz w:val="28"/>
          <w:szCs w:val="28"/>
        </w:rPr>
        <w:t>, kể từ ngày có thời điểm đóng thầu;</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xml:space="preserve">Thời gian thực hiện hợp đồng: </w:t>
      </w:r>
      <w:r w:rsidRPr="00A03B7B">
        <w:rPr>
          <w:rFonts w:eastAsia="Times New Roman" w:cs="Times New Roman"/>
          <w:sz w:val="28"/>
          <w:szCs w:val="28"/>
        </w:rPr>
        <w:t>06 tháng, kể từ ngày ký hợp đồng;</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Giám sát hoạt động đấu thầu: Không đề xuất.</w:t>
      </w:r>
    </w:p>
    <w:p w:rsidR="00A03B7B" w:rsidRPr="00A03B7B" w:rsidRDefault="00A03B7B" w:rsidP="00A03B7B">
      <w:pPr>
        <w:tabs>
          <w:tab w:val="left" w:pos="1314"/>
        </w:tabs>
        <w:spacing w:before="0" w:after="0" w:line="240" w:lineRule="auto"/>
        <w:ind w:firstLine="720"/>
        <w:rPr>
          <w:rFonts w:eastAsia="Times New Roman" w:cs="Times New Roman"/>
          <w:b/>
          <w:sz w:val="28"/>
          <w:szCs w:val="28"/>
        </w:rPr>
      </w:pPr>
      <w:r w:rsidRPr="00A03B7B">
        <w:rPr>
          <w:rFonts w:eastAsia="Times New Roman" w:cs="Times New Roman"/>
          <w:b/>
          <w:sz w:val="28"/>
          <w:szCs w:val="28"/>
        </w:rPr>
        <w:t>2.2. Yêu cầu về kỹ thuật</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Yêu cầu về kỹ thuật bao gồm yêu cầu về kỹ thuật chung và yêu cầu về kỹ thuật chi tiết đối với thuốc thuộc phạm vi cung cấp của gói thầu.</w:t>
      </w:r>
    </w:p>
    <w:p w:rsidR="00A03B7B" w:rsidRPr="00A03B7B" w:rsidRDefault="00A03B7B" w:rsidP="00A03B7B">
      <w:pPr>
        <w:keepNext/>
        <w:keepLines/>
        <w:widowControl w:val="0"/>
        <w:spacing w:before="0" w:after="0" w:line="240" w:lineRule="auto"/>
        <w:ind w:firstLine="720"/>
        <w:jc w:val="left"/>
        <w:outlineLvl w:val="2"/>
        <w:rPr>
          <w:rFonts w:eastAsia="Times New Roman" w:cstheme="majorBidi"/>
          <w:b/>
          <w:sz w:val="28"/>
          <w:szCs w:val="24"/>
        </w:rPr>
      </w:pPr>
      <w:r w:rsidRPr="00A03B7B">
        <w:rPr>
          <w:rFonts w:eastAsia="Times New Roman" w:cstheme="majorBidi"/>
          <w:b/>
          <w:sz w:val="28"/>
          <w:szCs w:val="24"/>
        </w:rPr>
        <w:t>2.2.1. Yêu cầu về kỹ thuật chung</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Đối với gói thầu thuốc biệt dược gốc có thêm thông tin tên thuốc</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 xml:space="preserve">Đối với gói thầu thuốc dược liệu, thuốc cổ truyền thì tên hoạt chất được thay thế bằng thành phần dược liệu); </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xml:space="preserve">- Yêu cầu về kiểm tra, thử nghiệm được nêu tại </w:t>
      </w:r>
      <w:r w:rsidRPr="00A03B7B">
        <w:rPr>
          <w:rFonts w:eastAsia="Calibri" w:cs="Times New Roman"/>
          <w:i/>
          <w:sz w:val="28"/>
          <w:szCs w:val="28"/>
        </w:rPr>
        <w:t>Mục 3. Kiểm tra và thử nghiệm</w:t>
      </w:r>
      <w:r w:rsidRPr="00A03B7B">
        <w:rPr>
          <w:rFonts w:eastAsia="Calibri" w:cs="Times New Roman"/>
          <w:sz w:val="28"/>
          <w:szCs w:val="28"/>
        </w:rPr>
        <w:t>.</w:t>
      </w:r>
    </w:p>
    <w:p w:rsidR="00A03B7B" w:rsidRPr="00A03B7B" w:rsidRDefault="00A03B7B" w:rsidP="00A03B7B">
      <w:pPr>
        <w:spacing w:before="0" w:after="0" w:line="240" w:lineRule="auto"/>
        <w:ind w:firstLine="720"/>
        <w:rPr>
          <w:rFonts w:eastAsia="Times New Roman" w:cs="Times New Roman"/>
          <w:sz w:val="28"/>
          <w:szCs w:val="28"/>
        </w:rPr>
        <w:sectPr w:rsidR="00A03B7B" w:rsidRPr="00A03B7B" w:rsidSect="00917DAB">
          <w:pgSz w:w="11906" w:h="16838"/>
          <w:pgMar w:top="1134" w:right="851" w:bottom="1134" w:left="1701" w:header="720" w:footer="720" w:gutter="0"/>
          <w:cols w:space="720"/>
          <w:docGrid w:linePitch="299"/>
        </w:sectPr>
      </w:pPr>
      <w:r w:rsidRPr="00A03B7B">
        <w:rPr>
          <w:rFonts w:eastAsia="Calibri" w:cs="Times New Roman"/>
          <w:sz w:val="28"/>
          <w:szCs w:val="28"/>
        </w:rPr>
        <w:t xml:space="preserve">- Yêu cầu về </w:t>
      </w:r>
      <w:r w:rsidRPr="00A03B7B">
        <w:rPr>
          <w:rFonts w:eastAsia="Times New Roman" w:cs="Times New Roman"/>
          <w:sz w:val="28"/>
          <w:szCs w:val="28"/>
        </w:rPr>
        <w:t>đóng gói, vận chuyển, các điều kiện khí hậu tại nơi thuốc được sử dụng</w:t>
      </w:r>
      <w:r w:rsidRPr="00A03B7B">
        <w:rPr>
          <w:rFonts w:eastAsia="Calibri" w:cs="Times New Roman"/>
          <w:sz w:val="28"/>
          <w:szCs w:val="28"/>
        </w:rPr>
        <w:t xml:space="preserve"> được nêu tại </w:t>
      </w:r>
      <w:r w:rsidRPr="00A03B7B">
        <w:rPr>
          <w:rFonts w:eastAsia="Calibri" w:cs="Times New Roman"/>
          <w:i/>
          <w:sz w:val="28"/>
          <w:szCs w:val="28"/>
        </w:rPr>
        <w:t>Mục 1. Phạm vi và tiến độ cung cấp thuốc</w:t>
      </w:r>
      <w:r w:rsidRPr="00A03B7B">
        <w:rPr>
          <w:rFonts w:eastAsia="Calibri" w:cs="Times New Roman"/>
          <w:sz w:val="28"/>
          <w:szCs w:val="28"/>
        </w:rPr>
        <w:t>.</w:t>
      </w:r>
    </w:p>
    <w:p w:rsidR="00A03B7B" w:rsidRPr="00A03B7B" w:rsidRDefault="00A03B7B" w:rsidP="00A03B7B">
      <w:pPr>
        <w:keepNext/>
        <w:keepLines/>
        <w:widowControl w:val="0"/>
        <w:spacing w:before="0" w:after="0" w:line="240" w:lineRule="auto"/>
        <w:ind w:firstLine="720"/>
        <w:jc w:val="left"/>
        <w:outlineLvl w:val="2"/>
        <w:rPr>
          <w:rFonts w:eastAsia="Times New Roman" w:cstheme="majorBidi"/>
          <w:b/>
          <w:sz w:val="28"/>
          <w:szCs w:val="24"/>
        </w:rPr>
      </w:pPr>
      <w:r w:rsidRPr="00A03B7B">
        <w:rPr>
          <w:rFonts w:eastAsia="Times New Roman" w:cstheme="majorBidi"/>
          <w:b/>
          <w:sz w:val="28"/>
          <w:szCs w:val="24"/>
        </w:rPr>
        <w:lastRenderedPageBreak/>
        <w:t>2.2.2. Yêu cầu về kỹ thuật chi tiết</w:t>
      </w:r>
    </w:p>
    <w:p w:rsidR="00A03B7B" w:rsidRPr="00A03B7B" w:rsidRDefault="00A03B7B" w:rsidP="00A03B7B">
      <w:pPr>
        <w:keepNext/>
        <w:keepLines/>
        <w:widowControl w:val="0"/>
        <w:spacing w:before="0" w:after="0" w:line="240" w:lineRule="auto"/>
        <w:ind w:firstLine="720"/>
        <w:jc w:val="left"/>
        <w:outlineLvl w:val="2"/>
        <w:rPr>
          <w:rFonts w:eastAsia="Times New Roman" w:cstheme="majorBidi"/>
          <w:b/>
          <w:sz w:val="28"/>
          <w:szCs w:val="24"/>
        </w:rPr>
      </w:pPr>
      <w:r w:rsidRPr="00A03B7B">
        <w:rPr>
          <w:rFonts w:eastAsia="Times New Roman" w:cstheme="majorBidi"/>
          <w:b/>
          <w:sz w:val="28"/>
          <w:szCs w:val="24"/>
        </w:rPr>
        <w:t>2.2.2.1. Bảng điểm tiêu chuẩn đánh giá về kỹ thuật của thuốc dự thầu</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sz w:val="28"/>
          <w:szCs w:val="28"/>
          <w:lang w:val="es-ES"/>
        </w:rPr>
      </w:pPr>
      <w:r w:rsidRPr="00A03B7B">
        <w:rPr>
          <w:rFonts w:eastAsia="Calibri" w:cs="Times New Roman"/>
          <w:sz w:val="28"/>
          <w:szCs w:val="28"/>
          <w:lang w:val="es-ES"/>
        </w:rPr>
        <w:t xml:space="preserve">Nhà thầu tự chấm điểm kỹ thuật của hàng hóa mà đơn vị mình dự thầu theo các tiêu chí đánh giá được quy định tại Bảng tiêu chuẩn đánh giá về kỹ thuật thuộc </w:t>
      </w:r>
      <w:r w:rsidRPr="00A03B7B">
        <w:rPr>
          <w:rFonts w:eastAsia="Calibri" w:cs="Times New Roman"/>
          <w:i/>
          <w:sz w:val="28"/>
          <w:szCs w:val="28"/>
          <w:lang w:val="es-ES"/>
        </w:rPr>
        <w:t>Phần 4. Phụ lục bảng tiêu chuẩn đánh giá về kỹ thuật</w:t>
      </w:r>
      <w:r w:rsidRPr="00A03B7B">
        <w:rPr>
          <w:rFonts w:eastAsia="Calibri" w:cs="Times New Roman"/>
          <w:sz w:val="28"/>
          <w:szCs w:val="28"/>
          <w:lang w:val="es-ES"/>
        </w:rPr>
        <w:t xml:space="preserve">, và cung cấp Bảng điểm kỹ thuật dưới định </w:t>
      </w:r>
      <w:r w:rsidRPr="00A03B7B">
        <w:rPr>
          <w:rFonts w:eastAsia="Calibri" w:cs="Times New Roman"/>
          <w:sz w:val="28"/>
          <w:szCs w:val="28"/>
        </w:rPr>
        <w:t>dạng</w:t>
      </w:r>
      <w:r w:rsidRPr="00A03B7B">
        <w:rPr>
          <w:rFonts w:eastAsia="Calibri" w:cs="Times New Roman"/>
          <w:sz w:val="28"/>
          <w:szCs w:val="28"/>
          <w:lang w:val="es-ES"/>
        </w:rPr>
        <w:t xml:space="preserve"> </w:t>
      </w:r>
      <w:r w:rsidRPr="00A03B7B">
        <w:rPr>
          <w:rFonts w:eastAsia="Calibri" w:cs="Times New Roman"/>
          <w:b/>
          <w:color w:val="FF0000"/>
          <w:sz w:val="28"/>
          <w:szCs w:val="28"/>
          <w:lang w:val="es-ES"/>
        </w:rPr>
        <w:t>file mềm EXCEL, và file scan định dạng PDF</w:t>
      </w:r>
      <w:r w:rsidRPr="00A03B7B">
        <w:rPr>
          <w:rFonts w:eastAsia="Calibri" w:cs="Times New Roman"/>
          <w:color w:val="FF0000"/>
          <w:sz w:val="28"/>
          <w:szCs w:val="28"/>
          <w:lang w:val="es-ES"/>
        </w:rPr>
        <w:t xml:space="preserve"> </w:t>
      </w:r>
      <w:r w:rsidRPr="00A03B7B">
        <w:rPr>
          <w:rFonts w:eastAsia="Calibri" w:cs="Times New Roman"/>
          <w:sz w:val="28"/>
          <w:szCs w:val="28"/>
          <w:lang w:val="es-ES"/>
        </w:rPr>
        <w:t xml:space="preserve">có ký đại diện hợp pháp của nhà thầu, đóng dấu hợp lệ, đính kèm E-HSDT để Chủ đầu tư thuận tiện trong việc tiến hành đánh giá về mặt kỹ thuật của hàng hóa dự thầu. </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8"/>
          <w:szCs w:val="28"/>
          <w:lang w:val="es-ES"/>
        </w:rPr>
      </w:pPr>
      <w:r w:rsidRPr="00A03B7B">
        <w:rPr>
          <w:rFonts w:eastAsia="Calibri" w:cs="Times New Roman"/>
          <w:b/>
          <w:i/>
          <w:sz w:val="28"/>
          <w:szCs w:val="28"/>
          <w:vertAlign w:val="superscript"/>
        </w:rPr>
        <w:t>*</w:t>
      </w:r>
      <w:r w:rsidRPr="00A03B7B">
        <w:rPr>
          <w:rFonts w:eastAsia="Calibri" w:cs="Times New Roman"/>
          <w:b/>
          <w:i/>
          <w:sz w:val="28"/>
          <w:szCs w:val="28"/>
        </w:rPr>
        <w:t xml:space="preserve">Ghi chú: </w:t>
      </w:r>
      <w:r w:rsidRPr="00A03B7B">
        <w:rPr>
          <w:rFonts w:eastAsia="Calibri" w:cs="Times New Roman"/>
          <w:i/>
          <w:sz w:val="28"/>
          <w:szCs w:val="28"/>
          <w:lang w:val="es-ES"/>
        </w:rPr>
        <w:t>Nhà thầu đã cung cấp bảng tổng hợp điểm kỹ thuật tại mục này thì không bắt buộc phải cung cấp bảng tổng hợp điểm kỹ thuật theo Mẫu số 15, Phần 4. Phụ lục bảng tiêu chuẩn đánh giá về kỹ thuật.</w:t>
      </w:r>
    </w:p>
    <w:p w:rsidR="00A03B7B" w:rsidRPr="00A03B7B" w:rsidRDefault="00A03B7B" w:rsidP="00A03B7B">
      <w:pPr>
        <w:keepNext/>
        <w:keepLines/>
        <w:widowControl w:val="0"/>
        <w:spacing w:before="0" w:after="0" w:line="240" w:lineRule="auto"/>
        <w:jc w:val="right"/>
        <w:outlineLvl w:val="4"/>
        <w:rPr>
          <w:rFonts w:eastAsiaTheme="majorEastAsia" w:cstheme="majorBidi"/>
          <w:b/>
          <w:sz w:val="28"/>
          <w:lang w:val="es-ES"/>
        </w:rPr>
      </w:pPr>
      <w:r w:rsidRPr="00A03B7B">
        <w:rPr>
          <w:rFonts w:eastAsiaTheme="majorEastAsia" w:cstheme="majorBidi"/>
          <w:b/>
          <w:sz w:val="28"/>
          <w:lang w:val="es-ES"/>
        </w:rPr>
        <w:t>Mẫu số 17</w:t>
      </w:r>
    </w:p>
    <w:p w:rsidR="00A03B7B" w:rsidRPr="00A03B7B" w:rsidRDefault="00A03B7B" w:rsidP="00A03B7B">
      <w:pPr>
        <w:widowControl w:val="0"/>
        <w:spacing w:before="0" w:after="0" w:line="240" w:lineRule="auto"/>
        <w:ind w:firstLine="720"/>
        <w:jc w:val="center"/>
        <w:rPr>
          <w:rFonts w:eastAsia="Times New Roman" w:cs="Times New Roman"/>
          <w:b/>
          <w:sz w:val="24"/>
          <w:szCs w:val="24"/>
        </w:rPr>
      </w:pPr>
      <w:r w:rsidRPr="00A03B7B">
        <w:rPr>
          <w:rFonts w:eastAsia="Times New Roman" w:cs="Times New Roman"/>
          <w:b/>
          <w:sz w:val="24"/>
          <w:szCs w:val="24"/>
        </w:rPr>
        <w:t>BẢNG TỔNG HỢP ĐIỂM KỸ THUẬT CỦA TỪNG SẢN PHẨM DỰ THẦU DO NHÀ THẦU TỰ ĐÁNH GIÁ</w:t>
      </w:r>
    </w:p>
    <w:p w:rsidR="00A03B7B" w:rsidRPr="00A03B7B" w:rsidRDefault="00A03B7B" w:rsidP="00A03B7B">
      <w:pPr>
        <w:widowControl w:val="0"/>
        <w:spacing w:before="0" w:after="0" w:line="240" w:lineRule="auto"/>
        <w:ind w:firstLine="567"/>
        <w:rPr>
          <w:rFonts w:eastAsia="Times New Roman" w:cs="Times New Roman"/>
          <w:sz w:val="24"/>
          <w:szCs w:val="24"/>
        </w:rPr>
      </w:pPr>
      <w:r w:rsidRPr="00A03B7B">
        <w:rPr>
          <w:rFonts w:eastAsia="Times New Roman" w:cs="Times New Roman"/>
          <w:bCs/>
          <w:sz w:val="24"/>
          <w:szCs w:val="24"/>
          <w:lang w:val="es-ES"/>
        </w:rPr>
        <w:t>E-HSDT của nhà thầu</w:t>
      </w:r>
      <w:r w:rsidRPr="00A03B7B">
        <w:rPr>
          <w:rFonts w:eastAsia="Times New Roman" w:cs="Times New Roman"/>
          <w:sz w:val="24"/>
          <w:szCs w:val="24"/>
        </w:rPr>
        <w:t>:…………………………………………………..</w:t>
      </w:r>
    </w:p>
    <w:p w:rsidR="00A03B7B" w:rsidRPr="00A03B7B" w:rsidRDefault="00A03B7B" w:rsidP="00A03B7B">
      <w:pPr>
        <w:widowControl w:val="0"/>
        <w:spacing w:before="0" w:after="0" w:line="240" w:lineRule="auto"/>
        <w:ind w:firstLine="567"/>
        <w:rPr>
          <w:rFonts w:eastAsia="Times New Roman" w:cs="Times New Roman"/>
          <w:sz w:val="24"/>
          <w:szCs w:val="24"/>
        </w:rPr>
      </w:pPr>
      <w:r w:rsidRPr="00A03B7B">
        <w:rPr>
          <w:rFonts w:eastAsia="Times New Roman" w:cs="Times New Roman"/>
          <w:sz w:val="24"/>
          <w:szCs w:val="24"/>
        </w:rPr>
        <w:t>Địa chỉ nhà thầu: ………………………………………………………..</w:t>
      </w:r>
    </w:p>
    <w:p w:rsidR="00A03B7B" w:rsidRPr="00A03B7B" w:rsidRDefault="00A03B7B" w:rsidP="00A03B7B">
      <w:pPr>
        <w:widowControl w:val="0"/>
        <w:spacing w:before="0" w:after="0" w:line="240" w:lineRule="auto"/>
        <w:ind w:firstLine="567"/>
        <w:rPr>
          <w:rFonts w:eastAsia="Times New Roman" w:cs="Times New Roman"/>
          <w:sz w:val="24"/>
          <w:szCs w:val="24"/>
        </w:rPr>
      </w:pPr>
      <w:r w:rsidRPr="00A03B7B">
        <w:rPr>
          <w:rFonts w:eastAsia="Times New Roman" w:cs="Times New Roman"/>
          <w:sz w:val="24"/>
          <w:szCs w:val="24"/>
        </w:rPr>
        <w:t>Tiêu chuẩn thực hành tốt của nhà thầu: …………………………………</w:t>
      </w:r>
    </w:p>
    <w:tbl>
      <w:tblPr>
        <w:tblW w:w="15876" w:type="dxa"/>
        <w:tblInd w:w="-289" w:type="dxa"/>
        <w:tblLayout w:type="fixed"/>
        <w:tblLook w:val="04A0" w:firstRow="1" w:lastRow="0" w:firstColumn="1" w:lastColumn="0" w:noHBand="0" w:noVBand="1"/>
      </w:tblPr>
      <w:tblGrid>
        <w:gridCol w:w="567"/>
        <w:gridCol w:w="425"/>
        <w:gridCol w:w="425"/>
        <w:gridCol w:w="427"/>
        <w:gridCol w:w="707"/>
        <w:gridCol w:w="567"/>
        <w:gridCol w:w="567"/>
        <w:gridCol w:w="709"/>
        <w:gridCol w:w="567"/>
        <w:gridCol w:w="567"/>
        <w:gridCol w:w="567"/>
        <w:gridCol w:w="567"/>
        <w:gridCol w:w="567"/>
        <w:gridCol w:w="425"/>
        <w:gridCol w:w="426"/>
        <w:gridCol w:w="567"/>
        <w:gridCol w:w="426"/>
        <w:gridCol w:w="566"/>
        <w:gridCol w:w="425"/>
        <w:gridCol w:w="426"/>
        <w:gridCol w:w="426"/>
        <w:gridCol w:w="567"/>
        <w:gridCol w:w="284"/>
        <w:gridCol w:w="283"/>
        <w:gridCol w:w="284"/>
        <w:gridCol w:w="283"/>
        <w:gridCol w:w="284"/>
        <w:gridCol w:w="283"/>
        <w:gridCol w:w="284"/>
        <w:gridCol w:w="283"/>
        <w:gridCol w:w="284"/>
        <w:gridCol w:w="283"/>
        <w:gridCol w:w="284"/>
        <w:gridCol w:w="283"/>
        <w:gridCol w:w="284"/>
        <w:gridCol w:w="283"/>
        <w:gridCol w:w="424"/>
      </w:tblGrid>
      <w:tr w:rsidR="00A03B7B" w:rsidRPr="00A03B7B" w:rsidTr="00FA45E4">
        <w:trPr>
          <w:trHeight w:val="49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STT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Mã phần</w:t>
            </w:r>
          </w:p>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(Lô)</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Mã thuốc</w:t>
            </w: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Tên thuốc</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Tên hoạt chất/Tên thành phần của thuốc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Nồng độ, hàm lượng</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Đường dùng</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Dạng bào chế</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Quy cách</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Nhóm thuốc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Hạn dùng (Tuổi thọ)</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 xml:space="preserve">GĐKLH hoặc GPNK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Cơ sở sản xuất</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Nước sản xuất</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Đơn vị tính</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2" w:right="-90"/>
              <w:jc w:val="center"/>
              <w:rPr>
                <w:rFonts w:eastAsia="Times New Roman" w:cs="Times New Roman"/>
                <w:b/>
                <w:bCs/>
                <w:sz w:val="18"/>
                <w:szCs w:val="18"/>
              </w:rPr>
            </w:pPr>
            <w:r w:rsidRPr="00A03B7B">
              <w:rPr>
                <w:rFonts w:eastAsia="Times New Roman" w:cs="Times New Roman"/>
                <w:b/>
                <w:bCs/>
                <w:sz w:val="18"/>
                <w:szCs w:val="18"/>
              </w:rPr>
              <w:t>Số lượng dự thầu</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Đơn giá dự thầu</w:t>
            </w:r>
          </w:p>
        </w:tc>
        <w:tc>
          <w:tcPr>
            <w:tcW w:w="566" w:type="dxa"/>
            <w:vMerge w:val="restart"/>
            <w:tcBorders>
              <w:top w:val="single" w:sz="4" w:space="0" w:color="auto"/>
              <w:left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Thành tiền</w:t>
            </w:r>
          </w:p>
        </w:tc>
        <w:tc>
          <w:tcPr>
            <w:tcW w:w="425" w:type="dxa"/>
            <w:vMerge w:val="restart"/>
            <w:tcBorders>
              <w:top w:val="single" w:sz="4" w:space="0" w:color="auto"/>
              <w:left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Phân loại</w:t>
            </w:r>
          </w:p>
        </w:tc>
        <w:tc>
          <w:tcPr>
            <w:tcW w:w="426" w:type="dxa"/>
            <w:vMerge w:val="restart"/>
            <w:tcBorders>
              <w:top w:val="single" w:sz="4" w:space="0" w:color="auto"/>
              <w:left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Giá kê khai (nếu có)</w:t>
            </w:r>
          </w:p>
        </w:tc>
        <w:tc>
          <w:tcPr>
            <w:tcW w:w="426" w:type="dxa"/>
            <w:vMerge w:val="restart"/>
            <w:tcBorders>
              <w:top w:val="single" w:sz="4" w:space="0" w:color="auto"/>
              <w:left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Giá bán buôn (nếu có)</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Thuốc hưởng ưu đãi (nếu có)</w:t>
            </w:r>
          </w:p>
        </w:tc>
        <w:tc>
          <w:tcPr>
            <w:tcW w:w="3969" w:type="dxa"/>
            <w:gridSpan w:val="14"/>
            <w:tcBorders>
              <w:top w:val="single" w:sz="4" w:space="0" w:color="auto"/>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b/>
                <w:bCs/>
                <w:sz w:val="18"/>
                <w:szCs w:val="18"/>
              </w:rPr>
            </w:pPr>
            <w:r w:rsidRPr="00A03B7B">
              <w:rPr>
                <w:rFonts w:eastAsia="Times New Roman" w:cs="Times New Roman"/>
                <w:b/>
                <w:bCs/>
                <w:sz w:val="18"/>
                <w:szCs w:val="18"/>
              </w:rPr>
              <w:t>Điểm tiêu chuẩn đánh giá về kỹ thuật</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99" w:right="-153"/>
              <w:jc w:val="center"/>
              <w:rPr>
                <w:rFonts w:eastAsia="Times New Roman" w:cs="Times New Roman"/>
                <w:b/>
                <w:bCs/>
                <w:sz w:val="18"/>
                <w:szCs w:val="18"/>
              </w:rPr>
            </w:pPr>
            <w:r w:rsidRPr="00A03B7B">
              <w:rPr>
                <w:rFonts w:eastAsia="Times New Roman" w:cs="Times New Roman"/>
                <w:b/>
                <w:bCs/>
                <w:sz w:val="18"/>
                <w:szCs w:val="18"/>
              </w:rPr>
              <w:t xml:space="preserve">Tổng điểm </w:t>
            </w:r>
          </w:p>
        </w:tc>
      </w:tr>
      <w:tr w:rsidR="00A03B7B" w:rsidRPr="00A03B7B" w:rsidTr="00FA45E4">
        <w:trPr>
          <w:trHeight w:val="10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426" w:type="dxa"/>
            <w:vMerge/>
            <w:tcBorders>
              <w:top w:val="single" w:sz="4" w:space="0" w:color="auto"/>
              <w:left w:val="single" w:sz="4" w:space="0" w:color="auto"/>
              <w:bottom w:val="single" w:sz="4" w:space="0" w:color="000000"/>
              <w:right w:val="single" w:sz="4" w:space="0" w:color="auto"/>
            </w:tcBorders>
          </w:tcPr>
          <w:p w:rsidR="00A03B7B" w:rsidRPr="00A03B7B" w:rsidRDefault="00A03B7B" w:rsidP="00A03B7B">
            <w:pPr>
              <w:widowControl w:val="0"/>
              <w:spacing w:before="0" w:after="0" w:line="240" w:lineRule="auto"/>
              <w:jc w:val="left"/>
              <w:rPr>
                <w:rFonts w:eastAsia="Times New Roman" w:cs="Times New Roman"/>
                <w:b/>
                <w:bCs/>
                <w:sz w:val="18"/>
                <w:szCs w:val="18"/>
              </w:rPr>
            </w:pPr>
          </w:p>
        </w:tc>
        <w:tc>
          <w:tcPr>
            <w:tcW w:w="566" w:type="dxa"/>
            <w:vMerge/>
            <w:tcBorders>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p>
        </w:tc>
        <w:tc>
          <w:tcPr>
            <w:tcW w:w="425" w:type="dxa"/>
            <w:vMerge/>
            <w:tcBorders>
              <w:left w:val="single" w:sz="4" w:space="0" w:color="auto"/>
              <w:bottom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p>
        </w:tc>
        <w:tc>
          <w:tcPr>
            <w:tcW w:w="426" w:type="dxa"/>
            <w:vMerge/>
            <w:tcBorders>
              <w:left w:val="single" w:sz="4" w:space="0" w:color="auto"/>
              <w:bottom w:val="single" w:sz="4" w:space="0" w:color="000000"/>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p>
        </w:tc>
        <w:tc>
          <w:tcPr>
            <w:tcW w:w="426" w:type="dxa"/>
            <w:vMerge/>
            <w:tcBorders>
              <w:left w:val="single" w:sz="4" w:space="0" w:color="auto"/>
              <w:bottom w:val="single" w:sz="4" w:space="0" w:color="000000"/>
              <w:right w:val="single" w:sz="4" w:space="0" w:color="auto"/>
            </w:tcBorders>
          </w:tcPr>
          <w:p w:rsidR="00A03B7B" w:rsidRPr="00A03B7B" w:rsidRDefault="00A03B7B" w:rsidP="00A03B7B">
            <w:pPr>
              <w:widowControl w:val="0"/>
              <w:spacing w:before="0" w:after="0" w:line="240" w:lineRule="auto"/>
              <w:ind w:right="-110"/>
              <w:jc w:val="left"/>
              <w:rPr>
                <w:rFonts w:eastAsia="Times New Roman" w:cs="Times New Roman"/>
                <w:b/>
                <w:bCs/>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I.1</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I.2</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I.3</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I.4</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I.5</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I.6</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I.7</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I.8</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I.9</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II.10</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II.11</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II.12</w:t>
            </w:r>
          </w:p>
        </w:tc>
        <w:tc>
          <w:tcPr>
            <w:tcW w:w="284"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II.13</w:t>
            </w:r>
          </w:p>
        </w:tc>
        <w:tc>
          <w:tcPr>
            <w:tcW w:w="283" w:type="dxa"/>
            <w:tcBorders>
              <w:top w:val="nil"/>
              <w:left w:val="nil"/>
              <w:bottom w:val="single" w:sz="4" w:space="0" w:color="auto"/>
              <w:right w:val="single" w:sz="4" w:space="0" w:color="auto"/>
            </w:tcBorders>
            <w:shd w:val="clear" w:color="auto" w:fill="auto"/>
            <w:hideMark/>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b/>
                <w:bCs/>
                <w:sz w:val="18"/>
                <w:szCs w:val="18"/>
              </w:rPr>
              <w:t>TC II.14</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A03B7B" w:rsidRPr="00A03B7B" w:rsidRDefault="00A03B7B" w:rsidP="00A03B7B">
            <w:pPr>
              <w:widowControl w:val="0"/>
              <w:spacing w:before="0" w:after="0" w:line="240" w:lineRule="auto"/>
              <w:jc w:val="left"/>
              <w:rPr>
                <w:rFonts w:eastAsia="Times New Roman" w:cs="Times New Roman"/>
                <w:b/>
                <w:bCs/>
                <w:sz w:val="18"/>
                <w:szCs w:val="18"/>
              </w:rPr>
            </w:pPr>
          </w:p>
        </w:tc>
      </w:tr>
      <w:tr w:rsidR="00A03B7B" w:rsidRPr="00A03B7B" w:rsidTr="00FA45E4">
        <w:trPr>
          <w:trHeight w:val="1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 (1)</w:t>
            </w:r>
          </w:p>
        </w:tc>
        <w:tc>
          <w:tcPr>
            <w:tcW w:w="425"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 (2)</w:t>
            </w:r>
          </w:p>
        </w:tc>
        <w:tc>
          <w:tcPr>
            <w:tcW w:w="425"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w:t>
            </w:r>
          </w:p>
        </w:tc>
        <w:tc>
          <w:tcPr>
            <w:tcW w:w="42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(4)</w:t>
            </w:r>
          </w:p>
        </w:tc>
        <w:tc>
          <w:tcPr>
            <w:tcW w:w="70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(5)</w:t>
            </w:r>
          </w:p>
        </w:tc>
        <w:tc>
          <w:tcPr>
            <w:tcW w:w="56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(6)</w:t>
            </w:r>
          </w:p>
        </w:tc>
        <w:tc>
          <w:tcPr>
            <w:tcW w:w="56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(7)</w:t>
            </w:r>
          </w:p>
        </w:tc>
        <w:tc>
          <w:tcPr>
            <w:tcW w:w="709"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(8)</w:t>
            </w:r>
          </w:p>
        </w:tc>
        <w:tc>
          <w:tcPr>
            <w:tcW w:w="56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(9)</w:t>
            </w:r>
          </w:p>
        </w:tc>
        <w:tc>
          <w:tcPr>
            <w:tcW w:w="56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(10)</w:t>
            </w:r>
          </w:p>
        </w:tc>
        <w:tc>
          <w:tcPr>
            <w:tcW w:w="567" w:type="dxa"/>
            <w:tcBorders>
              <w:top w:val="nil"/>
              <w:left w:val="nil"/>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(11)</w:t>
            </w:r>
          </w:p>
        </w:tc>
        <w:tc>
          <w:tcPr>
            <w:tcW w:w="567"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(13)</w:t>
            </w:r>
          </w:p>
        </w:tc>
        <w:tc>
          <w:tcPr>
            <w:tcW w:w="425"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(14)</w:t>
            </w:r>
          </w:p>
        </w:tc>
        <w:tc>
          <w:tcPr>
            <w:tcW w:w="426"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(15)</w:t>
            </w:r>
          </w:p>
        </w:tc>
        <w:tc>
          <w:tcPr>
            <w:tcW w:w="567"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(16)</w:t>
            </w:r>
          </w:p>
        </w:tc>
        <w:tc>
          <w:tcPr>
            <w:tcW w:w="426"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(17)</w:t>
            </w:r>
          </w:p>
        </w:tc>
        <w:tc>
          <w:tcPr>
            <w:tcW w:w="566" w:type="dxa"/>
            <w:tcBorders>
              <w:top w:val="single" w:sz="4" w:space="0" w:color="auto"/>
              <w:left w:val="nil"/>
              <w:bottom w:val="single" w:sz="4" w:space="0" w:color="auto"/>
              <w:right w:val="single" w:sz="4" w:space="0" w:color="auto"/>
            </w:tcBorders>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(19)</w:t>
            </w:r>
          </w:p>
        </w:tc>
        <w:tc>
          <w:tcPr>
            <w:tcW w:w="426" w:type="dxa"/>
            <w:tcBorders>
              <w:top w:val="nil"/>
              <w:left w:val="single" w:sz="4" w:space="0" w:color="auto"/>
              <w:bottom w:val="single" w:sz="4" w:space="0" w:color="auto"/>
              <w:right w:val="single" w:sz="4" w:space="0" w:color="auto"/>
            </w:tcBorders>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(20)</w:t>
            </w:r>
          </w:p>
        </w:tc>
        <w:tc>
          <w:tcPr>
            <w:tcW w:w="426" w:type="dxa"/>
            <w:tcBorders>
              <w:top w:val="nil"/>
              <w:left w:val="single" w:sz="4" w:space="0" w:color="auto"/>
              <w:bottom w:val="single" w:sz="4" w:space="0" w:color="auto"/>
              <w:right w:val="single" w:sz="4" w:space="0" w:color="auto"/>
            </w:tcBorders>
            <w:vAlign w:val="center"/>
          </w:tcPr>
          <w:p w:rsidR="00A03B7B" w:rsidRPr="00A03B7B" w:rsidRDefault="00A03B7B" w:rsidP="00A03B7B">
            <w:pPr>
              <w:widowControl w:val="0"/>
              <w:spacing w:before="0" w:after="0" w:line="240" w:lineRule="auto"/>
              <w:ind w:left="-160" w:right="-110"/>
              <w:jc w:val="center"/>
              <w:rPr>
                <w:rFonts w:eastAsia="Times New Roman" w:cs="Times New Roman"/>
                <w:b/>
                <w:bCs/>
                <w:sz w:val="18"/>
                <w:szCs w:val="18"/>
              </w:rPr>
            </w:pPr>
            <w:r w:rsidRPr="00A03B7B">
              <w:rPr>
                <w:rFonts w:eastAsia="Times New Roman" w:cs="Times New Roman"/>
                <w:i/>
                <w:sz w:val="18"/>
                <w:szCs w:val="18"/>
              </w:rPr>
              <w:t>(21)</w:t>
            </w:r>
          </w:p>
        </w:tc>
        <w:tc>
          <w:tcPr>
            <w:tcW w:w="567" w:type="dxa"/>
            <w:tcBorders>
              <w:top w:val="nil"/>
              <w:left w:val="single" w:sz="4" w:space="0" w:color="auto"/>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(22)</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(23)</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(24)</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(25)</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(26)</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(27)</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(28)</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(29)</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(30)</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(31)</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(32)</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(33)</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(34)</w:t>
            </w:r>
          </w:p>
        </w:tc>
        <w:tc>
          <w:tcPr>
            <w:tcW w:w="28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(35)</w:t>
            </w:r>
          </w:p>
        </w:tc>
        <w:tc>
          <w:tcPr>
            <w:tcW w:w="283"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(36)</w:t>
            </w:r>
          </w:p>
        </w:tc>
        <w:tc>
          <w:tcPr>
            <w:tcW w:w="424" w:type="dxa"/>
            <w:tcBorders>
              <w:top w:val="nil"/>
              <w:left w:val="nil"/>
              <w:bottom w:val="single" w:sz="4" w:space="0" w:color="auto"/>
              <w:right w:val="single" w:sz="4" w:space="0" w:color="auto"/>
            </w:tcBorders>
            <w:shd w:val="clear" w:color="auto" w:fill="auto"/>
            <w:noWrap/>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r w:rsidRPr="00A03B7B">
              <w:rPr>
                <w:rFonts w:eastAsia="Times New Roman" w:cs="Times New Roman"/>
                <w:i/>
                <w:sz w:val="18"/>
                <w:szCs w:val="18"/>
              </w:rPr>
              <w:t>(37)</w:t>
            </w:r>
          </w:p>
        </w:tc>
      </w:tr>
      <w:tr w:rsidR="00A03B7B" w:rsidRPr="00A03B7B" w:rsidTr="00FA45E4">
        <w:trPr>
          <w:trHeight w:val="1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1</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70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6" w:type="dxa"/>
            <w:tcBorders>
              <w:top w:val="single" w:sz="4" w:space="0" w:color="auto"/>
              <w:left w:val="nil"/>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6" w:type="dxa"/>
            <w:tcBorders>
              <w:top w:val="nil"/>
              <w:left w:val="single" w:sz="4" w:space="0" w:color="auto"/>
              <w:bottom w:val="single" w:sz="4" w:space="0" w:color="auto"/>
              <w:right w:val="single" w:sz="4" w:space="0" w:color="auto"/>
            </w:tcBorders>
            <w:vAlign w:val="center"/>
          </w:tcPr>
          <w:p w:rsidR="00A03B7B" w:rsidRPr="00A03B7B" w:rsidRDefault="00A03B7B" w:rsidP="00A03B7B">
            <w:pPr>
              <w:widowControl w:val="0"/>
              <w:spacing w:before="0" w:after="0" w:line="240" w:lineRule="auto"/>
              <w:ind w:left="-138" w:right="-103"/>
              <w:jc w:val="center"/>
              <w:rPr>
                <w:rFonts w:eastAsia="Times New Roman" w:cs="Times New Roman"/>
                <w:i/>
                <w:sz w:val="18"/>
                <w:szCs w:val="18"/>
              </w:rPr>
            </w:pPr>
          </w:p>
        </w:tc>
        <w:tc>
          <w:tcPr>
            <w:tcW w:w="426" w:type="dxa"/>
            <w:tcBorders>
              <w:top w:val="nil"/>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r>
      <w:tr w:rsidR="00A03B7B" w:rsidRPr="00A03B7B" w:rsidTr="00FA45E4">
        <w:trPr>
          <w:trHeight w:val="1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2</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70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6" w:type="dxa"/>
            <w:tcBorders>
              <w:top w:val="single" w:sz="4" w:space="0" w:color="auto"/>
              <w:left w:val="nil"/>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6" w:type="dxa"/>
            <w:tcBorders>
              <w:top w:val="nil"/>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6" w:type="dxa"/>
            <w:tcBorders>
              <w:top w:val="nil"/>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r>
      <w:tr w:rsidR="00A03B7B" w:rsidRPr="00A03B7B" w:rsidTr="00FA45E4">
        <w:trPr>
          <w:trHeight w:val="1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70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left"/>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566" w:type="dxa"/>
            <w:tcBorders>
              <w:top w:val="single" w:sz="4" w:space="0" w:color="auto"/>
              <w:left w:val="nil"/>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6" w:type="dxa"/>
            <w:tcBorders>
              <w:top w:val="nil"/>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426" w:type="dxa"/>
            <w:tcBorders>
              <w:top w:val="nil"/>
              <w:left w:val="single" w:sz="4" w:space="0" w:color="auto"/>
              <w:bottom w:val="single" w:sz="4" w:space="0" w:color="auto"/>
              <w:right w:val="single" w:sz="4" w:space="0" w:color="auto"/>
            </w:tcBorders>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A03B7B" w:rsidRPr="00A03B7B" w:rsidRDefault="00A03B7B" w:rsidP="00A03B7B">
            <w:pPr>
              <w:widowControl w:val="0"/>
              <w:spacing w:before="0" w:after="0" w:line="240" w:lineRule="auto"/>
              <w:jc w:val="center"/>
              <w:rPr>
                <w:rFonts w:eastAsia="Times New Roman" w:cs="Times New Roman"/>
                <w:sz w:val="18"/>
                <w:szCs w:val="18"/>
              </w:rPr>
            </w:pP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283"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c>
          <w:tcPr>
            <w:tcW w:w="424" w:type="dxa"/>
            <w:tcBorders>
              <w:top w:val="nil"/>
              <w:left w:val="nil"/>
              <w:bottom w:val="single" w:sz="4" w:space="0" w:color="auto"/>
              <w:right w:val="single" w:sz="4" w:space="0" w:color="auto"/>
            </w:tcBorders>
            <w:shd w:val="clear" w:color="auto" w:fill="auto"/>
            <w:noWrap/>
            <w:vAlign w:val="center"/>
            <w:hideMark/>
          </w:tcPr>
          <w:p w:rsidR="00A03B7B" w:rsidRPr="00A03B7B" w:rsidRDefault="00A03B7B" w:rsidP="00A03B7B">
            <w:pPr>
              <w:widowControl w:val="0"/>
              <w:spacing w:before="0" w:after="0" w:line="240" w:lineRule="auto"/>
              <w:jc w:val="center"/>
              <w:rPr>
                <w:rFonts w:eastAsia="Times New Roman" w:cs="Times New Roman"/>
                <w:sz w:val="18"/>
                <w:szCs w:val="18"/>
              </w:rPr>
            </w:pPr>
            <w:r w:rsidRPr="00A03B7B">
              <w:rPr>
                <w:rFonts w:eastAsia="Times New Roman" w:cs="Times New Roman"/>
                <w:sz w:val="18"/>
                <w:szCs w:val="18"/>
              </w:rPr>
              <w:t> </w:t>
            </w:r>
          </w:p>
        </w:tc>
      </w:tr>
    </w:tbl>
    <w:p w:rsidR="00A03B7B" w:rsidRPr="00A03B7B" w:rsidRDefault="00A03B7B" w:rsidP="00A03B7B">
      <w:pPr>
        <w:widowControl w:val="0"/>
        <w:autoSpaceDE w:val="0"/>
        <w:autoSpaceDN w:val="0"/>
        <w:adjustRightInd w:val="0"/>
        <w:spacing w:before="0" w:after="0" w:line="240" w:lineRule="auto"/>
        <w:ind w:firstLine="567"/>
        <w:rPr>
          <w:rFonts w:eastAsia="Calibri" w:cs="Times New Roman"/>
          <w:b/>
          <w:bCs/>
          <w:i/>
          <w:iCs/>
          <w:sz w:val="22"/>
        </w:rPr>
      </w:pPr>
    </w:p>
    <w:tbl>
      <w:tblPr>
        <w:tblW w:w="0" w:type="auto"/>
        <w:tblLook w:val="04A0" w:firstRow="1" w:lastRow="0" w:firstColumn="1" w:lastColumn="0" w:noHBand="0" w:noVBand="1"/>
      </w:tblPr>
      <w:tblGrid>
        <w:gridCol w:w="10065"/>
        <w:gridCol w:w="4495"/>
      </w:tblGrid>
      <w:tr w:rsidR="00A03B7B" w:rsidRPr="00A03B7B" w:rsidTr="00FA45E4">
        <w:tc>
          <w:tcPr>
            <w:tcW w:w="10065" w:type="dxa"/>
          </w:tcPr>
          <w:p w:rsidR="00A03B7B" w:rsidRPr="00A03B7B" w:rsidRDefault="00A03B7B" w:rsidP="00A03B7B">
            <w:pPr>
              <w:widowControl w:val="0"/>
              <w:spacing w:before="0" w:after="0" w:line="240" w:lineRule="auto"/>
              <w:rPr>
                <w:rFonts w:eastAsia="Times New Roman" w:cs="Times New Roman"/>
                <w:sz w:val="24"/>
                <w:szCs w:val="24"/>
              </w:rPr>
            </w:pPr>
          </w:p>
        </w:tc>
        <w:tc>
          <w:tcPr>
            <w:tcW w:w="4495" w:type="dxa"/>
          </w:tcPr>
          <w:p w:rsidR="00A03B7B" w:rsidRPr="00A03B7B" w:rsidRDefault="00A03B7B" w:rsidP="00A03B7B">
            <w:pPr>
              <w:widowControl w:val="0"/>
              <w:tabs>
                <w:tab w:val="right" w:pos="9000"/>
              </w:tabs>
              <w:spacing w:before="0" w:after="0" w:line="240" w:lineRule="auto"/>
              <w:jc w:val="center"/>
              <w:rPr>
                <w:rFonts w:eastAsia="Calibri" w:cs="Times New Roman"/>
                <w:sz w:val="22"/>
                <w:lang w:val="es-ES"/>
              </w:rPr>
            </w:pPr>
            <w:r w:rsidRPr="00A03B7B">
              <w:rPr>
                <w:rFonts w:eastAsia="Calibri" w:cs="Times New Roman"/>
                <w:sz w:val="22"/>
                <w:lang w:val="es-ES"/>
              </w:rPr>
              <w:t xml:space="preserve">……., ngày          tháng          năm                                                                                                                                                                            </w:t>
            </w:r>
            <w:r w:rsidRPr="00A03B7B">
              <w:rPr>
                <w:rFonts w:eastAsia="Calibri" w:cs="Times New Roman"/>
                <w:b/>
                <w:sz w:val="22"/>
                <w:lang w:val="es-ES"/>
              </w:rPr>
              <w:t>Đại diện hợp pháp của nhà thầu</w:t>
            </w:r>
            <w:r w:rsidRPr="00A03B7B">
              <w:rPr>
                <w:rFonts w:eastAsia="Calibri" w:cs="Times New Roman"/>
                <w:b/>
                <w:i/>
                <w:iCs/>
                <w:sz w:val="22"/>
                <w:lang w:val="es-ES"/>
              </w:rPr>
              <w:t xml:space="preserve">                                                                                                                                                              </w:t>
            </w:r>
            <w:r w:rsidRPr="00A03B7B">
              <w:rPr>
                <w:rFonts w:eastAsia="Calibri" w:cs="Times New Roman"/>
                <w:i/>
                <w:iCs/>
                <w:sz w:val="22"/>
                <w:lang w:val="es-ES"/>
              </w:rPr>
              <w:t>[Ghi tên, chức danh, ký tên và đóng dấu]</w:t>
            </w:r>
          </w:p>
        </w:tc>
      </w:tr>
    </w:tbl>
    <w:p w:rsidR="00A03B7B" w:rsidRPr="00A03B7B" w:rsidRDefault="00A03B7B" w:rsidP="00A03B7B">
      <w:pPr>
        <w:widowControl w:val="0"/>
        <w:autoSpaceDE w:val="0"/>
        <w:autoSpaceDN w:val="0"/>
        <w:adjustRightInd w:val="0"/>
        <w:spacing w:before="0" w:after="0" w:line="240" w:lineRule="auto"/>
        <w:ind w:firstLine="720"/>
        <w:rPr>
          <w:rFonts w:eastAsia="Calibri" w:cs="Times New Roman"/>
          <w:i/>
          <w:iCs/>
          <w:sz w:val="22"/>
          <w:u w:val="single"/>
        </w:rPr>
      </w:pPr>
      <w:r w:rsidRPr="00A03B7B">
        <w:rPr>
          <w:rFonts w:eastAsia="Calibri" w:cs="Times New Roman"/>
          <w:b/>
          <w:bCs/>
          <w:i/>
          <w:iCs/>
          <w:sz w:val="22"/>
        </w:rPr>
        <w:t xml:space="preserve">* </w:t>
      </w:r>
      <w:r w:rsidRPr="00A03B7B">
        <w:rPr>
          <w:rFonts w:eastAsia="Calibri" w:cs="Times New Roman"/>
          <w:b/>
          <w:bCs/>
          <w:i/>
          <w:iCs/>
          <w:sz w:val="22"/>
          <w:u w:val="single"/>
        </w:rPr>
        <w:t>Ghi chú:</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 Các cột từ (1) đến (18): Nhà thầu điền theo thông tin mặt hàng tham dự thầu.</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 Cột (19) Phân loại: Đề nghị ghi rõ việc mặt hàng thuốc do nhà thầu trực tiếp sản xuất, nhập khẩu hoặc kinh doanh như sau để phục vụ việc chấm điểm:</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a. Thuốc do nhà thầu trực tiếp sản xuất và dự thầu: ghi ký hiệu là SX.</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b. Thuốc do nhà thầu trực tiếp nhập khẩu và dự thầu: ghi ký hiệu là NK.</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c. Thuốc do nhà thầu mua từ doanh nghiệp sản xuất, nhập khẩu hoặc kinh doanh khác để dự thầu: ghi ký hiệu là KD và ghi rõ tên cơ sở nhập khẩu đối với thuốc nhập khẩu.</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 xml:space="preserve">- Cột (22): Nhà thầu điền “Có” nếu thuốc được hưởng ưu đãi, bỏ qua nếu thuốc không thuộc diện này. Nhà thầu nộp mẫu số 06(a) và mẫu số 06(b) kèm các tài liệu chứng minh liên quan chi phí sản xuất trong nước. </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 xml:space="preserve">- Các cột từ (23) đến (36): Nhà thầu tự chấm điểm kỹ thuật của thuốc dự thầu theo từng tiêu chí kỹ thuật được quy định tại Phần 4. Phụ lục bảng tiêu chuẩn đánh </w:t>
      </w:r>
      <w:r w:rsidRPr="00A03B7B">
        <w:rPr>
          <w:rFonts w:eastAsia="Calibri" w:cs="Times New Roman"/>
          <w:i/>
          <w:sz w:val="22"/>
        </w:rPr>
        <w:lastRenderedPageBreak/>
        <w:t>giá về kỹ thuật.</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r w:rsidRPr="00A03B7B">
        <w:rPr>
          <w:rFonts w:eastAsia="Calibri" w:cs="Times New Roman"/>
          <w:i/>
          <w:sz w:val="22"/>
        </w:rPr>
        <w:t>- Cột (37): Tổng điểm kỹ thuật của thuốc dự thầu, bằng tổng điểm kỹ thuật thành phần từ ô số (23) đến ô số (36).</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i/>
          <w:sz w:val="22"/>
        </w:rPr>
      </w:pPr>
    </w:p>
    <w:p w:rsidR="00A03B7B" w:rsidRPr="00A03B7B" w:rsidRDefault="00A03B7B" w:rsidP="00A03B7B">
      <w:pPr>
        <w:widowControl w:val="0"/>
        <w:autoSpaceDE w:val="0"/>
        <w:autoSpaceDN w:val="0"/>
        <w:adjustRightInd w:val="0"/>
        <w:spacing w:before="0" w:after="0" w:line="240" w:lineRule="auto"/>
        <w:ind w:firstLine="720"/>
        <w:jc w:val="left"/>
        <w:rPr>
          <w:rFonts w:eastAsia="Calibri" w:cs="Times New Roman"/>
          <w:i/>
          <w:sz w:val="22"/>
        </w:rPr>
      </w:pPr>
      <w:r w:rsidRPr="00A03B7B">
        <w:rPr>
          <w:rFonts w:eastAsia="Calibri" w:cs="Times New Roman"/>
          <w:i/>
          <w:noProof/>
          <w:sz w:val="22"/>
        </w:rPr>
        <mc:AlternateContent>
          <mc:Choice Requires="wps">
            <w:drawing>
              <wp:anchor distT="0" distB="0" distL="114300" distR="114300" simplePos="0" relativeHeight="251661312" behindDoc="1" locked="0" layoutInCell="1" allowOverlap="1" wp14:anchorId="4172BA5E" wp14:editId="69646C68">
                <wp:simplePos x="0" y="0"/>
                <wp:positionH relativeFrom="column">
                  <wp:posOffset>4150487</wp:posOffset>
                </wp:positionH>
                <wp:positionV relativeFrom="paragraph">
                  <wp:posOffset>95250</wp:posOffset>
                </wp:positionV>
                <wp:extent cx="1859407" cy="834263"/>
                <wp:effectExtent l="19050" t="19050" r="45720" b="42545"/>
                <wp:wrapNone/>
                <wp:docPr id="8" name="Rectangle 8"/>
                <wp:cNvGraphicFramePr/>
                <a:graphic xmlns:a="http://schemas.openxmlformats.org/drawingml/2006/main">
                  <a:graphicData uri="http://schemas.microsoft.com/office/word/2010/wordprocessingShape">
                    <wps:wsp>
                      <wps:cNvSpPr/>
                      <wps:spPr>
                        <a:xfrm>
                          <a:off x="0" y="0"/>
                          <a:ext cx="1859407" cy="834263"/>
                        </a:xfrm>
                        <a:prstGeom prst="rect">
                          <a:avLst/>
                        </a:prstGeom>
                        <a:solidFill>
                          <a:sysClr val="window" lastClr="FFFFFF"/>
                        </a:solidFill>
                        <a:ln w="50800" cap="flat" cmpd="dbl" algn="ctr">
                          <a:solidFill>
                            <a:sysClr val="windowText" lastClr="000000"/>
                          </a:solidFill>
                          <a:prstDash val="solid"/>
                          <a:miter lim="800000"/>
                        </a:ln>
                        <a:effectLst/>
                      </wps:spPr>
                      <wps:txbx>
                        <w:txbxContent>
                          <w:bookmarkStart w:id="0" w:name="_MON_1833599990"/>
                          <w:bookmarkEnd w:id="0"/>
                          <w:p w:rsidR="00A03B7B" w:rsidRDefault="00A03B7B" w:rsidP="00A03B7B">
                            <w:pPr>
                              <w:jc w:val="center"/>
                            </w:pPr>
                            <w:r>
                              <w:rPr>
                                <w:i/>
                              </w:rPr>
                              <w:object w:dxaOrig="1524"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3pt;height:59.25pt">
                                  <v:imagedata r:id="rId4" o:title=""/>
                                </v:shape>
                                <o:OLEObject Type="Embed" ProgID="Excel.Sheet.12" ShapeID="_x0000_i1053" DrawAspect="Icon" ObjectID="_1840942282" r:id="rId5"/>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172BA5E" id="Rectangle 8" o:spid="_x0000_s1026" style="position:absolute;left:0;text-align:left;margin-left:326.8pt;margin-top:7.5pt;width:146.4pt;height:65.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0gQIAAB4FAAAOAAAAZHJzL2Uyb0RvYy54bWysVE1v2zAMvQ/YfxB0X+2kaZsGdYqgRYYB&#10;RVesHXpWZDkWoC9Iauzs1+9Jdtv04zTMB5kUKVJ8fNTFZa8V2QkfpDUVnRyVlAjDbS3NtqK/H9bf&#10;5pSEyEzNlDWionsR6OXy65eLzi3E1LZW1cITBDFh0bmKtjG6RVEE3grNwpF1wsDYWK9ZhOq3Re1Z&#10;h+haFdOyPC0662vnLRchYPd6MNJljt80gsefTRNEJKqiuFvMq8/rJq3F8oIttp65VvLxGuwfbqGZ&#10;NEj6EuqaRUaevPwQSkvubbBNPOJWF7ZpJBe5BlQzKd9Vc98yJ3ItACe4F5jC/wvLb3d3nsi6omiU&#10;YRot+gXQmNkqQeYJns6FBbzu3Z0ftQAx1do3Xqc/qiB9hnT/AqnoI+HYnMxPzmflGSUctvnxbHp6&#10;nIIWr6edD/G7sJokoaIe2TOSbHcT4uD67JKSBatkvZZKZWUfrpQnO4bughS17ShRLERsVnSdvzHb&#10;m2PKkK6iJ+W8BCU4A+0axSJE7QBEvVGUMLUFn3n0+S5vTocPSR9Q7UHiMn+fJU6FXLPQDjfOUZMb&#10;W2gZMQZKaoB0eFqZZBWZyCMcqR9DB5IU+00/tmVj6z166e1A8uD4WiLfDfC4Yx6sRrGY1PgTS6Ms&#10;ELCjRElr/Z/P9pM/yAYrJR2mpKIGY4xafxiQ8Hwym6Whysrs5GwKxR9aNocW86SvLBo1wYvgeBaT&#10;f1TPYuOtfsQ4r1JOmJjhyDx0YVSu4jC7eBC4WK2yGwbJsXhj7h1PwRNgCeeH/pF5N7IqokO39nme&#10;2OIduQbfzCi3eop2LTPzEsADqmBsUjCEmbvjg5Gm/FDPXq/P2vIvAAAA//8DAFBLAwQUAAYACAAA&#10;ACEACuP+Dt8AAAAKAQAADwAAAGRycy9kb3ducmV2LnhtbEyPMU/DMBCFdyT+g3VIbNShpEkb4lQR&#10;qAssbWFoNyc+koj4HMVuG/491wm2u3tP776XryfbizOOvnOk4HEWgUCqnemoUfD5sXlYgvBBk9G9&#10;I1Twgx7Wxe1NrjPjLrTD8z40gkPIZ1pBG8KQSenrFq32MzcgsfblRqsDr2MjzagvHG57OY+iRFrd&#10;EX9o9YAvLdbf+5NVsCrHzQ4P8VZu09fjWzpPy+r4rtT93VQ+gwg4hT8zXPEZHQpmqtyJjBe9gmTx&#10;lLCVhQV3YsMqTmIQFR+ugyxy+b9C8QsAAP//AwBQSwECLQAUAAYACAAAACEAtoM4kv4AAADhAQAA&#10;EwAAAAAAAAAAAAAAAAAAAAAAW0NvbnRlbnRfVHlwZXNdLnhtbFBLAQItABQABgAIAAAAIQA4/SH/&#10;1gAAAJQBAAALAAAAAAAAAAAAAAAAAC8BAABfcmVscy8ucmVsc1BLAQItABQABgAIAAAAIQAw+cE0&#10;gQIAAB4FAAAOAAAAAAAAAAAAAAAAAC4CAABkcnMvZTJvRG9jLnhtbFBLAQItABQABgAIAAAAIQAK&#10;4/4O3wAAAAoBAAAPAAAAAAAAAAAAAAAAANsEAABkcnMvZG93bnJldi54bWxQSwUGAAAAAAQABADz&#10;AAAA5wUAAAAA&#10;" fillcolor="window" strokecolor="windowText" strokeweight="4pt">
                <v:stroke linestyle="thinThin"/>
                <v:textbox style="mso-fit-shape-to-text:t">
                  <w:txbxContent>
                    <w:bookmarkStart w:id="1" w:name="_MON_1833599990"/>
                    <w:bookmarkEnd w:id="1"/>
                    <w:p w:rsidR="00A03B7B" w:rsidRDefault="00A03B7B" w:rsidP="00A03B7B">
                      <w:pPr>
                        <w:jc w:val="center"/>
                      </w:pPr>
                      <w:r>
                        <w:rPr>
                          <w:i/>
                        </w:rPr>
                        <w:object w:dxaOrig="1524" w:dyaOrig="989">
                          <v:shape id="_x0000_i1053" type="#_x0000_t75" style="width:92.3pt;height:59.25pt">
                            <v:imagedata r:id="rId4" o:title=""/>
                          </v:shape>
                          <o:OLEObject Type="Embed" ProgID="Excel.Sheet.12" ShapeID="_x0000_i1053" DrawAspect="Icon" ObjectID="_1840942282" r:id="rId6"/>
                        </w:object>
                      </w:r>
                    </w:p>
                  </w:txbxContent>
                </v:textbox>
              </v:rect>
            </w:pict>
          </mc:Fallback>
        </mc:AlternateContent>
      </w:r>
    </w:p>
    <w:p w:rsidR="00A03B7B" w:rsidRPr="00A03B7B" w:rsidRDefault="00A03B7B" w:rsidP="00A03B7B">
      <w:pPr>
        <w:widowControl w:val="0"/>
        <w:autoSpaceDE w:val="0"/>
        <w:autoSpaceDN w:val="0"/>
        <w:adjustRightInd w:val="0"/>
        <w:spacing w:before="0" w:after="0" w:line="240" w:lineRule="auto"/>
        <w:ind w:firstLine="720"/>
        <w:jc w:val="center"/>
        <w:rPr>
          <w:rFonts w:eastAsia="Calibri" w:cs="Times New Roman"/>
          <w:i/>
          <w:sz w:val="22"/>
        </w:rPr>
        <w:sectPr w:rsidR="00A03B7B" w:rsidRPr="00A03B7B" w:rsidSect="00917DAB">
          <w:pgSz w:w="16838" w:h="11906" w:orient="landscape"/>
          <w:pgMar w:top="851" w:right="851" w:bottom="851" w:left="851" w:header="720" w:footer="720" w:gutter="0"/>
          <w:cols w:space="720"/>
          <w:docGrid w:linePitch="299"/>
        </w:sectPr>
      </w:pPr>
    </w:p>
    <w:p w:rsidR="00A03B7B" w:rsidRPr="00A03B7B" w:rsidRDefault="00A03B7B" w:rsidP="00A03B7B">
      <w:pPr>
        <w:keepNext/>
        <w:keepLines/>
        <w:widowControl w:val="0"/>
        <w:spacing w:before="0" w:after="0" w:line="240" w:lineRule="auto"/>
        <w:ind w:firstLine="720"/>
        <w:jc w:val="left"/>
        <w:outlineLvl w:val="2"/>
        <w:rPr>
          <w:rFonts w:eastAsia="Times New Roman" w:cstheme="majorBidi"/>
          <w:b/>
          <w:sz w:val="28"/>
          <w:szCs w:val="24"/>
        </w:rPr>
      </w:pPr>
      <w:r w:rsidRPr="00A03B7B">
        <w:rPr>
          <w:rFonts w:eastAsia="Times New Roman" w:cstheme="majorBidi"/>
          <w:b/>
          <w:sz w:val="28"/>
          <w:szCs w:val="24"/>
        </w:rPr>
        <w:lastRenderedPageBreak/>
        <w:t>2.2.2.2. Cam kết về điều kiện giao hàng của nhà thầu</w:t>
      </w:r>
    </w:p>
    <w:p w:rsidR="00A03B7B" w:rsidRPr="00A03B7B" w:rsidRDefault="00A03B7B" w:rsidP="00A03B7B">
      <w:pPr>
        <w:widowControl w:val="0"/>
        <w:autoSpaceDE w:val="0"/>
        <w:autoSpaceDN w:val="0"/>
        <w:adjustRightInd w:val="0"/>
        <w:spacing w:before="0" w:after="0" w:line="240" w:lineRule="auto"/>
        <w:ind w:firstLine="720"/>
        <w:rPr>
          <w:rFonts w:eastAsia="Calibri" w:cs="Times New Roman"/>
          <w:sz w:val="28"/>
          <w:szCs w:val="28"/>
        </w:rPr>
      </w:pPr>
      <w:r w:rsidRPr="00A03B7B">
        <w:rPr>
          <w:rFonts w:eastAsia="Calibri" w:cs="Times New Roman"/>
          <w:sz w:val="28"/>
          <w:szCs w:val="28"/>
        </w:rPr>
        <w:t>Nhà thầu phải có cam kết bao gồm các nội dung theo mẫu sau:</w:t>
      </w:r>
    </w:p>
    <w:p w:rsidR="00A03B7B" w:rsidRPr="00A03B7B" w:rsidRDefault="00A03B7B" w:rsidP="00A03B7B">
      <w:pPr>
        <w:keepNext/>
        <w:keepLines/>
        <w:widowControl w:val="0"/>
        <w:spacing w:before="0" w:after="0" w:line="240" w:lineRule="auto"/>
        <w:jc w:val="right"/>
        <w:outlineLvl w:val="4"/>
        <w:rPr>
          <w:rFonts w:eastAsiaTheme="majorEastAsia" w:cstheme="majorBidi"/>
          <w:b/>
          <w:sz w:val="28"/>
        </w:rPr>
      </w:pPr>
      <w:r w:rsidRPr="00A03B7B">
        <w:rPr>
          <w:rFonts w:eastAsiaTheme="majorEastAsia" w:cstheme="majorBidi"/>
          <w:b/>
          <w:sz w:val="28"/>
        </w:rPr>
        <w:t>Mẫu số 18</w:t>
      </w:r>
    </w:p>
    <w:tbl>
      <w:tblPr>
        <w:tblW w:w="9356" w:type="dxa"/>
        <w:tblLook w:val="04A0" w:firstRow="1" w:lastRow="0" w:firstColumn="1" w:lastColumn="0" w:noHBand="0" w:noVBand="1"/>
      </w:tblPr>
      <w:tblGrid>
        <w:gridCol w:w="3225"/>
        <w:gridCol w:w="6131"/>
      </w:tblGrid>
      <w:tr w:rsidR="00A03B7B" w:rsidRPr="00A03B7B" w:rsidTr="00FA45E4">
        <w:tc>
          <w:tcPr>
            <w:tcW w:w="3225" w:type="dxa"/>
            <w:shd w:val="clear" w:color="auto" w:fill="auto"/>
          </w:tcPr>
          <w:p w:rsidR="00A03B7B" w:rsidRPr="00A03B7B" w:rsidRDefault="00A03B7B" w:rsidP="00A03B7B">
            <w:pPr>
              <w:widowControl w:val="0"/>
              <w:spacing w:before="0" w:after="0" w:line="240" w:lineRule="auto"/>
              <w:jc w:val="center"/>
              <w:rPr>
                <w:rFonts w:eastAsia="Times New Roman" w:cs="Times New Roman"/>
                <w:b/>
                <w:bCs/>
                <w:szCs w:val="26"/>
                <w:lang w:val="pt-BR"/>
              </w:rPr>
            </w:pPr>
            <w:r w:rsidRPr="00A03B7B">
              <w:rPr>
                <w:rFonts w:eastAsia="Times New Roman" w:cs="Times New Roman"/>
                <w:szCs w:val="26"/>
                <w:lang w:val="pt-BR"/>
              </w:rPr>
              <w:t>[</w:t>
            </w:r>
            <w:r w:rsidRPr="00A03B7B">
              <w:rPr>
                <w:rFonts w:eastAsia="Times New Roman" w:cs="Times New Roman"/>
                <w:b/>
                <w:bCs/>
                <w:szCs w:val="26"/>
                <w:lang w:val="pt-BR"/>
              </w:rPr>
              <w:t xml:space="preserve">GHI TÊN NHÀ </w:t>
            </w:r>
            <w:r w:rsidRPr="00A03B7B">
              <w:rPr>
                <w:rFonts w:eastAsia="Times New Roman" w:cs="Times New Roman"/>
                <w:b/>
                <w:color w:val="000000"/>
                <w:szCs w:val="26"/>
              </w:rPr>
              <w:t>THẦU</w:t>
            </w:r>
            <w:r w:rsidRPr="00A03B7B">
              <w:rPr>
                <w:rFonts w:eastAsia="Times New Roman" w:cs="Times New Roman"/>
                <w:b/>
                <w:bCs/>
                <w:szCs w:val="26"/>
                <w:lang w:val="pt-BR"/>
              </w:rPr>
              <w:t xml:space="preserve"> THAM DỰ</w:t>
            </w:r>
            <w:r w:rsidRPr="00A03B7B">
              <w:rPr>
                <w:rFonts w:eastAsia="Times New Roman" w:cs="Times New Roman"/>
                <w:szCs w:val="26"/>
                <w:lang w:val="pt-BR"/>
              </w:rPr>
              <w:t>]</w:t>
            </w:r>
          </w:p>
          <w:p w:rsidR="00A03B7B" w:rsidRPr="00A03B7B" w:rsidRDefault="00A03B7B" w:rsidP="00A03B7B">
            <w:pPr>
              <w:widowControl w:val="0"/>
              <w:spacing w:before="0" w:after="0" w:line="240" w:lineRule="auto"/>
              <w:jc w:val="center"/>
              <w:rPr>
                <w:rFonts w:eastAsia="Times New Roman" w:cs="Times New Roman"/>
                <w:b/>
                <w:color w:val="000000"/>
                <w:szCs w:val="26"/>
              </w:rPr>
            </w:pPr>
            <w:r w:rsidRPr="00A03B7B">
              <w:rPr>
                <w:rFonts w:eastAsia="Times New Roman" w:cs="Times New Roman"/>
                <w:noProof/>
                <w:sz w:val="22"/>
              </w:rPr>
              <mc:AlternateContent>
                <mc:Choice Requires="wps">
                  <w:drawing>
                    <wp:anchor distT="4294967295" distB="4294967295" distL="114300" distR="114300" simplePos="0" relativeHeight="251659264" behindDoc="0" locked="0" layoutInCell="1" allowOverlap="1" wp14:anchorId="4C9FBDD4" wp14:editId="27424502">
                      <wp:simplePos x="0" y="0"/>
                      <wp:positionH relativeFrom="column">
                        <wp:posOffset>323850</wp:posOffset>
                      </wp:positionH>
                      <wp:positionV relativeFrom="paragraph">
                        <wp:posOffset>10159</wp:posOffset>
                      </wp:positionV>
                      <wp:extent cx="133921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C78EC" id="_x0000_t32" coordsize="21600,21600" o:spt="32" o:oned="t" path="m,l21600,21600e" filled="f">
                      <v:path arrowok="t" fillok="f" o:connecttype="none"/>
                      <o:lock v:ext="edit" shapetype="t"/>
                    </v:shapetype>
                    <v:shape id="Straight Arrow Connector 7" o:spid="_x0000_s1026" type="#_x0000_t32" style="position:absolute;margin-left:25.5pt;margin-top:.8pt;width:10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ApJQIAAEoEAAAOAAAAZHJzL2Uyb0RvYy54bWysVE2P2jAQvVfqf7B8hyQQWIgIq1UCvWxb&#10;JLY/wNgOsep4LNsQUNX/Xtt8iG0vVdUcnHHG8+bNzHMWz6dOoiM3VoAqcTZMMeKKAhNqX+Jvb+vB&#10;DCPriGJEguIlPnOLn5cfPyx6XfARtCAZN8iDKFv0usStc7pIEktb3hE7BM2VdzZgOuL81uwTZkjv&#10;0TuZjNJ0mvRgmDZAubX+a31x4mXEbxpO3demsdwhWWLPzcXVxHUX1mS5IMXeEN0KeqVB/oFFR4Ty&#10;Se9QNXEEHYz4A6oT1ICFxg0pdAk0jaA81uCrydLfqtm2RPNYi2+O1fc22f8HS78cNwYJVuInjBTp&#10;/Ii2zhCxbx16MQZ6VIFSvo1g0FPoVq9t4YMqtTGhXnpSW/0K9LtFCqqWqD2PrN/O2kNlISJ5FxI2&#10;Vvucu/4zMH+GHBzE1p0a0wVI3xR0ihM63yfETw5R/zEbj+ejbIIRvfkSUtwCtbHuE4cOBaPE9lrH&#10;vYAspiHHV+sCLVLcAkJWBWshZZSDVKgv8XwymsQAC1Kw4AzHrNnvKmnQkQRBxSfW6D2PxwwcFItg&#10;LSdsdbUdEfJi++RSBTxfmKdztS6K+TFP56vZapYP8tF0NcjTuh68rKt8MF1nT5N6XFdVnf0M1LK8&#10;aAVjXAV2N/Vm+d+p43qPLrq76/fehuQ9euyXJ3t7R9JxsmGYF1nsgJ035jZxL9h4+Hq5wo143Hv7&#10;8Rew/AUAAP//AwBQSwMEFAAGAAgAAAAhAC6p2g/YAAAABgEAAA8AAABkcnMvZG93bnJldi54bWxM&#10;jkFPg0AQhe8m/ofNmHgxdoFEYpGlaUw8eLRt0uuUHQFlZwm7FOyvd/Sixzfv5Zuv3CyuV2caQ+fZ&#10;QLpKQBHX3nbcGDjsX+4fQYWIbLH3TAa+KMCmur4qsbB+5jc672KjBMKhQANtjEOhdahbchhWfiCW&#10;7t2PDqPEsdF2xFngrtdZkuTaYcfyocWBnluqP3eTM0BhekiT7do1h9fLfHfMLh/zsDfm9mbZPoGK&#10;tMS/MfzoizpU4nTyE9ugegMCkKXcc1BSZ3m6BnX6zboq9X/96hsAAP//AwBQSwECLQAUAAYACAAA&#10;ACEAtoM4kv4AAADhAQAAEwAAAAAAAAAAAAAAAAAAAAAAW0NvbnRlbnRfVHlwZXNdLnhtbFBLAQIt&#10;ABQABgAIAAAAIQA4/SH/1gAAAJQBAAALAAAAAAAAAAAAAAAAAC8BAABfcmVscy8ucmVsc1BLAQIt&#10;ABQABgAIAAAAIQAtpOApJQIAAEoEAAAOAAAAAAAAAAAAAAAAAC4CAABkcnMvZTJvRG9jLnhtbFBL&#10;AQItABQABgAIAAAAIQAuqdoP2AAAAAYBAAAPAAAAAAAAAAAAAAAAAH8EAABkcnMvZG93bnJldi54&#10;bWxQSwUGAAAAAAQABADzAAAAhAUAAAAA&#10;"/>
                  </w:pict>
                </mc:Fallback>
              </mc:AlternateContent>
            </w:r>
            <w:r w:rsidRPr="00A03B7B">
              <w:rPr>
                <w:rFonts w:eastAsia="Times New Roman" w:cs="Times New Roman"/>
                <w:b/>
                <w:color w:val="000000"/>
                <w:szCs w:val="26"/>
              </w:rPr>
              <w:t xml:space="preserve">                                     </w:t>
            </w:r>
          </w:p>
        </w:tc>
        <w:tc>
          <w:tcPr>
            <w:tcW w:w="6131" w:type="dxa"/>
            <w:shd w:val="clear" w:color="auto" w:fill="auto"/>
          </w:tcPr>
          <w:p w:rsidR="00A03B7B" w:rsidRPr="00A03B7B" w:rsidRDefault="00A03B7B" w:rsidP="00A03B7B">
            <w:pPr>
              <w:widowControl w:val="0"/>
              <w:spacing w:before="0" w:after="0" w:line="240" w:lineRule="auto"/>
              <w:jc w:val="center"/>
              <w:rPr>
                <w:rFonts w:eastAsia="Times New Roman" w:cs="Times New Roman"/>
                <w:b/>
                <w:color w:val="000000"/>
                <w:szCs w:val="26"/>
              </w:rPr>
            </w:pPr>
            <w:r w:rsidRPr="00A03B7B">
              <w:rPr>
                <w:rFonts w:eastAsia="Times New Roman" w:cs="Times New Roman"/>
                <w:b/>
                <w:color w:val="000000"/>
                <w:szCs w:val="26"/>
              </w:rPr>
              <w:t>CỘNG HÒA XÃ HỘI CHỦ NGHĨA VIỆT NAM</w:t>
            </w:r>
          </w:p>
          <w:p w:rsidR="00A03B7B" w:rsidRPr="00A03B7B" w:rsidRDefault="00A03B7B" w:rsidP="00A03B7B">
            <w:pPr>
              <w:widowControl w:val="0"/>
              <w:spacing w:before="0" w:after="0" w:line="240" w:lineRule="auto"/>
              <w:jc w:val="center"/>
              <w:rPr>
                <w:rFonts w:eastAsia="Times New Roman" w:cs="Times New Roman"/>
                <w:b/>
                <w:color w:val="000000"/>
                <w:szCs w:val="26"/>
              </w:rPr>
            </w:pPr>
            <w:r w:rsidRPr="00A03B7B">
              <w:rPr>
                <w:rFonts w:eastAsia="Times New Roman" w:cs="Times New Roman"/>
                <w:noProof/>
                <w:sz w:val="22"/>
              </w:rPr>
              <mc:AlternateContent>
                <mc:Choice Requires="wps">
                  <w:drawing>
                    <wp:anchor distT="4294967295" distB="4294967295" distL="114300" distR="114300" simplePos="0" relativeHeight="251660288" behindDoc="0" locked="0" layoutInCell="1" allowOverlap="1" wp14:anchorId="345E3325" wp14:editId="1CDCEEFB">
                      <wp:simplePos x="0" y="0"/>
                      <wp:positionH relativeFrom="column">
                        <wp:posOffset>803910</wp:posOffset>
                      </wp:positionH>
                      <wp:positionV relativeFrom="paragraph">
                        <wp:posOffset>244474</wp:posOffset>
                      </wp:positionV>
                      <wp:extent cx="22244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44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751E99"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9.25pt" to="238.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HH2gEAAKQDAAAOAAAAZHJzL2Uyb0RvYy54bWysU01v2zAMvQ/YfxB0X+xmbVAYcXpI0F2K&#10;LUC6H8DKsi1MEgVRi5N/P0r5WLrdhvkgSCL5yPf0vHw6OCv2OpJB38q7WS2F9go744dWfn99/vQo&#10;BSXwHVj0upVHTfJp9fHDcgqNnuOIttNRMIinZgqtHFMKTVWRGrUDmmHQnoM9RgeJj3GouggToztb&#10;zet6UU0YuxBRaSK+3ZyCclXw+16r9K3vSSdhW8mzpbLGsr7ltVotoRkihNGo8xjwD1M4MJ6bXqE2&#10;kED8jOYvKGdURMI+zRS6CvveKF04MJu7+g82uxGCLlxYHApXmej/waqv+20UpmvlQgoPjp9olyKY&#10;YUxijd6zgBjFIus0BWo4fe23MTNVB78LL6h+EMeqd8F8oHBKO/TR5XSmKg5F9+NVd31IQvHlfD6/&#10;v68fpFCXWAXNpTBESl80OpE3rbTGZ0mggf0LpdwamktKvvb4bKwtz2q9mJjX5wd+eAVsrt5C4q0L&#10;TJf8IAXYgV2rUiyIhNZ0uTrj0JHWNoo9sHHYbx1OrzyuFBYocYA5lC8LwxO8K83jbIDGU3EJnXzm&#10;TGKzW+Na+XhbbX3uqItdz6R+S5h3b9gdt/GiM1uhND3bNnvt9sz7259r9QsAAP//AwBQSwMEFAAG&#10;AAgAAAAhAMx8hwLeAAAACQEAAA8AAABkcnMvZG93bnJldi54bWxMj01PwzAMhu9I/IfISNxYyrp1&#10;ozSd0KYduI0CEsescT+gcaom3cq/nxEHOL72o9ePs81kO3HCwbeOFNzPIhBIpTMt1QreXvd3axA+&#10;aDK6c4QKvtHDJr++ynRq3Jle8FSEWnAJ+VQraELoUyl92aDVfuZ6JN5VbrA6cBxqaQZ95nLbyXkU&#10;JdLqlvhCo3vcNlh+FaNVMB62VdTu4+nzIy7k+Lw6vO+qWqnbm+npEUTAKfzB8KPP6pCz09GNZLzo&#10;OM+ThFEF8XoJgoHFKnkAcfwdyDyT/z/ILwAAAP//AwBQSwECLQAUAAYACAAAACEAtoM4kv4AAADh&#10;AQAAEwAAAAAAAAAAAAAAAAAAAAAAW0NvbnRlbnRfVHlwZXNdLnhtbFBLAQItABQABgAIAAAAIQA4&#10;/SH/1gAAAJQBAAALAAAAAAAAAAAAAAAAAC8BAABfcmVscy8ucmVsc1BLAQItABQABgAIAAAAIQDx&#10;ZBHH2gEAAKQDAAAOAAAAAAAAAAAAAAAAAC4CAABkcnMvZTJvRG9jLnhtbFBLAQItABQABgAIAAAA&#10;IQDMfIcC3gAAAAkBAAAPAAAAAAAAAAAAAAAAADQEAABkcnMvZG93bnJldi54bWxQSwUGAAAAAAQA&#10;BADzAAAAPwUAAAAA&#10;" strokecolor="windowText" strokeweight=".5pt">
                      <v:stroke joinstyle="miter"/>
                      <o:lock v:ext="edit" shapetype="f"/>
                    </v:line>
                  </w:pict>
                </mc:Fallback>
              </mc:AlternateContent>
            </w:r>
            <w:r w:rsidRPr="00A03B7B">
              <w:rPr>
                <w:rFonts w:eastAsia="Times New Roman" w:cs="Times New Roman"/>
                <w:b/>
                <w:color w:val="000000"/>
                <w:szCs w:val="26"/>
              </w:rPr>
              <w:t>Độc lập – Tự do – Hạnh Phúc</w:t>
            </w:r>
          </w:p>
        </w:tc>
      </w:tr>
      <w:tr w:rsidR="00A03B7B" w:rsidRPr="00A03B7B" w:rsidTr="00FA45E4">
        <w:tc>
          <w:tcPr>
            <w:tcW w:w="3225" w:type="dxa"/>
            <w:shd w:val="clear" w:color="auto" w:fill="auto"/>
          </w:tcPr>
          <w:p w:rsidR="00A03B7B" w:rsidRPr="00A03B7B" w:rsidRDefault="00A03B7B" w:rsidP="00A03B7B">
            <w:pPr>
              <w:widowControl w:val="0"/>
              <w:spacing w:before="0" w:after="0" w:line="240" w:lineRule="auto"/>
              <w:jc w:val="center"/>
              <w:rPr>
                <w:rFonts w:eastAsia="Times New Roman" w:cs="Times New Roman"/>
                <w:color w:val="000000"/>
                <w:szCs w:val="26"/>
              </w:rPr>
            </w:pPr>
          </w:p>
        </w:tc>
        <w:tc>
          <w:tcPr>
            <w:tcW w:w="6131" w:type="dxa"/>
            <w:shd w:val="clear" w:color="auto" w:fill="auto"/>
          </w:tcPr>
          <w:p w:rsidR="00A03B7B" w:rsidRPr="00A03B7B" w:rsidRDefault="00A03B7B" w:rsidP="00A03B7B">
            <w:pPr>
              <w:widowControl w:val="0"/>
              <w:spacing w:before="0" w:after="0" w:line="240" w:lineRule="auto"/>
              <w:jc w:val="right"/>
              <w:rPr>
                <w:rFonts w:eastAsia="Times New Roman" w:cs="Times New Roman"/>
                <w:i/>
                <w:color w:val="000000"/>
                <w:szCs w:val="26"/>
              </w:rPr>
            </w:pPr>
            <w:r w:rsidRPr="00A03B7B">
              <w:rPr>
                <w:rFonts w:eastAsia="Times New Roman" w:cs="Times New Roman"/>
                <w:i/>
                <w:color w:val="000000"/>
                <w:szCs w:val="26"/>
              </w:rPr>
              <w:t xml:space="preserve">                …………, ngày       tháng      năm 2026</w:t>
            </w:r>
          </w:p>
        </w:tc>
      </w:tr>
    </w:tbl>
    <w:p w:rsidR="00A03B7B" w:rsidRPr="00A03B7B" w:rsidRDefault="00A03B7B" w:rsidP="00A03B7B">
      <w:pPr>
        <w:widowControl w:val="0"/>
        <w:spacing w:before="0" w:after="0" w:line="240" w:lineRule="auto"/>
        <w:jc w:val="center"/>
        <w:rPr>
          <w:rFonts w:eastAsia="Calibri" w:cs="Times New Roman"/>
          <w:b/>
          <w:bCs/>
          <w:sz w:val="28"/>
          <w:szCs w:val="28"/>
          <w:lang w:val="pt-BR"/>
        </w:rPr>
      </w:pPr>
    </w:p>
    <w:p w:rsidR="00A03B7B" w:rsidRPr="00A03B7B" w:rsidRDefault="00A03B7B" w:rsidP="00A03B7B">
      <w:pPr>
        <w:widowControl w:val="0"/>
        <w:spacing w:before="0" w:after="0" w:line="240" w:lineRule="auto"/>
        <w:jc w:val="center"/>
        <w:rPr>
          <w:rFonts w:eastAsia="Calibri" w:cs="Times New Roman"/>
          <w:b/>
          <w:bCs/>
          <w:sz w:val="32"/>
          <w:szCs w:val="32"/>
          <w:lang w:val="pt-BR"/>
        </w:rPr>
      </w:pPr>
      <w:r w:rsidRPr="00A03B7B">
        <w:rPr>
          <w:rFonts w:eastAsia="Calibri" w:cs="Times New Roman"/>
          <w:b/>
          <w:bCs/>
          <w:sz w:val="32"/>
          <w:szCs w:val="32"/>
          <w:lang w:val="pt-BR"/>
        </w:rPr>
        <w:t>CAM KẾT VỀ ĐIỀU KIỆN GIAO HÀNG CỦA NHÀ THẦU</w:t>
      </w:r>
    </w:p>
    <w:p w:rsidR="00A03B7B" w:rsidRPr="00A03B7B" w:rsidRDefault="00A03B7B" w:rsidP="00A03B7B">
      <w:pPr>
        <w:widowControl w:val="0"/>
        <w:spacing w:before="0" w:after="0" w:line="240" w:lineRule="auto"/>
        <w:ind w:left="720" w:firstLine="720"/>
        <w:rPr>
          <w:rFonts w:eastAsia="Calibri" w:cs="Times New Roman"/>
          <w:sz w:val="28"/>
          <w:szCs w:val="28"/>
          <w:lang w:val="pt-BR"/>
        </w:rPr>
      </w:pPr>
    </w:p>
    <w:p w:rsidR="00A03B7B" w:rsidRPr="00A03B7B" w:rsidRDefault="00A03B7B" w:rsidP="00A03B7B">
      <w:pPr>
        <w:widowControl w:val="0"/>
        <w:spacing w:before="0" w:after="0" w:line="240" w:lineRule="auto"/>
        <w:ind w:left="1440" w:firstLine="720"/>
        <w:jc w:val="left"/>
        <w:rPr>
          <w:rFonts w:eastAsia="Calibri" w:cs="Times New Roman"/>
          <w:kern w:val="24"/>
          <w:sz w:val="28"/>
          <w:szCs w:val="28"/>
        </w:rPr>
      </w:pPr>
      <w:r w:rsidRPr="00A03B7B">
        <w:rPr>
          <w:rFonts w:eastAsia="Calibri" w:cs="Times New Roman"/>
          <w:sz w:val="28"/>
          <w:szCs w:val="28"/>
          <w:lang w:val="pt-BR"/>
        </w:rPr>
        <w:t xml:space="preserve">Kính gửi: </w:t>
      </w:r>
      <w:r w:rsidRPr="00A03B7B">
        <w:rPr>
          <w:rFonts w:eastAsia="Calibri" w:cs="Times New Roman"/>
          <w:sz w:val="28"/>
          <w:szCs w:val="28"/>
          <w:lang w:val="pt-BR"/>
        </w:rPr>
        <w:tab/>
      </w:r>
      <w:r w:rsidRPr="00A03B7B">
        <w:rPr>
          <w:rFonts w:eastAsia="Calibri" w:cs="Times New Roman"/>
          <w:kern w:val="24"/>
          <w:sz w:val="28"/>
          <w:szCs w:val="28"/>
        </w:rPr>
        <w:t>Trung tâm Y tế Ea Kar.</w:t>
      </w:r>
    </w:p>
    <w:p w:rsidR="00A03B7B" w:rsidRPr="00A03B7B" w:rsidRDefault="00A03B7B" w:rsidP="00A03B7B">
      <w:pPr>
        <w:widowControl w:val="0"/>
        <w:spacing w:before="0" w:after="0" w:line="240" w:lineRule="auto"/>
        <w:ind w:left="2880" w:firstLine="720"/>
        <w:jc w:val="left"/>
        <w:rPr>
          <w:rFonts w:eastAsia="Calibri" w:cs="Times New Roman"/>
          <w:kern w:val="24"/>
          <w:sz w:val="28"/>
          <w:szCs w:val="28"/>
        </w:rPr>
      </w:pPr>
      <w:r w:rsidRPr="00A03B7B">
        <w:rPr>
          <w:rFonts w:eastAsia="Times New Roman" w:cs="Times New Roman"/>
          <w:sz w:val="28"/>
          <w:szCs w:val="28"/>
        </w:rPr>
        <w:t>Trung tâm Mua sắm tập trung thuốc Quốc gia</w:t>
      </w:r>
    </w:p>
    <w:p w:rsidR="00A03B7B" w:rsidRPr="00A03B7B" w:rsidRDefault="00A03B7B" w:rsidP="00A03B7B">
      <w:pPr>
        <w:widowControl w:val="0"/>
        <w:spacing w:before="0" w:after="0" w:line="240" w:lineRule="auto"/>
        <w:ind w:firstLine="720"/>
        <w:rPr>
          <w:rFonts w:eastAsia="Calibri" w:cs="Times New Roman"/>
          <w:sz w:val="28"/>
          <w:szCs w:val="28"/>
          <w:lang w:val="fr-FR"/>
        </w:rPr>
      </w:pP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 xml:space="preserve">Sau khi nghiên cứu E-HSMT </w:t>
      </w:r>
      <w:r w:rsidRPr="00A03B7B">
        <w:rPr>
          <w:rFonts w:eastAsia="Times New Roman" w:cs="Times New Roman"/>
          <w:b/>
          <w:bCs/>
          <w:i/>
          <w:sz w:val="28"/>
          <w:szCs w:val="28"/>
        </w:rPr>
        <w:t>gói thầu ….</w:t>
      </w:r>
      <w:r w:rsidRPr="00A03B7B">
        <w:rPr>
          <w:rFonts w:eastAsia="Times New Roman" w:cs="Times New Roman"/>
          <w:sz w:val="28"/>
          <w:szCs w:val="28"/>
        </w:rPr>
        <w:t>chúng tôi xin cam kết và thực hiện đầy đủ những nội dung theo yêu cầu của E-HSMT như sau:</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A03B7B" w:rsidRPr="00A03B7B" w:rsidRDefault="00A03B7B" w:rsidP="00A03B7B">
      <w:pPr>
        <w:tabs>
          <w:tab w:val="left" w:pos="991"/>
        </w:tabs>
        <w:spacing w:before="0" w:after="0" w:line="240" w:lineRule="auto"/>
        <w:ind w:firstLine="720"/>
        <w:rPr>
          <w:rFonts w:eastAsia="Times New Roman" w:cs="Times New Roman"/>
          <w:sz w:val="28"/>
          <w:szCs w:val="28"/>
        </w:rPr>
      </w:pPr>
      <w:r w:rsidRPr="00A03B7B">
        <w:rPr>
          <w:rFonts w:eastAsia="Times New Roman" w:cs="Times New Roman"/>
          <w:sz w:val="28"/>
          <w:szCs w:val="28"/>
        </w:rPr>
        <w:t>3. Bảo quản và phân phối thuốc đảm bảo đúng yêu cầu quy định về GSP, GDP trong suốt quá trình vận chuyển tới kho của các cơ sở y tế trên địa bàn cả nước.</w:t>
      </w:r>
    </w:p>
    <w:p w:rsidR="00A03B7B" w:rsidRPr="00A03B7B" w:rsidRDefault="00A03B7B" w:rsidP="00A03B7B">
      <w:pPr>
        <w:tabs>
          <w:tab w:val="left" w:pos="969"/>
        </w:tabs>
        <w:spacing w:before="0" w:after="0" w:line="240" w:lineRule="auto"/>
        <w:ind w:firstLine="720"/>
        <w:rPr>
          <w:rFonts w:eastAsia="Times New Roman" w:cs="Times New Roman"/>
          <w:sz w:val="28"/>
          <w:szCs w:val="28"/>
        </w:rPr>
      </w:pPr>
      <w:r w:rsidRPr="00A03B7B">
        <w:rPr>
          <w:rFonts w:eastAsia="Times New Roman" w:cs="Times New Roman"/>
          <w:sz w:val="28"/>
          <w:szCs w:val="28"/>
        </w:rPr>
        <w:t>4. Về hạn sử dụng của thuốc tại thời điểm giao hàng:</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03B7B">
        <w:rPr>
          <w:rFonts w:eastAsia="Times New Roman" w:cs="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A03B7B" w:rsidRPr="00A03B7B" w:rsidRDefault="00A03B7B" w:rsidP="00A03B7B">
      <w:pPr>
        <w:widowControl w:val="0"/>
        <w:spacing w:before="0" w:after="0" w:line="240" w:lineRule="auto"/>
        <w:ind w:firstLine="720"/>
        <w:rPr>
          <w:rFonts w:eastAsia="Calibri" w:cs="Times New Roman"/>
          <w:sz w:val="28"/>
          <w:szCs w:val="28"/>
          <w:lang w:val="fr-FR"/>
        </w:rPr>
      </w:pPr>
      <w:r w:rsidRPr="00A03B7B">
        <w:rPr>
          <w:rFonts w:eastAsia="Times New Roman" w:cs="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A03B7B" w:rsidRPr="00A03B7B" w:rsidRDefault="00A03B7B" w:rsidP="00A03B7B">
      <w:pPr>
        <w:widowControl w:val="0"/>
        <w:spacing w:before="0" w:after="0" w:line="240" w:lineRule="auto"/>
        <w:ind w:firstLine="720"/>
        <w:rPr>
          <w:rFonts w:eastAsia="Calibri" w:cs="Times New Roman"/>
          <w:sz w:val="28"/>
          <w:szCs w:val="28"/>
          <w:lang w:val="fr-FR"/>
        </w:rPr>
      </w:pPr>
      <w:r w:rsidRPr="00A03B7B">
        <w:rPr>
          <w:rFonts w:eastAsia="Calibri" w:cs="Times New Roman"/>
          <w:sz w:val="28"/>
          <w:szCs w:val="28"/>
          <w:lang w:val="fr-FR"/>
        </w:rPr>
        <w:t xml:space="preserve">6. </w:t>
      </w:r>
      <w:r w:rsidRPr="00A03B7B">
        <w:rPr>
          <w:rFonts w:eastAsia="Calibri" w:cs="Times New Roman"/>
          <w:sz w:val="28"/>
          <w:szCs w:val="28"/>
        </w:rPr>
        <w:t>Thời gian giao hàng: Trong vòng 72 giờ kể từ ngày Bên chủ đầu tư gửi dự trù cho Bên nhà thầu. Việc gửi dự trù thuốc thực hiện theo hàng tháng hoặc hàng quý theo thỏa thuận với Trung tâm Y Tế Ea Kar.</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xml:space="preserve">7. Nhà thầu cam kết chịu trách nhiệm vận chuyển hàng hóa đến tận kho thuốc của bên chủ đầu tư. Tuân thủ nguyên tắc thực hành tốt về phân phối thuốc trong vận </w:t>
      </w:r>
      <w:r w:rsidRPr="00A03B7B">
        <w:rPr>
          <w:rFonts w:eastAsia="Calibri" w:cs="Times New Roman"/>
          <w:sz w:val="28"/>
          <w:szCs w:val="28"/>
        </w:rPr>
        <w:lastRenderedPageBreak/>
        <w:t>chuyển, giao thuốc: Trung tâm Y Tế Ea Kar tại địa bàn Xã Ea Kar, tỉnh Đắk Lắk</w:t>
      </w:r>
      <w:bookmarkStart w:id="2" w:name="_GoBack"/>
      <w:bookmarkEnd w:id="2"/>
      <w:r w:rsidRPr="00A03B7B">
        <w:rPr>
          <w:rFonts w:eastAsia="Calibri" w:cs="Times New Roman"/>
          <w:sz w:val="28"/>
          <w:szCs w:val="28"/>
        </w:rPr>
        <w:t>.</w:t>
      </w:r>
    </w:p>
    <w:p w:rsidR="00A03B7B" w:rsidRPr="00A03B7B" w:rsidRDefault="00A03B7B" w:rsidP="00A03B7B">
      <w:pPr>
        <w:widowControl w:val="0"/>
        <w:spacing w:before="0" w:after="0" w:line="240" w:lineRule="auto"/>
        <w:ind w:firstLine="720"/>
        <w:rPr>
          <w:rFonts w:eastAsia="Calibri" w:cs="Times New Roman"/>
          <w:color w:val="000000"/>
          <w:sz w:val="28"/>
          <w:szCs w:val="28"/>
        </w:rPr>
      </w:pPr>
      <w:r w:rsidRPr="00A03B7B">
        <w:rPr>
          <w:rFonts w:eastAsia="Calibri" w:cs="Times New Roman"/>
          <w:sz w:val="28"/>
          <w:szCs w:val="28"/>
        </w:rPr>
        <w:t xml:space="preserve">8. Giá thuốc kê khai, kê khai lại (nếu có) thực hiện </w:t>
      </w:r>
      <w:r w:rsidRPr="00A03B7B">
        <w:rPr>
          <w:rFonts w:eastAsia="Calibri" w:cs="Times New Roman"/>
          <w:color w:val="000000"/>
          <w:sz w:val="28"/>
          <w:szCs w:val="28"/>
        </w:rPr>
        <w:t>theo quy định của Luật Giá năm 2023; Nghị định số 85/2024/NĐ-CP ngày 10/7/2024 của Chính phủ; Thông tư số 28/2024/TT-BYT ngày 01/11/2024 của Bộ Y tế và các văn bản pháp luật có liên quan khác.</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9. Công bố giá bán buôn thuốc dự kiến, công bố lại giá bán buôn thuốc dự kiến (nếu có) thực hiện theo quy định Luật dược sửa đổi số 44/2024/QH15 ngày 21/11/2024.</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10. Các yêu cầu khác:</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Hóa đơn, chứng từ bán hàng.</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Thông tin vận chuyển: Hàng hóa phải được đảm bảo điều kiện bảo quản ghi trên bao bì sản phẩm trong suốt quá trình vận chuyển.</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Hồ sơ giao hàng thể hiện chữ ký, ghi rõ họ và tên của người giao và người nhận, ngày giao và ngày nhận</w:t>
      </w:r>
    </w:p>
    <w:p w:rsidR="00A03B7B" w:rsidRPr="00A03B7B" w:rsidRDefault="00A03B7B" w:rsidP="00A03B7B">
      <w:pPr>
        <w:widowControl w:val="0"/>
        <w:spacing w:before="0" w:after="0" w:line="240" w:lineRule="auto"/>
        <w:ind w:firstLine="720"/>
        <w:rPr>
          <w:rFonts w:eastAsia="Calibri" w:cs="Times New Roman"/>
          <w:spacing w:val="-6"/>
          <w:sz w:val="28"/>
          <w:szCs w:val="28"/>
        </w:rPr>
      </w:pPr>
      <w:r w:rsidRPr="00A03B7B">
        <w:rPr>
          <w:rFonts w:eastAsia="Calibri" w:cs="Times New Roman"/>
          <w:sz w:val="28"/>
          <w:szCs w:val="28"/>
        </w:rPr>
        <w:t xml:space="preserve">-  </w:t>
      </w:r>
      <w:r w:rsidRPr="00A03B7B">
        <w:rPr>
          <w:rFonts w:eastAsia="Calibri" w:cs="Times New Roman"/>
          <w:spacing w:val="-6"/>
          <w:sz w:val="28"/>
          <w:szCs w:val="28"/>
        </w:rPr>
        <w:t>Biên bản nghiệm thu và bàn giao hàng hóa.</w:t>
      </w:r>
    </w:p>
    <w:p w:rsidR="00A03B7B" w:rsidRPr="00A03B7B" w:rsidRDefault="00A03B7B" w:rsidP="00A03B7B">
      <w:pPr>
        <w:widowControl w:val="0"/>
        <w:spacing w:before="0" w:after="0" w:line="240" w:lineRule="auto"/>
        <w:ind w:firstLine="720"/>
        <w:rPr>
          <w:rFonts w:eastAsia="Calibri" w:cs="Times New Roman"/>
          <w:spacing w:val="-6"/>
          <w:sz w:val="28"/>
          <w:szCs w:val="28"/>
        </w:rPr>
      </w:pPr>
      <w:r w:rsidRPr="00A03B7B">
        <w:rPr>
          <w:rFonts w:eastAsia="Calibri" w:cs="Times New Roman"/>
          <w:spacing w:val="-6"/>
          <w:sz w:val="28"/>
          <w:szCs w:val="28"/>
        </w:rPr>
        <w:t>-  Phối hợp hoàn thành bảng xác định giá trị khối lượng công việc hoàn thành với Trung tâm Y tế Ea Kar.</w:t>
      </w:r>
    </w:p>
    <w:p w:rsidR="00A03B7B" w:rsidRPr="00A03B7B" w:rsidRDefault="00A03B7B" w:rsidP="00A03B7B">
      <w:pPr>
        <w:widowControl w:val="0"/>
        <w:spacing w:before="0" w:after="0" w:line="240" w:lineRule="auto"/>
        <w:ind w:firstLine="720"/>
        <w:rPr>
          <w:rFonts w:eastAsia="Calibri" w:cs="Times New Roman"/>
          <w:sz w:val="28"/>
          <w:szCs w:val="28"/>
          <w:lang w:val="fr-FR"/>
        </w:rPr>
      </w:pPr>
      <w:r w:rsidRPr="00A03B7B">
        <w:rPr>
          <w:rFonts w:eastAsia="Calibri" w:cs="Times New Roman"/>
          <w:sz w:val="28"/>
          <w:szCs w:val="28"/>
          <w:lang w:val="fr-FR"/>
        </w:rPr>
        <w:t>Chúng tôi hoàn toàn chịu trách nhiệm về những cam kết trên.</w:t>
      </w:r>
    </w:p>
    <w:p w:rsidR="00A03B7B" w:rsidRPr="00A03B7B" w:rsidRDefault="00A03B7B" w:rsidP="00A03B7B">
      <w:pPr>
        <w:widowControl w:val="0"/>
        <w:spacing w:before="0" w:after="0" w:line="240" w:lineRule="auto"/>
        <w:jc w:val="left"/>
        <w:rPr>
          <w:rFonts w:eastAsia="Times New Roman" w:cs="Times New Roman"/>
          <w:b/>
          <w:sz w:val="28"/>
          <w:szCs w:val="28"/>
        </w:rPr>
      </w:pPr>
    </w:p>
    <w:tbl>
      <w:tblPr>
        <w:tblW w:w="5000" w:type="pct"/>
        <w:tblCellMar>
          <w:left w:w="0" w:type="dxa"/>
          <w:right w:w="0" w:type="dxa"/>
        </w:tblCellMar>
        <w:tblLook w:val="0000" w:firstRow="0" w:lastRow="0" w:firstColumn="0" w:lastColumn="0" w:noHBand="0" w:noVBand="0"/>
      </w:tblPr>
      <w:tblGrid>
        <w:gridCol w:w="4677"/>
        <w:gridCol w:w="4677"/>
      </w:tblGrid>
      <w:tr w:rsidR="00A03B7B" w:rsidRPr="00A03B7B" w:rsidTr="00FA45E4">
        <w:tc>
          <w:tcPr>
            <w:tcW w:w="2500" w:type="pct"/>
          </w:tcPr>
          <w:p w:rsidR="00A03B7B" w:rsidRPr="00A03B7B" w:rsidRDefault="00A03B7B" w:rsidP="00A03B7B">
            <w:pPr>
              <w:widowControl w:val="0"/>
              <w:spacing w:before="0" w:after="0" w:line="240" w:lineRule="auto"/>
              <w:jc w:val="left"/>
              <w:rPr>
                <w:rFonts w:eastAsia="Calibri" w:cs="Times New Roman"/>
                <w:sz w:val="28"/>
                <w:szCs w:val="28"/>
              </w:rPr>
            </w:pPr>
          </w:p>
        </w:tc>
        <w:tc>
          <w:tcPr>
            <w:tcW w:w="2500" w:type="pct"/>
          </w:tcPr>
          <w:p w:rsidR="00A03B7B" w:rsidRPr="00A03B7B" w:rsidRDefault="00A03B7B" w:rsidP="00A03B7B">
            <w:pPr>
              <w:widowControl w:val="0"/>
              <w:spacing w:before="0" w:after="0" w:line="240" w:lineRule="auto"/>
              <w:jc w:val="center"/>
              <w:rPr>
                <w:rFonts w:eastAsia="Calibri" w:cs="Times New Roman"/>
                <w:sz w:val="28"/>
                <w:szCs w:val="28"/>
              </w:rPr>
            </w:pPr>
            <w:r w:rsidRPr="00A03B7B">
              <w:rPr>
                <w:rFonts w:eastAsia="Calibri" w:cs="Times New Roman"/>
                <w:i/>
                <w:iCs/>
                <w:sz w:val="28"/>
                <w:szCs w:val="28"/>
              </w:rPr>
              <w:t>…..., ngày ........ tháng.......... năm........</w:t>
            </w:r>
            <w:r w:rsidRPr="00A03B7B">
              <w:rPr>
                <w:rFonts w:eastAsia="Calibri" w:cs="Times New Roman"/>
                <w:i/>
                <w:iCs/>
                <w:sz w:val="28"/>
                <w:szCs w:val="28"/>
              </w:rPr>
              <w:br/>
            </w:r>
            <w:r w:rsidRPr="00A03B7B">
              <w:rPr>
                <w:rFonts w:eastAsia="Calibri" w:cs="Times New Roman"/>
                <w:b/>
                <w:bCs/>
                <w:sz w:val="28"/>
                <w:szCs w:val="28"/>
              </w:rPr>
              <w:t>Đại diện hợp pháp của nhà thầu</w:t>
            </w:r>
            <w:r w:rsidRPr="00A03B7B">
              <w:rPr>
                <w:rFonts w:eastAsia="Calibri" w:cs="Times New Roman"/>
                <w:b/>
                <w:bCs/>
                <w:sz w:val="28"/>
                <w:szCs w:val="28"/>
              </w:rPr>
              <w:br/>
            </w:r>
            <w:r w:rsidRPr="00A03B7B">
              <w:rPr>
                <w:rFonts w:eastAsia="Calibri" w:cs="Times New Roman"/>
                <w:b/>
                <w:bCs/>
                <w:i/>
                <w:iCs/>
                <w:sz w:val="28"/>
                <w:szCs w:val="28"/>
              </w:rPr>
              <w:t>[</w:t>
            </w:r>
            <w:r w:rsidRPr="00A03B7B">
              <w:rPr>
                <w:rFonts w:eastAsia="Calibri" w:cs="Times New Roman"/>
                <w:i/>
                <w:iCs/>
                <w:sz w:val="28"/>
                <w:szCs w:val="28"/>
              </w:rPr>
              <w:t>Ghi tên, chức danh, ký tên và đóng dấu</w:t>
            </w:r>
            <w:r w:rsidRPr="00A03B7B">
              <w:rPr>
                <w:rFonts w:eastAsia="Calibri" w:cs="Times New Roman"/>
                <w:b/>
                <w:bCs/>
                <w:i/>
                <w:iCs/>
                <w:sz w:val="28"/>
                <w:szCs w:val="28"/>
              </w:rPr>
              <w:t>]</w:t>
            </w:r>
          </w:p>
        </w:tc>
      </w:tr>
    </w:tbl>
    <w:p w:rsidR="00A03B7B" w:rsidRPr="00A03B7B" w:rsidRDefault="00A03B7B" w:rsidP="00A03B7B">
      <w:pPr>
        <w:widowControl w:val="0"/>
        <w:spacing w:before="0" w:after="0" w:line="240" w:lineRule="auto"/>
        <w:rPr>
          <w:rFonts w:eastAsia="Calibri" w:cs="Times New Roman"/>
          <w:b/>
          <w:sz w:val="28"/>
          <w:szCs w:val="28"/>
        </w:rPr>
      </w:pPr>
    </w:p>
    <w:p w:rsidR="00A03B7B" w:rsidRPr="00A03B7B" w:rsidRDefault="00A03B7B" w:rsidP="00A03B7B">
      <w:pPr>
        <w:spacing w:before="0" w:after="0" w:line="240" w:lineRule="auto"/>
        <w:ind w:firstLine="720"/>
        <w:rPr>
          <w:rFonts w:eastAsia="Calibri" w:cs="Times New Roman"/>
          <w:i/>
          <w:szCs w:val="26"/>
        </w:rPr>
      </w:pPr>
      <w:r w:rsidRPr="00A03B7B">
        <w:rPr>
          <w:rFonts w:eastAsia="Calibri" w:cs="Times New Roman"/>
          <w:b/>
          <w:i/>
          <w:szCs w:val="26"/>
          <w:vertAlign w:val="superscript"/>
        </w:rPr>
        <w:t>*</w:t>
      </w:r>
      <w:r w:rsidRPr="00A03B7B">
        <w:rPr>
          <w:rFonts w:eastAsia="Calibri" w:cs="Times New Roman"/>
          <w:b/>
          <w:i/>
          <w:szCs w:val="26"/>
        </w:rPr>
        <w:t xml:space="preserve">Ghi chú: </w:t>
      </w:r>
      <w:r w:rsidRPr="00A03B7B">
        <w:rPr>
          <w:rFonts w:eastAsia="Calibri" w:cs="Times New Roman"/>
          <w:i/>
          <w:szCs w:val="26"/>
        </w:rPr>
        <w:t xml:space="preserve">nhà thầu gửi </w:t>
      </w:r>
      <w:r w:rsidRPr="00A03B7B">
        <w:rPr>
          <w:rFonts w:eastAsia="Calibri" w:cs="Times New Roman"/>
          <w:b/>
          <w:i/>
          <w:color w:val="FF0000"/>
          <w:szCs w:val="26"/>
        </w:rPr>
        <w:t>file scan định dạng PDF</w:t>
      </w:r>
      <w:r w:rsidRPr="00A03B7B">
        <w:rPr>
          <w:rFonts w:eastAsia="Calibri" w:cs="Times New Roman"/>
          <w:i/>
          <w:color w:val="FF0000"/>
          <w:szCs w:val="26"/>
        </w:rPr>
        <w:t xml:space="preserve"> </w:t>
      </w:r>
      <w:r w:rsidRPr="00A03B7B">
        <w:rPr>
          <w:rFonts w:eastAsia="Calibri" w:cs="Times New Roman"/>
          <w:i/>
          <w:szCs w:val="26"/>
        </w:rPr>
        <w:t>có ký đại diện hợp pháp của nhà thầu, đóng dấu hợp lệ đính kèm cùng E-HSDT.</w:t>
      </w:r>
    </w:p>
    <w:p w:rsidR="00A03B7B" w:rsidRPr="00A03B7B" w:rsidRDefault="00A03B7B" w:rsidP="00A03B7B">
      <w:pPr>
        <w:spacing w:before="0" w:after="0" w:line="240" w:lineRule="auto"/>
        <w:ind w:firstLine="720"/>
        <w:rPr>
          <w:rFonts w:eastAsia="Calibri" w:cs="Times New Roman"/>
          <w:i/>
          <w:szCs w:val="26"/>
        </w:rPr>
        <w:sectPr w:rsidR="00A03B7B" w:rsidRPr="00A03B7B" w:rsidSect="00917DAB">
          <w:pgSz w:w="11906" w:h="16838"/>
          <w:pgMar w:top="1134" w:right="851" w:bottom="1134" w:left="1701" w:header="720" w:footer="720" w:gutter="0"/>
          <w:cols w:space="720"/>
          <w:docGrid w:linePitch="299"/>
        </w:sectPr>
      </w:pPr>
      <w:r w:rsidRPr="00A03B7B">
        <w:rPr>
          <w:rFonts w:eastAsia="Calibri" w:cs="Times New Roman"/>
          <w:i/>
          <w:szCs w:val="26"/>
        </w:rPr>
        <w:t>Nhà thầu đã cung cấp bản cam kết về điều kiện giao hàng của nhà thầu tại mục này thì không bắt buộc phải cung cấp bản cam kết về điều kiện giao hàng của nhà thầu theo Mẫu số 16, Phần 4. Phụ lục bảng tiêu chuẩn đánh giá về kỹ thuật.</w:t>
      </w:r>
    </w:p>
    <w:p w:rsidR="00A03B7B" w:rsidRPr="00A03B7B" w:rsidRDefault="00A03B7B" w:rsidP="00A03B7B">
      <w:pPr>
        <w:tabs>
          <w:tab w:val="left" w:pos="1302"/>
        </w:tabs>
        <w:spacing w:before="0" w:after="0" w:line="240" w:lineRule="auto"/>
        <w:ind w:firstLine="720"/>
        <w:rPr>
          <w:rFonts w:eastAsia="Times New Roman" w:cs="Times New Roman"/>
          <w:b/>
          <w:sz w:val="28"/>
          <w:szCs w:val="28"/>
        </w:rPr>
      </w:pPr>
      <w:r w:rsidRPr="00A03B7B">
        <w:rPr>
          <w:rFonts w:eastAsia="Times New Roman" w:cs="Times New Roman"/>
          <w:b/>
          <w:sz w:val="28"/>
          <w:szCs w:val="28"/>
        </w:rPr>
        <w:lastRenderedPageBreak/>
        <w:t>2.3. Các yêu cầu khác</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 xml:space="preserve">- Các yêu cầu khác về kỹ thuật bao gồm yêu cầu về phạm vi cung cấp, yêu cầu về tiến độ cung cấp theo quy định tại Mục 1 Chương này, </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Phương thức thanh toán: Chuyển khoản.</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Chuyển khoản theo khối lượng từng lần nghiệm thu bàn giao hàng hóa các tháng. Tổng giá trị của các lần thanh toán không được vươt quá giá trị hợp đồng ký kết.</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Điều kiện thanh toán: Hàng hóa có đầy đủ hóa đơn chứng từ kèm theo, hai bên ký biên bản nghiệm thu, bàn giao.</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Số lần thanh toán: nhiều lần trong quá trình thực hiện hoặc thanh toán một lần khi hoàn thành hợp đồng.</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Thời hạn thanh toán: Thanh toán cho nhà thầu chậm nhất là 90 ngày sau khi hoàn tất hoá đơn hợp pháp, thủ tục nhập kho và nghiệm thu bàn giao (hoặc xác nhận sử dụng).</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Đồng tiền thanh toán theo hợp đồng: Việt Nam đồng (VND).</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sz w:val="28"/>
          <w:szCs w:val="28"/>
        </w:rPr>
        <w:t>- Các yêu cầu khác về kỹ thuật ngoài nội dung được nêu tại Mẫu số 00 - Biểu mẫu dự thầu Chương IV sẽ được nêu tại file đính kèm</w:t>
      </w:r>
    </w:p>
    <w:p w:rsidR="00A03B7B" w:rsidRPr="00A03B7B" w:rsidRDefault="00A03B7B" w:rsidP="00A03B7B">
      <w:pPr>
        <w:spacing w:before="0" w:after="0" w:line="240" w:lineRule="auto"/>
        <w:ind w:firstLine="720"/>
        <w:rPr>
          <w:rFonts w:eastAsia="Times New Roman" w:cs="Times New Roman"/>
          <w:sz w:val="28"/>
          <w:szCs w:val="28"/>
        </w:rPr>
      </w:pPr>
      <w:r w:rsidRPr="00A03B7B">
        <w:rPr>
          <w:rFonts w:eastAsia="Times New Roman" w:cs="Times New Roman"/>
          <w:b/>
          <w:bCs/>
          <w:sz w:val="28"/>
          <w:szCs w:val="28"/>
        </w:rPr>
        <w:t>Mục 3. Kiểm tra và thử nghiệm (nếu có)</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Khi nhập cần tiến hành đối chiếu giữa hóa đơn với thực tế và kết quả thầu về các chi tiết của từng mặt hàng như: tên thuốc, nồng độ (hàm lượng), đơn vị tính, quy cách đóng gói, số lượng, số lô, đơn giá, hạn dùng, hãng sản xuất, nước sản xuất;</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Lập biên bản khi hàng bị hư hao, thừa, thiếu và thông báo cho cơ sở cung cấp để bổ sung, giải quyết;</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Khi nhận hàng kiểm tra điều kiện bảo quản đối với các thuốc có yêu cầu bảo quản đặc biệt hoặc theo yêu cầu trên nhãn hàng hóa;</w:t>
      </w:r>
    </w:p>
    <w:p w:rsidR="00A03B7B"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Kiểm soát 100% chất lượng cảm quan thuốc nhập vào cơ sở y tế;</w:t>
      </w:r>
    </w:p>
    <w:p w:rsidR="007A5817" w:rsidRPr="00A03B7B" w:rsidRDefault="00A03B7B" w:rsidP="00A03B7B">
      <w:pPr>
        <w:widowControl w:val="0"/>
        <w:spacing w:before="0" w:after="0" w:line="240" w:lineRule="auto"/>
        <w:ind w:firstLine="720"/>
        <w:rPr>
          <w:rFonts w:eastAsia="Calibri" w:cs="Times New Roman"/>
          <w:sz w:val="28"/>
          <w:szCs w:val="28"/>
        </w:rPr>
      </w:pPr>
      <w:r w:rsidRPr="00A03B7B">
        <w:rPr>
          <w:rFonts w:eastAsia="Calibri" w:cs="Times New Roman"/>
          <w:sz w:val="28"/>
          <w:szCs w:val="28"/>
        </w:rPr>
        <w:t>- Yêu cầu nhà thầu cung cấp phiếu kiểm nghiệm cho lô hàng trong trường hợp có nghi ngờ về chất lượng.</w:t>
      </w:r>
    </w:p>
    <w:sectPr w:rsidR="007A5817" w:rsidRPr="00A03B7B" w:rsidSect="00A03B7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7B"/>
    <w:rsid w:val="0024119B"/>
    <w:rsid w:val="00296F5F"/>
    <w:rsid w:val="004A2698"/>
    <w:rsid w:val="007A5817"/>
    <w:rsid w:val="008F41B0"/>
    <w:rsid w:val="00A0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FC4A"/>
  <w15:chartTrackingRefBased/>
  <w15:docId w15:val="{F213D30B-ED54-4197-B285-9F5BC78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qFormat/>
    <w:rsid w:val="008F41B0"/>
    <w:pPr>
      <w:suppressAutoHyphens/>
      <w:spacing w:before="0" w:after="60" w:line="240" w:lineRule="auto"/>
      <w:jc w:val="center"/>
      <w:outlineLvl w:val="0"/>
    </w:pPr>
    <w:rPr>
      <w:rFonts w:ascii="Times New Roman Bold" w:eastAsia="Times New Roman" w:hAnsi="Times New Roman Bold" w:cs="Times New Roman"/>
      <w:b/>
      <w:sz w:val="22"/>
      <w:szCs w:val="20"/>
    </w:rPr>
  </w:style>
  <w:style w:type="paragraph" w:styleId="Heading2">
    <w:name w:val="heading 2"/>
    <w:basedOn w:val="Normal"/>
    <w:next w:val="Normal"/>
    <w:link w:val="Heading2Char"/>
    <w:qFormat/>
    <w:rsid w:val="008F41B0"/>
    <w:pPr>
      <w:suppressAutoHyphens/>
      <w:spacing w:before="0" w:after="60" w:line="240" w:lineRule="auto"/>
      <w:jc w:val="center"/>
      <w:outlineLvl w:val="1"/>
    </w:pPr>
    <w:rPr>
      <w:rFonts w:ascii="Times New Roman Bold" w:eastAsia="Times New Roman" w:hAnsi="Times New Roman Bold" w:cs="Times New Roman"/>
      <w:b/>
      <w:sz w:val="22"/>
      <w:szCs w:val="20"/>
    </w:rPr>
  </w:style>
  <w:style w:type="paragraph" w:styleId="Heading3">
    <w:name w:val="heading 3"/>
    <w:basedOn w:val="Normal"/>
    <w:next w:val="Normal"/>
    <w:link w:val="Heading3Char1"/>
    <w:qFormat/>
    <w:rsid w:val="008F41B0"/>
    <w:pPr>
      <w:suppressAutoHyphens/>
      <w:spacing w:before="0" w:after="0" w:line="240" w:lineRule="auto"/>
      <w:jc w:val="center"/>
      <w:outlineLvl w:val="2"/>
    </w:pPr>
    <w:rPr>
      <w:rFonts w:asciiTheme="minorHAnsi" w:eastAsia="Times New Roman" w:hAnsiTheme="minorHAnsi" w:cs="Times New Roman"/>
      <w:b/>
      <w:sz w:val="22"/>
      <w:szCs w:val="20"/>
    </w:rPr>
  </w:style>
  <w:style w:type="paragraph" w:styleId="Heading4">
    <w:name w:val="heading 4"/>
    <w:basedOn w:val="Normal"/>
    <w:next w:val="Normal"/>
    <w:link w:val="Heading4Char"/>
    <w:uiPriority w:val="9"/>
    <w:qFormat/>
    <w:rsid w:val="004A2698"/>
    <w:pPr>
      <w:keepNext/>
      <w:spacing w:before="0" w:after="60" w:line="240" w:lineRule="auto"/>
      <w:ind w:firstLine="720"/>
      <w:jc w:val="left"/>
      <w:outlineLvl w:val="3"/>
    </w:pPr>
    <w:rPr>
      <w:rFonts w:asciiTheme="minorHAnsi" w:eastAsia="Times New Roman" w:hAnsiTheme="minorHAnsi" w:cs="Times New Roman"/>
      <w:b/>
      <w:bCs/>
      <w:sz w:val="22"/>
      <w:szCs w:val="20"/>
    </w:rPr>
  </w:style>
  <w:style w:type="paragraph" w:styleId="Heading5">
    <w:name w:val="heading 5"/>
    <w:basedOn w:val="Normal"/>
    <w:next w:val="Normal"/>
    <w:link w:val="Heading5Char"/>
    <w:uiPriority w:val="9"/>
    <w:semiHidden/>
    <w:unhideWhenUsed/>
    <w:qFormat/>
    <w:rsid w:val="00A03B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1B0"/>
    <w:rPr>
      <w:rFonts w:ascii="Times New Roman Bold" w:eastAsia="Times New Roman" w:hAnsi="Times New Roman Bold" w:cs="Times New Roman"/>
      <w:b/>
      <w:szCs w:val="20"/>
    </w:rPr>
  </w:style>
  <w:style w:type="character" w:customStyle="1" w:styleId="Heading2Char">
    <w:name w:val="Heading 2 Char"/>
    <w:basedOn w:val="DefaultParagraphFont"/>
    <w:link w:val="Heading2"/>
    <w:rsid w:val="008F41B0"/>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A2698"/>
    <w:rPr>
      <w:rFonts w:eastAsia="Times New Roman" w:cs="Times New Roman"/>
      <w:b/>
      <w:bCs/>
      <w:szCs w:val="20"/>
    </w:rPr>
  </w:style>
  <w:style w:type="character" w:customStyle="1" w:styleId="Heading3Char1">
    <w:name w:val="Heading 3 Char1"/>
    <w:link w:val="Heading3"/>
    <w:rsid w:val="008F41B0"/>
    <w:rPr>
      <w:rFonts w:eastAsia="Times New Roman" w:cs="Times New Roman"/>
      <w:b/>
      <w:szCs w:val="20"/>
    </w:rPr>
  </w:style>
  <w:style w:type="character" w:customStyle="1" w:styleId="Heading5Char">
    <w:name w:val="Heading 5 Char"/>
    <w:basedOn w:val="DefaultParagraphFont"/>
    <w:link w:val="Heading5"/>
    <w:uiPriority w:val="9"/>
    <w:semiHidden/>
    <w:rsid w:val="00A03B7B"/>
    <w:rPr>
      <w:rFonts w:asciiTheme="majorHAnsi" w:eastAsiaTheme="majorEastAsia" w:hAnsiTheme="majorHAnsi" w:cstheme="majorBid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Excel_Worksheet1.xlsx"/><Relationship Id="rId5" Type="http://schemas.openxmlformats.org/officeDocument/2006/relationships/package" Target="embeddings/Microsoft_Excel_Worksheet.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2026-05-22T00:59:00Z</dcterms:created>
  <dcterms:modified xsi:type="dcterms:W3CDTF">2026-05-22T01:05:00Z</dcterms:modified>
</cp:coreProperties>
</file>