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DAC" w:rsidRPr="002C2C3E" w:rsidRDefault="00FA6DAC" w:rsidP="00FA6DAC">
      <w:pPr>
        <w:pStyle w:val="Heading1"/>
        <w:rPr>
          <w:rFonts w:ascii="Times New Roman" w:hAnsi="Times New Roman"/>
          <w:lang w:val="es-ES"/>
        </w:rPr>
      </w:pPr>
      <w:bookmarkStart w:id="0" w:name="_Toc154510933"/>
      <w:r w:rsidRPr="002C2C3E">
        <w:rPr>
          <w:rFonts w:ascii="Times New Roman" w:hAnsi="Times New Roman"/>
          <w:lang w:val="es-ES"/>
        </w:rPr>
        <w:t>CHƯƠNG V. ĐIỀU KHOẢN THAM CHIẾU</w:t>
      </w:r>
      <w:bookmarkEnd w:id="0"/>
    </w:p>
    <w:p w:rsidR="00FA6DAC" w:rsidRPr="002C2C3E" w:rsidRDefault="00FA6DAC" w:rsidP="00FA6DAC">
      <w:pPr>
        <w:spacing w:before="60" w:after="60"/>
        <w:ind w:firstLine="720"/>
        <w:rPr>
          <w:bCs/>
          <w:i/>
          <w:iCs/>
          <w:sz w:val="28"/>
          <w:szCs w:val="28"/>
          <w:lang w:val="it-IT"/>
        </w:rPr>
      </w:pPr>
    </w:p>
    <w:p w:rsidR="00FA6DAC" w:rsidRPr="002C2C3E" w:rsidRDefault="00FA6DAC" w:rsidP="00FA6DAC">
      <w:pPr>
        <w:spacing w:before="60" w:after="60"/>
        <w:ind w:firstLine="720"/>
        <w:rPr>
          <w:i/>
          <w:iCs/>
          <w:sz w:val="28"/>
          <w:szCs w:val="28"/>
          <w:lang w:val="it-IT"/>
        </w:rPr>
      </w:pPr>
      <w:r w:rsidRPr="002C2C3E">
        <w:rPr>
          <w:bCs/>
          <w:i/>
          <w:iCs/>
          <w:sz w:val="28"/>
          <w:szCs w:val="28"/>
          <w:lang w:val="it-IT"/>
        </w:rPr>
        <w:t>“Điều khoản tham chiếu" bao gồm những nội dung chủ yếu sau:</w:t>
      </w:r>
    </w:p>
    <w:p w:rsidR="00BF1A61" w:rsidRPr="002C2C3E" w:rsidRDefault="00BF1A61" w:rsidP="00BF1A61">
      <w:pPr>
        <w:autoSpaceDE w:val="0"/>
        <w:autoSpaceDN w:val="0"/>
        <w:adjustRightInd w:val="0"/>
        <w:spacing w:before="120" w:after="120" w:line="276" w:lineRule="auto"/>
        <w:ind w:firstLine="720"/>
        <w:outlineLvl w:val="2"/>
        <w:rPr>
          <w:b/>
          <w:bCs/>
          <w:sz w:val="28"/>
          <w:szCs w:val="28"/>
          <w:lang w:val="it-IT"/>
        </w:rPr>
      </w:pPr>
      <w:r w:rsidRPr="002C2C3E">
        <w:rPr>
          <w:b/>
          <w:bCs/>
          <w:sz w:val="28"/>
          <w:szCs w:val="28"/>
          <w:lang w:val="it-IT"/>
        </w:rPr>
        <w:t>I. Giới thiệu</w:t>
      </w:r>
    </w:p>
    <w:p w:rsidR="00BF1A61" w:rsidRPr="002C2C3E" w:rsidRDefault="00BF1A61" w:rsidP="00BF1A61">
      <w:pPr>
        <w:autoSpaceDE w:val="0"/>
        <w:autoSpaceDN w:val="0"/>
        <w:adjustRightInd w:val="0"/>
        <w:spacing w:before="120" w:after="120" w:line="276" w:lineRule="auto"/>
        <w:ind w:firstLine="720"/>
        <w:rPr>
          <w:rFonts w:eastAsia="Calibri"/>
          <w:b/>
          <w:iCs/>
          <w:sz w:val="28"/>
          <w:szCs w:val="28"/>
          <w:lang w:val="it-IT"/>
        </w:rPr>
      </w:pPr>
      <w:r w:rsidRPr="002C2C3E">
        <w:rPr>
          <w:rFonts w:eastAsia="Calibri"/>
          <w:b/>
          <w:iCs/>
          <w:sz w:val="28"/>
          <w:szCs w:val="28"/>
          <w:lang w:val="it-IT"/>
        </w:rPr>
        <w:t xml:space="preserve">1. Mô tả khái quát về dự án và gói thầu. </w:t>
      </w:r>
    </w:p>
    <w:p w:rsidR="00BF1A61" w:rsidRPr="002C2C3E" w:rsidRDefault="00BF1A61" w:rsidP="00BF1A61">
      <w:pPr>
        <w:autoSpaceDE w:val="0"/>
        <w:autoSpaceDN w:val="0"/>
        <w:adjustRightInd w:val="0"/>
        <w:spacing w:before="120" w:after="120" w:line="276" w:lineRule="auto"/>
        <w:ind w:firstLine="720"/>
        <w:rPr>
          <w:b/>
          <w:i/>
          <w:sz w:val="28"/>
          <w:szCs w:val="28"/>
          <w:lang w:val="it-IT"/>
        </w:rPr>
      </w:pPr>
      <w:r w:rsidRPr="002C2C3E">
        <w:rPr>
          <w:b/>
          <w:i/>
          <w:sz w:val="28"/>
          <w:szCs w:val="28"/>
          <w:lang w:val="it-IT"/>
        </w:rPr>
        <w:t>1.1. Khái quát về dự án:</w:t>
      </w:r>
    </w:p>
    <w:p w:rsidR="00BF1A61" w:rsidRPr="002C2C3E" w:rsidRDefault="00BF1A61" w:rsidP="00BF1A61">
      <w:pPr>
        <w:autoSpaceDE w:val="0"/>
        <w:autoSpaceDN w:val="0"/>
        <w:adjustRightInd w:val="0"/>
        <w:spacing w:before="120" w:after="120" w:line="276" w:lineRule="auto"/>
        <w:ind w:firstLine="720"/>
        <w:rPr>
          <w:sz w:val="28"/>
          <w:szCs w:val="28"/>
          <w:lang w:val="it-IT"/>
        </w:rPr>
      </w:pPr>
      <w:bookmarkStart w:id="1" w:name="_Hlk211149997"/>
      <w:r w:rsidRPr="002C2C3E">
        <w:rPr>
          <w:sz w:val="28"/>
          <w:szCs w:val="28"/>
          <w:lang w:val="it-IT"/>
        </w:rPr>
        <w:t xml:space="preserve">- Tên dự án: </w:t>
      </w:r>
      <w:r w:rsidRPr="002C2C3E">
        <w:rPr>
          <w:bCs/>
          <w:sz w:val="28"/>
          <w:szCs w:val="28"/>
          <w:lang w:val="pt-BR"/>
        </w:rPr>
        <w:t>Đề án phát triển Đà Nẵng trở thành trung tâm văn hóa, nghệ thuật, nghiên cứu khoa học và đào tạo nhân lực văn hóa, nghệ thuật của vùng duyên hải Nam Trung bộ và Tây Nguyên</w:t>
      </w:r>
      <w:r w:rsidRPr="002C2C3E">
        <w:rPr>
          <w:sz w:val="28"/>
          <w:szCs w:val="28"/>
          <w:lang w:val="it-IT"/>
        </w:rPr>
        <w:t>.</w:t>
      </w:r>
    </w:p>
    <w:p w:rsidR="00BF1A61" w:rsidRPr="002C2C3E" w:rsidRDefault="00BF1A61" w:rsidP="00BF1A61">
      <w:pPr>
        <w:autoSpaceDE w:val="0"/>
        <w:autoSpaceDN w:val="0"/>
        <w:adjustRightInd w:val="0"/>
        <w:spacing w:before="120" w:after="120" w:line="276" w:lineRule="auto"/>
        <w:ind w:firstLine="720"/>
        <w:rPr>
          <w:sz w:val="28"/>
          <w:szCs w:val="28"/>
          <w:lang w:val="it-IT"/>
        </w:rPr>
      </w:pPr>
      <w:r w:rsidRPr="002C2C3E">
        <w:rPr>
          <w:sz w:val="28"/>
          <w:szCs w:val="28"/>
          <w:lang w:val="it-IT"/>
        </w:rPr>
        <w:t xml:space="preserve">- Chủ đầu tư: </w:t>
      </w:r>
      <w:r w:rsidRPr="002C2C3E">
        <w:rPr>
          <w:sz w:val="28"/>
          <w:szCs w:val="28"/>
          <w:lang w:val="af-ZA"/>
        </w:rPr>
        <w:t>Sở Văn hóa</w:t>
      </w:r>
      <w:r w:rsidR="00DB1792">
        <w:rPr>
          <w:sz w:val="28"/>
          <w:szCs w:val="28"/>
          <w:lang w:val="af-ZA"/>
        </w:rPr>
        <w:t xml:space="preserve">, </w:t>
      </w:r>
      <w:r w:rsidRPr="002C2C3E">
        <w:rPr>
          <w:sz w:val="28"/>
          <w:szCs w:val="28"/>
          <w:lang w:val="af-ZA"/>
        </w:rPr>
        <w:t xml:space="preserve">Thể thao </w:t>
      </w:r>
      <w:r w:rsidR="00DB1792">
        <w:rPr>
          <w:sz w:val="28"/>
          <w:szCs w:val="28"/>
          <w:lang w:val="af-ZA"/>
        </w:rPr>
        <w:t xml:space="preserve">và Du lịch </w:t>
      </w:r>
      <w:bookmarkStart w:id="2" w:name="_GoBack"/>
      <w:bookmarkEnd w:id="2"/>
      <w:r w:rsidRPr="002C2C3E">
        <w:rPr>
          <w:sz w:val="28"/>
          <w:szCs w:val="28"/>
          <w:lang w:val="af-ZA"/>
        </w:rPr>
        <w:t>thành phố Đà Nẵng</w:t>
      </w:r>
      <w:r w:rsidRPr="002C2C3E">
        <w:rPr>
          <w:sz w:val="28"/>
          <w:szCs w:val="28"/>
          <w:lang w:val="it-IT"/>
        </w:rPr>
        <w:t>.</w:t>
      </w:r>
    </w:p>
    <w:p w:rsidR="00BF1A61" w:rsidRPr="002C2C3E" w:rsidRDefault="00BF1A61" w:rsidP="00BF1A61">
      <w:pPr>
        <w:autoSpaceDE w:val="0"/>
        <w:autoSpaceDN w:val="0"/>
        <w:adjustRightInd w:val="0"/>
        <w:spacing w:before="120" w:after="120" w:line="276" w:lineRule="auto"/>
        <w:ind w:firstLine="720"/>
        <w:rPr>
          <w:sz w:val="28"/>
          <w:szCs w:val="28"/>
          <w:lang w:val="it-IT"/>
        </w:rPr>
      </w:pPr>
      <w:r w:rsidRPr="002C2C3E">
        <w:rPr>
          <w:sz w:val="28"/>
          <w:szCs w:val="28"/>
          <w:lang w:val="it-IT"/>
        </w:rPr>
        <w:t xml:space="preserve">- Nguồn vốn đầu tư: </w:t>
      </w:r>
      <w:r w:rsidRPr="002C2C3E">
        <w:rPr>
          <w:sz w:val="28"/>
          <w:szCs w:val="28"/>
          <w:lang w:val="af-ZA"/>
        </w:rPr>
        <w:t>Ngân sách thành phố</w:t>
      </w:r>
      <w:r w:rsidRPr="002C2C3E">
        <w:rPr>
          <w:sz w:val="28"/>
          <w:szCs w:val="28"/>
          <w:lang w:val="it-IT"/>
        </w:rPr>
        <w:t>.</w:t>
      </w:r>
    </w:p>
    <w:bookmarkEnd w:id="1"/>
    <w:p w:rsidR="00BF1A61" w:rsidRPr="002C2C3E" w:rsidRDefault="00BF1A61" w:rsidP="00BF1A61">
      <w:pPr>
        <w:autoSpaceDE w:val="0"/>
        <w:autoSpaceDN w:val="0"/>
        <w:adjustRightInd w:val="0"/>
        <w:spacing w:before="120" w:after="120" w:line="276" w:lineRule="auto"/>
        <w:ind w:firstLine="720"/>
        <w:rPr>
          <w:sz w:val="28"/>
          <w:szCs w:val="28"/>
          <w:lang w:val="it-IT"/>
        </w:rPr>
      </w:pPr>
      <w:r w:rsidRPr="002C2C3E">
        <w:rPr>
          <w:sz w:val="28"/>
          <w:szCs w:val="28"/>
          <w:lang w:val="it-IT"/>
        </w:rPr>
        <w:t>- Phạm vi thực hiện: Thành phố Đà Nẵng.</w:t>
      </w:r>
    </w:p>
    <w:p w:rsidR="00BF1A61" w:rsidRPr="002C2C3E" w:rsidRDefault="00BF1A61" w:rsidP="00BF1A61">
      <w:pPr>
        <w:autoSpaceDE w:val="0"/>
        <w:autoSpaceDN w:val="0"/>
        <w:adjustRightInd w:val="0"/>
        <w:spacing w:before="120" w:after="120" w:line="276" w:lineRule="auto"/>
        <w:ind w:firstLine="720"/>
        <w:rPr>
          <w:b/>
          <w:i/>
          <w:sz w:val="28"/>
          <w:szCs w:val="28"/>
          <w:lang w:val="it-IT"/>
        </w:rPr>
      </w:pPr>
      <w:r w:rsidRPr="002C2C3E">
        <w:rPr>
          <w:b/>
          <w:i/>
          <w:sz w:val="28"/>
          <w:szCs w:val="28"/>
          <w:lang w:val="it-IT"/>
        </w:rPr>
        <w:t>1.2. Khái quát về gói thầu:</w:t>
      </w:r>
    </w:p>
    <w:p w:rsidR="00BF1A61" w:rsidRPr="002C2C3E" w:rsidRDefault="00BF1A61" w:rsidP="00BF1A61">
      <w:pPr>
        <w:autoSpaceDE w:val="0"/>
        <w:autoSpaceDN w:val="0"/>
        <w:adjustRightInd w:val="0"/>
        <w:spacing w:before="120" w:after="120" w:line="276" w:lineRule="auto"/>
        <w:ind w:firstLine="720"/>
        <w:rPr>
          <w:sz w:val="28"/>
          <w:szCs w:val="28"/>
          <w:lang w:val="it-IT"/>
        </w:rPr>
      </w:pPr>
      <w:bookmarkStart w:id="3" w:name="_Hlk211150012"/>
      <w:r w:rsidRPr="002C2C3E">
        <w:rPr>
          <w:sz w:val="28"/>
          <w:szCs w:val="28"/>
          <w:lang w:val="it-IT"/>
        </w:rPr>
        <w:t xml:space="preserve">- Tên gói thầu: </w:t>
      </w:r>
      <w:r w:rsidRPr="002C2C3E">
        <w:rPr>
          <w:sz w:val="28"/>
          <w:szCs w:val="28"/>
        </w:rPr>
        <w:t>Tư vấn Xây dựng đề án phát triển Đà Nẵng trở thành trung tâm văn hóa, nghệ thuật, nghiên cứu khoa học và đào tạo nhân lực văn hóa, nghệ thuật của vùng duyên hải Nam Trung Bộ và Tây Nguyên</w:t>
      </w:r>
      <w:r w:rsidRPr="002C2C3E">
        <w:rPr>
          <w:sz w:val="28"/>
          <w:szCs w:val="28"/>
          <w:lang w:val="it-IT"/>
        </w:rPr>
        <w:t>.</w:t>
      </w:r>
    </w:p>
    <w:bookmarkEnd w:id="3"/>
    <w:p w:rsidR="00BF1A61" w:rsidRPr="002C2C3E" w:rsidRDefault="00BF1A61" w:rsidP="00BF1A61">
      <w:pPr>
        <w:autoSpaceDE w:val="0"/>
        <w:autoSpaceDN w:val="0"/>
        <w:adjustRightInd w:val="0"/>
        <w:spacing w:before="120" w:after="120" w:line="276" w:lineRule="auto"/>
        <w:ind w:firstLine="720"/>
        <w:rPr>
          <w:sz w:val="28"/>
          <w:szCs w:val="28"/>
          <w:lang w:val="pt-BR"/>
        </w:rPr>
      </w:pPr>
      <w:r w:rsidRPr="002C2C3E">
        <w:rPr>
          <w:sz w:val="28"/>
          <w:szCs w:val="28"/>
          <w:lang w:val="pt-BR"/>
        </w:rPr>
        <w:t>- Hình thức lựa chọn nhà thầu: Đấu thầu rộng rãi trong nước, qua mạng.</w:t>
      </w:r>
    </w:p>
    <w:p w:rsidR="00BF1A61" w:rsidRPr="002C2C3E" w:rsidRDefault="00BF1A61" w:rsidP="00BF1A61">
      <w:pPr>
        <w:autoSpaceDE w:val="0"/>
        <w:autoSpaceDN w:val="0"/>
        <w:adjustRightInd w:val="0"/>
        <w:spacing w:before="120" w:after="120" w:line="276" w:lineRule="auto"/>
        <w:ind w:firstLine="720"/>
        <w:rPr>
          <w:sz w:val="28"/>
          <w:szCs w:val="28"/>
          <w:lang w:val="pt-BR"/>
        </w:rPr>
      </w:pPr>
      <w:r w:rsidRPr="002C2C3E">
        <w:rPr>
          <w:sz w:val="28"/>
          <w:szCs w:val="28"/>
          <w:lang w:val="pt-BR"/>
        </w:rPr>
        <w:t>- Phương thức lựa chọn nhà thầu: Một giai đoạn hai túi hồ sơ.</w:t>
      </w:r>
    </w:p>
    <w:p w:rsidR="00BF1A61" w:rsidRPr="002C2C3E" w:rsidRDefault="00BF1A61" w:rsidP="00BF1A61">
      <w:pPr>
        <w:autoSpaceDE w:val="0"/>
        <w:autoSpaceDN w:val="0"/>
        <w:adjustRightInd w:val="0"/>
        <w:spacing w:before="120" w:after="120" w:line="276" w:lineRule="auto"/>
        <w:ind w:firstLine="720"/>
        <w:rPr>
          <w:sz w:val="28"/>
          <w:szCs w:val="28"/>
          <w:lang w:val="pt-BR"/>
        </w:rPr>
      </w:pPr>
      <w:r w:rsidRPr="002C2C3E">
        <w:rPr>
          <w:sz w:val="28"/>
          <w:szCs w:val="28"/>
          <w:lang w:val="pt-BR"/>
        </w:rPr>
        <w:t>- Loại hợp đồng: Hợp đồng trọn gói.</w:t>
      </w:r>
    </w:p>
    <w:p w:rsidR="00BF1A61" w:rsidRPr="002C2C3E" w:rsidRDefault="00BF1A61" w:rsidP="00BF1A61">
      <w:pPr>
        <w:autoSpaceDE w:val="0"/>
        <w:autoSpaceDN w:val="0"/>
        <w:adjustRightInd w:val="0"/>
        <w:spacing w:before="120" w:after="120" w:line="276" w:lineRule="auto"/>
        <w:ind w:firstLine="720"/>
        <w:rPr>
          <w:sz w:val="28"/>
          <w:szCs w:val="28"/>
          <w:lang w:val="pt-BR"/>
        </w:rPr>
      </w:pPr>
      <w:r w:rsidRPr="002C2C3E">
        <w:rPr>
          <w:sz w:val="28"/>
          <w:szCs w:val="28"/>
          <w:lang w:val="pt-BR"/>
        </w:rPr>
        <w:t>- Thời gian thực hiện hợp đồng: 80 ngày kể từ ngày hợp đồng có hiệu lực.</w:t>
      </w:r>
    </w:p>
    <w:p w:rsidR="00BF1A61" w:rsidRPr="002C2C3E" w:rsidRDefault="00BF1A61" w:rsidP="00BF1A61">
      <w:pPr>
        <w:autoSpaceDE w:val="0"/>
        <w:autoSpaceDN w:val="0"/>
        <w:adjustRightInd w:val="0"/>
        <w:spacing w:before="120" w:after="120" w:line="276" w:lineRule="auto"/>
        <w:ind w:firstLine="720"/>
        <w:rPr>
          <w:b/>
          <w:i/>
          <w:sz w:val="28"/>
          <w:szCs w:val="28"/>
          <w:lang w:val="pt-BR"/>
        </w:rPr>
      </w:pPr>
      <w:r w:rsidRPr="002C2C3E">
        <w:rPr>
          <w:b/>
          <w:i/>
          <w:sz w:val="28"/>
          <w:szCs w:val="28"/>
          <w:lang w:val="pt-BR"/>
        </w:rPr>
        <w:t>1.3 Mục tiêu của gói thầu:</w:t>
      </w:r>
    </w:p>
    <w:p w:rsidR="00BF1A61" w:rsidRPr="002C2C3E" w:rsidRDefault="00BF1A61" w:rsidP="00BF1A61">
      <w:pPr>
        <w:autoSpaceDE w:val="0"/>
        <w:autoSpaceDN w:val="0"/>
        <w:adjustRightInd w:val="0"/>
        <w:spacing w:before="120" w:after="120" w:line="276" w:lineRule="auto"/>
        <w:ind w:firstLine="720"/>
        <w:rPr>
          <w:b/>
          <w:sz w:val="28"/>
          <w:szCs w:val="28"/>
          <w:lang w:val="pt-BR"/>
        </w:rPr>
      </w:pPr>
      <w:r w:rsidRPr="002C2C3E">
        <w:rPr>
          <w:b/>
          <w:sz w:val="28"/>
          <w:szCs w:val="28"/>
          <w:lang w:val="pt-BR"/>
        </w:rPr>
        <w:t>* Mục tiêu tổng quát:</w:t>
      </w:r>
    </w:p>
    <w:p w:rsidR="00BF1A61" w:rsidRPr="002C2C3E" w:rsidRDefault="00BF1A61" w:rsidP="002C2C3E">
      <w:pPr>
        <w:spacing w:before="120"/>
        <w:ind w:firstLine="709"/>
        <w:rPr>
          <w:sz w:val="28"/>
          <w:szCs w:val="28"/>
          <w:lang w:val="vi-VN"/>
        </w:rPr>
      </w:pPr>
      <w:r w:rsidRPr="002C2C3E">
        <w:rPr>
          <w:sz w:val="28"/>
          <w:szCs w:val="28"/>
          <w:lang w:val="vi-VN"/>
        </w:rPr>
        <w:t>Phát triển Thành phố Đà Nẵng trở thành trung tâm văn hóa, nghệ thuật, nghiên cứu khoa học và đào tạo nhân lực văn hóa, nghệ thuật của vùng duyên hải Nam Trung bộ và Tây Nguyên, có tầm ảnh hưởng khu vực, góp phần bảo tồn và phát huy giá trị văn hóa, thúc đẩy công nghiệp văn hóa, sáng tạo và hội nhập quốc tế.</w:t>
      </w:r>
    </w:p>
    <w:p w:rsidR="00BF1A61" w:rsidRPr="002C2C3E" w:rsidRDefault="00BF1A61" w:rsidP="00BF1A61">
      <w:pPr>
        <w:autoSpaceDE w:val="0"/>
        <w:autoSpaceDN w:val="0"/>
        <w:adjustRightInd w:val="0"/>
        <w:spacing w:before="120" w:after="120" w:line="276" w:lineRule="auto"/>
        <w:ind w:firstLine="720"/>
        <w:rPr>
          <w:b/>
          <w:sz w:val="28"/>
          <w:szCs w:val="28"/>
          <w:lang w:val="pt-BR"/>
        </w:rPr>
      </w:pPr>
      <w:r w:rsidRPr="002C2C3E">
        <w:rPr>
          <w:b/>
          <w:sz w:val="28"/>
          <w:szCs w:val="28"/>
          <w:lang w:val="pt-BR"/>
        </w:rPr>
        <w:t>* Mục tiêu cụ thể:</w:t>
      </w:r>
    </w:p>
    <w:p w:rsidR="00BF1A61" w:rsidRPr="002C2C3E" w:rsidRDefault="00BF1A61" w:rsidP="002C2C3E">
      <w:pPr>
        <w:spacing w:before="120"/>
        <w:ind w:firstLine="709"/>
        <w:rPr>
          <w:sz w:val="28"/>
          <w:szCs w:val="28"/>
          <w:lang w:val="vi-VN"/>
        </w:rPr>
      </w:pPr>
      <w:r w:rsidRPr="002C2C3E">
        <w:rPr>
          <w:sz w:val="28"/>
          <w:szCs w:val="28"/>
          <w:lang w:val="vi-VN"/>
        </w:rPr>
        <w:t>- Tổng kết, đánh giá thực trạng hoạt động văn hóa, nghệ thuật; hoạt động nghiên cứu khoa học và hoạt động đào tạo nhân lực văn hóa, nghệ thuật của Đà Nẵng trong thời gian qua;</w:t>
      </w:r>
    </w:p>
    <w:p w:rsidR="00BF1A61" w:rsidRPr="002C2C3E" w:rsidRDefault="00BF1A61" w:rsidP="00BF1A61">
      <w:pPr>
        <w:spacing w:before="120"/>
        <w:ind w:firstLine="567"/>
        <w:rPr>
          <w:sz w:val="28"/>
          <w:szCs w:val="28"/>
          <w:lang w:val="vi-VN"/>
        </w:rPr>
      </w:pPr>
      <w:r w:rsidRPr="002C2C3E">
        <w:rPr>
          <w:sz w:val="28"/>
          <w:szCs w:val="28"/>
          <w:lang w:val="vi-VN"/>
        </w:rPr>
        <w:lastRenderedPageBreak/>
        <w:t>- Đề xuất mục tiêu, định hướng và giải pháp phát triển Đà Nẵng trở thành trung tâm văn hóa, nghệ thuật, nghiên cứu khoa học và đào tạo nhân lực văn hóa, nghệ thuật của vùng duyên hải Nam Trung bộ và Tây Nguyên.</w:t>
      </w:r>
    </w:p>
    <w:p w:rsidR="00BF1A61" w:rsidRPr="002C2C3E" w:rsidRDefault="00BF1A61" w:rsidP="00BF1A61">
      <w:pPr>
        <w:autoSpaceDE w:val="0"/>
        <w:autoSpaceDN w:val="0"/>
        <w:adjustRightInd w:val="0"/>
        <w:spacing w:before="120" w:after="120" w:line="340" w:lineRule="atLeast"/>
        <w:ind w:firstLine="720"/>
        <w:rPr>
          <w:rFonts w:eastAsia="Calibri"/>
          <w:b/>
          <w:sz w:val="28"/>
          <w:szCs w:val="28"/>
          <w:lang w:val="pt-BR"/>
        </w:rPr>
      </w:pPr>
      <w:r w:rsidRPr="002C2C3E">
        <w:rPr>
          <w:rFonts w:eastAsia="Calibri"/>
          <w:b/>
          <w:sz w:val="28"/>
          <w:szCs w:val="28"/>
          <w:lang w:val="pt-BR"/>
        </w:rPr>
        <w:t>2. Mục đích tuyển chọn nhà thầu tư vấn:</w:t>
      </w:r>
    </w:p>
    <w:p w:rsidR="00BF1A61" w:rsidRPr="002C2C3E" w:rsidRDefault="00BF1A61" w:rsidP="00BF1A61">
      <w:pPr>
        <w:spacing w:before="120" w:after="120" w:line="276" w:lineRule="auto"/>
        <w:ind w:firstLine="720"/>
        <w:rPr>
          <w:rFonts w:eastAsia="Calibri"/>
          <w:sz w:val="28"/>
          <w:szCs w:val="22"/>
          <w:lang w:val="pt-BR"/>
        </w:rPr>
      </w:pPr>
      <w:r w:rsidRPr="002C2C3E">
        <w:rPr>
          <w:rFonts w:eastAsia="Calibri"/>
          <w:sz w:val="28"/>
          <w:szCs w:val="22"/>
          <w:lang w:val="pt-BR"/>
        </w:rPr>
        <w:t>Chủ đầu tư lựa chọn nhà thầu tư vấn có năng lực và kinh nghiệm để thực hiện gói thầu: Tư vấn Xây dựng đề án phát triển Đà Nẵng trở thành trung tâm văn hóa, nghệ thuật, nghiên cứu khoa học và đào tạo nhân lực văn hóa, nghệ thuật của vùng duyên hải Nam Trung Bộ và Tây Nguyên, đảm bảo đúng quy định của pháp luật, đúng tiến độ đã đề ra.</w:t>
      </w:r>
    </w:p>
    <w:p w:rsidR="003C6989" w:rsidRPr="002C2C3E" w:rsidRDefault="00FA6DAC" w:rsidP="00FA6DAC">
      <w:pPr>
        <w:spacing w:before="120" w:after="120"/>
        <w:ind w:firstLine="567"/>
        <w:rPr>
          <w:bCs/>
          <w:sz w:val="28"/>
          <w:szCs w:val="28"/>
          <w:lang w:val="de-DE"/>
        </w:rPr>
      </w:pPr>
      <w:r w:rsidRPr="002C2C3E">
        <w:rPr>
          <w:b/>
          <w:sz w:val="28"/>
          <w:szCs w:val="28"/>
          <w:lang w:val="de-DE"/>
        </w:rPr>
        <w:t xml:space="preserve">II. Phạm vi công việc: </w:t>
      </w:r>
      <w:r w:rsidRPr="002C2C3E">
        <w:rPr>
          <w:bCs/>
          <w:sz w:val="28"/>
          <w:szCs w:val="28"/>
          <w:lang w:val="de-DE"/>
        </w:rPr>
        <w:t xml:space="preserve">Theo </w:t>
      </w:r>
      <w:r w:rsidR="00A75BFB">
        <w:rPr>
          <w:bCs/>
          <w:sz w:val="28"/>
          <w:szCs w:val="28"/>
          <w:lang w:val="de-DE"/>
        </w:rPr>
        <w:t>phụ lục</w:t>
      </w:r>
      <w:r w:rsidRPr="002C2C3E">
        <w:rPr>
          <w:bCs/>
          <w:sz w:val="28"/>
          <w:szCs w:val="28"/>
          <w:lang w:val="de-DE"/>
        </w:rPr>
        <w:t xml:space="preserve"> kèm theo E-HSMT.</w:t>
      </w:r>
    </w:p>
    <w:p w:rsidR="00BF1A61" w:rsidRPr="002C2C3E" w:rsidRDefault="002C2C3E" w:rsidP="00BF1A61">
      <w:pPr>
        <w:spacing w:before="120" w:after="120"/>
        <w:ind w:firstLine="567"/>
        <w:rPr>
          <w:b/>
          <w:bCs/>
          <w:sz w:val="28"/>
          <w:szCs w:val="28"/>
        </w:rPr>
      </w:pPr>
      <w:r w:rsidRPr="002C2C3E">
        <w:rPr>
          <w:b/>
          <w:bCs/>
          <w:sz w:val="28"/>
          <w:szCs w:val="28"/>
        </w:rPr>
        <w:t>III</w:t>
      </w:r>
      <w:r w:rsidR="00BF1A61" w:rsidRPr="002C2C3E">
        <w:rPr>
          <w:b/>
          <w:bCs/>
          <w:sz w:val="28"/>
          <w:szCs w:val="28"/>
        </w:rPr>
        <w:t>. Kinh nghiệm và nhân sự của nhà thầu</w:t>
      </w:r>
    </w:p>
    <w:p w:rsidR="00BF1A61" w:rsidRPr="002C2C3E" w:rsidRDefault="00BF1A61" w:rsidP="00BF1A61">
      <w:pPr>
        <w:tabs>
          <w:tab w:val="right" w:leader="underscore" w:pos="8493"/>
        </w:tabs>
        <w:spacing w:before="120" w:after="120" w:line="276" w:lineRule="auto"/>
        <w:ind w:firstLine="720"/>
        <w:rPr>
          <w:rFonts w:eastAsia="Calibri"/>
          <w:sz w:val="28"/>
          <w:szCs w:val="28"/>
        </w:rPr>
      </w:pPr>
      <w:r w:rsidRPr="002C2C3E">
        <w:rPr>
          <w:rFonts w:eastAsia="Calibri"/>
          <w:sz w:val="28"/>
          <w:szCs w:val="28"/>
        </w:rPr>
        <w:t>Nhà thầu đáp ứng về kinh nghiệm và nhân sự theo đúng yêu cầu của hồ sơ mời thầu.</w:t>
      </w:r>
    </w:p>
    <w:p w:rsidR="00BF1A61" w:rsidRPr="002C2C3E" w:rsidRDefault="002C2C3E" w:rsidP="00BF1A61">
      <w:pPr>
        <w:spacing w:before="120" w:after="120"/>
        <w:ind w:firstLine="567"/>
        <w:rPr>
          <w:b/>
          <w:bCs/>
          <w:sz w:val="28"/>
          <w:szCs w:val="28"/>
        </w:rPr>
      </w:pPr>
      <w:r w:rsidRPr="002C2C3E">
        <w:rPr>
          <w:b/>
          <w:bCs/>
          <w:sz w:val="28"/>
          <w:szCs w:val="28"/>
        </w:rPr>
        <w:t>I</w:t>
      </w:r>
      <w:r w:rsidR="00BF1A61" w:rsidRPr="002C2C3E">
        <w:rPr>
          <w:b/>
          <w:bCs/>
          <w:sz w:val="28"/>
          <w:szCs w:val="28"/>
        </w:rPr>
        <w:t xml:space="preserve">V. Trách nhiệm của </w:t>
      </w:r>
      <w:r w:rsidRPr="002C2C3E">
        <w:rPr>
          <w:b/>
          <w:bCs/>
          <w:sz w:val="28"/>
          <w:szCs w:val="28"/>
        </w:rPr>
        <w:t>Chủ đầu tư:</w:t>
      </w:r>
    </w:p>
    <w:p w:rsidR="00BF1A61" w:rsidRPr="002C2C3E" w:rsidRDefault="00BF1A61" w:rsidP="00BF1A61">
      <w:pPr>
        <w:spacing w:before="120" w:after="120" w:line="276" w:lineRule="auto"/>
        <w:ind w:firstLine="720"/>
        <w:rPr>
          <w:rFonts w:eastAsia="Calibri"/>
          <w:sz w:val="28"/>
          <w:szCs w:val="28"/>
        </w:rPr>
      </w:pPr>
      <w:r w:rsidRPr="002C2C3E">
        <w:rPr>
          <w:rFonts w:eastAsia="Calibri"/>
          <w:sz w:val="28"/>
          <w:szCs w:val="28"/>
        </w:rPr>
        <w:t xml:space="preserve">- Cung cấp điều kiện làm việc, cán bộ hỗ trợ của </w:t>
      </w:r>
      <w:r w:rsidR="002C2C3E">
        <w:rPr>
          <w:rFonts w:eastAsia="Calibri"/>
          <w:sz w:val="28"/>
          <w:szCs w:val="28"/>
        </w:rPr>
        <w:t>Chủ đầu tư</w:t>
      </w:r>
      <w:r w:rsidRPr="002C2C3E">
        <w:rPr>
          <w:rFonts w:eastAsia="Calibri"/>
          <w:sz w:val="28"/>
          <w:szCs w:val="28"/>
        </w:rPr>
        <w:t xml:space="preserve"> và những tài liệu có liên quan đến nhiệm vụ của tư vấn, kể cả các tài liệu nghiên cứu liên quan hiện có nhằm tạo điều kiện thuận lợi cho nhà thầu thực hiện nhiệm vụ của mình.</w:t>
      </w:r>
    </w:p>
    <w:p w:rsidR="00BF1A61" w:rsidRPr="002C2C3E" w:rsidRDefault="00BF1A61" w:rsidP="00BF1A61">
      <w:pPr>
        <w:spacing w:before="120" w:after="120" w:line="276" w:lineRule="auto"/>
        <w:ind w:firstLine="720"/>
        <w:rPr>
          <w:rFonts w:eastAsia="Calibri"/>
          <w:sz w:val="28"/>
          <w:szCs w:val="28"/>
        </w:rPr>
      </w:pPr>
      <w:r w:rsidRPr="002C2C3E">
        <w:rPr>
          <w:rFonts w:eastAsia="Calibri"/>
          <w:sz w:val="28"/>
          <w:szCs w:val="28"/>
        </w:rPr>
        <w:t>- Bố trí cán bộ chuyên môn phù hợp để phối hợp cùng nhà thầu giải quyết các vấn đề phát sinh trong quá trình thực hiện.</w:t>
      </w:r>
    </w:p>
    <w:p w:rsidR="00BF1A61" w:rsidRPr="002C2C3E" w:rsidRDefault="00BF1A61" w:rsidP="00BF1A61">
      <w:pPr>
        <w:spacing w:before="120" w:after="120" w:line="276" w:lineRule="auto"/>
        <w:ind w:firstLine="720"/>
        <w:rPr>
          <w:rFonts w:eastAsia="Calibri"/>
          <w:sz w:val="28"/>
          <w:szCs w:val="28"/>
        </w:rPr>
      </w:pPr>
      <w:r w:rsidRPr="002C2C3E">
        <w:rPr>
          <w:rFonts w:eastAsia="Calibri"/>
          <w:sz w:val="28"/>
          <w:szCs w:val="28"/>
        </w:rPr>
        <w:t>- Thực hiện đầy đủ các nghĩa vụ đã thỏa thuận trong hợp đồng.</w:t>
      </w:r>
    </w:p>
    <w:p w:rsidR="00BF1A61" w:rsidRPr="002C2C3E" w:rsidRDefault="00BF1A61" w:rsidP="00BF1A61">
      <w:pPr>
        <w:spacing w:before="120" w:after="120" w:line="276" w:lineRule="auto"/>
        <w:ind w:firstLine="720"/>
      </w:pPr>
      <w:r w:rsidRPr="002C2C3E">
        <w:rPr>
          <w:rFonts w:eastAsia="Calibri"/>
          <w:sz w:val="28"/>
          <w:szCs w:val="28"/>
        </w:rPr>
        <w:t>- Tổ chức nghiệm thu và thanh quyết toán theo quy định của Nhà nước khi công việc hoàn thành và đạt yêu cầu.</w:t>
      </w:r>
    </w:p>
    <w:p w:rsidR="00BF1A61" w:rsidRPr="002C2C3E" w:rsidRDefault="00BF1A61" w:rsidP="00FA6DAC">
      <w:pPr>
        <w:spacing w:before="120" w:after="120"/>
        <w:ind w:firstLine="567"/>
        <w:rPr>
          <w:bCs/>
          <w:sz w:val="28"/>
          <w:szCs w:val="28"/>
          <w:lang w:val="de-DE"/>
        </w:rPr>
      </w:pPr>
    </w:p>
    <w:p w:rsidR="00B84C1A" w:rsidRPr="002C2C3E" w:rsidRDefault="00B84C1A" w:rsidP="00FA6DAC">
      <w:pPr>
        <w:spacing w:before="120" w:after="120"/>
        <w:ind w:firstLine="567"/>
        <w:rPr>
          <w:b/>
          <w:sz w:val="28"/>
          <w:szCs w:val="28"/>
          <w:lang w:val="de-DE"/>
        </w:rPr>
      </w:pPr>
    </w:p>
    <w:sectPr w:rsidR="00B84C1A" w:rsidRPr="002C2C3E" w:rsidSect="00FA6DAC">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AC"/>
    <w:rsid w:val="001144C1"/>
    <w:rsid w:val="002C2C3E"/>
    <w:rsid w:val="003C6989"/>
    <w:rsid w:val="00A45E10"/>
    <w:rsid w:val="00A75BFB"/>
    <w:rsid w:val="00B84C1A"/>
    <w:rsid w:val="00BF1A61"/>
    <w:rsid w:val="00D32566"/>
    <w:rsid w:val="00DB1792"/>
    <w:rsid w:val="00F97365"/>
    <w:rsid w:val="00FA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2A8C"/>
  <w15:chartTrackingRefBased/>
  <w15:docId w15:val="{3583E4CD-ED57-4877-8A0B-E9A94A98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DAC"/>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Document Header1,ClauseGroup_Title,HTN1"/>
    <w:basedOn w:val="Normal"/>
    <w:next w:val="Normal"/>
    <w:link w:val="Heading1Char"/>
    <w:uiPriority w:val="9"/>
    <w:qFormat/>
    <w:rsid w:val="00FA6DAC"/>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HTN1 Char"/>
    <w:basedOn w:val="DefaultParagraphFont"/>
    <w:link w:val="Heading1"/>
    <w:uiPriority w:val="9"/>
    <w:rsid w:val="00FA6DAC"/>
    <w:rPr>
      <w:rFonts w:ascii="Times New Roman Bold" w:eastAsia="Times New Roman" w:hAnsi="Times New Roman Bold" w:cs="Times New Roman"/>
      <w:b/>
      <w:sz w:val="28"/>
      <w:szCs w:val="20"/>
    </w:rPr>
  </w:style>
  <w:style w:type="character" w:customStyle="1" w:styleId="fontstyle01">
    <w:name w:val="fontstyle01"/>
    <w:basedOn w:val="DefaultParagraphFont"/>
    <w:rsid w:val="00D32566"/>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LÊ HẠNH™ PC</cp:lastModifiedBy>
  <cp:revision>6</cp:revision>
  <dcterms:created xsi:type="dcterms:W3CDTF">2024-10-10T03:31:00Z</dcterms:created>
  <dcterms:modified xsi:type="dcterms:W3CDTF">2026-05-27T01:55:00Z</dcterms:modified>
</cp:coreProperties>
</file>