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0849F1" w14:textId="77777777" w:rsidR="00E162C2" w:rsidRPr="00E162C2" w:rsidRDefault="00E162C2" w:rsidP="00E162C2">
      <w:pPr>
        <w:autoSpaceDE w:val="0"/>
        <w:autoSpaceDN w:val="0"/>
        <w:adjustRightInd w:val="0"/>
        <w:spacing w:after="0" w:line="240" w:lineRule="auto"/>
        <w:jc w:val="center"/>
        <w:rPr>
          <w:rFonts w:ascii="Times New Roman" w:eastAsia="Calibri" w:hAnsi="Times New Roman" w:cs="Times New Roman"/>
          <w:b/>
          <w:kern w:val="24"/>
          <w:sz w:val="28"/>
          <w:szCs w:val="28"/>
          <w:lang w:val="nl-NL" w:eastAsia="vi-VN"/>
          <w14:ligatures w14:val="none"/>
        </w:rPr>
      </w:pPr>
    </w:p>
    <w:p w14:paraId="68097B1D" w14:textId="77777777" w:rsidR="00E162C2" w:rsidRPr="00E162C2" w:rsidRDefault="00E162C2" w:rsidP="00E162C2">
      <w:pPr>
        <w:widowControl w:val="0"/>
        <w:spacing w:before="120" w:after="120" w:line="264" w:lineRule="auto"/>
        <w:jc w:val="both"/>
        <w:outlineLvl w:val="1"/>
        <w:rPr>
          <w:rFonts w:ascii="Times New Roman" w:eastAsia="Times New Roman" w:hAnsi="Times New Roman" w:cs="Times New Roman"/>
          <w:b/>
          <w:bCs/>
          <w:kern w:val="0"/>
          <w:sz w:val="28"/>
          <w:szCs w:val="28"/>
          <w:lang w:val="vi-VN"/>
          <w14:ligatures w14:val="none"/>
        </w:rPr>
      </w:pPr>
      <w:r w:rsidRPr="00E162C2">
        <w:rPr>
          <w:rFonts w:ascii="Times New Roman" w:eastAsia="Times New Roman" w:hAnsi="Times New Roman" w:cs="Times New Roman"/>
          <w:b/>
          <w:bCs/>
          <w:kern w:val="0"/>
          <w:sz w:val="28"/>
          <w:szCs w:val="28"/>
          <w:lang w:val="nl-NL"/>
          <w14:ligatures w14:val="none"/>
        </w:rPr>
        <w:t xml:space="preserve">             </w:t>
      </w:r>
      <w:bookmarkStart w:id="0" w:name="_Hlk199790446"/>
      <w:r w:rsidRPr="00E162C2">
        <w:rPr>
          <w:rFonts w:ascii="Times New Roman" w:eastAsia="Times New Roman" w:hAnsi="Times New Roman" w:cs="Times New Roman"/>
          <w:b/>
          <w:bCs/>
          <w:kern w:val="0"/>
          <w:sz w:val="28"/>
          <w:szCs w:val="28"/>
          <w:lang w:val="vi-VN"/>
          <w14:ligatures w14:val="none"/>
        </w:rPr>
        <w:t>Chương VII. Điều kiện cụ thể của hợp đồng</w:t>
      </w:r>
    </w:p>
    <w:p w14:paraId="4EC4FC33" w14:textId="77777777" w:rsidR="00E162C2" w:rsidRPr="00E162C2" w:rsidRDefault="00E162C2" w:rsidP="00E162C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Trừ khi có quy định khác, toàn bộ ĐKCT phải được Chủ đầu tư  ghi đầy đủ trước khi phát hành HSMT.</w:t>
      </w:r>
    </w:p>
    <w:tbl>
      <w:tblPr>
        <w:tblW w:w="5049"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000" w:firstRow="0" w:lastRow="0" w:firstColumn="0" w:lastColumn="0" w:noHBand="0" w:noVBand="0"/>
      </w:tblPr>
      <w:tblGrid>
        <w:gridCol w:w="1955"/>
        <w:gridCol w:w="7398"/>
        <w:gridCol w:w="93"/>
      </w:tblGrid>
      <w:tr w:rsidR="00E162C2" w:rsidRPr="00E162C2" w14:paraId="0EF0CB25" w14:textId="77777777" w:rsidTr="00B34F48">
        <w:tblPrEx>
          <w:tblCellMar>
            <w:top w:w="0" w:type="dxa"/>
            <w:left w:w="0" w:type="dxa"/>
            <w:bottom w:w="0" w:type="dxa"/>
            <w:right w:w="0" w:type="dxa"/>
          </w:tblCellMar>
        </w:tblPrEx>
        <w:trPr>
          <w:gridAfter w:val="1"/>
          <w:wAfter w:w="49" w:type="pct"/>
          <w:trHeight w:val="778"/>
        </w:trPr>
        <w:tc>
          <w:tcPr>
            <w:tcW w:w="1035" w:type="pct"/>
            <w:vAlign w:val="center"/>
          </w:tcPr>
          <w:p w14:paraId="760C033F" w14:textId="77777777" w:rsidR="00E162C2" w:rsidRPr="00E162C2" w:rsidRDefault="00E162C2" w:rsidP="00E162C2">
            <w:pPr>
              <w:widowControl w:val="0"/>
              <w:spacing w:before="120" w:after="120" w:line="264" w:lineRule="auto"/>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  ĐKC 1.1</w:t>
            </w:r>
          </w:p>
        </w:tc>
        <w:tc>
          <w:tcPr>
            <w:tcW w:w="3916" w:type="pct"/>
          </w:tcPr>
          <w:p w14:paraId="45E5761B" w14:textId="77777777" w:rsidR="00E162C2" w:rsidRPr="00E162C2" w:rsidRDefault="00E162C2" w:rsidP="00E162C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Chủ đầu tư là: </w:t>
            </w:r>
            <w:r w:rsidRPr="00E162C2">
              <w:rPr>
                <w:rFonts w:ascii="Times New Roman" w:eastAsia="Times New Roman" w:hAnsi="Times New Roman" w:cs="Times New Roman"/>
                <w:iCs/>
                <w:kern w:val="0"/>
                <w:sz w:val="28"/>
                <w:szCs w:val="28"/>
                <w:lang w:val="nl-NL"/>
                <w14:ligatures w14:val="none"/>
              </w:rPr>
              <w:t>Quân đoàn 34/Bộ Quốc phòng</w:t>
            </w:r>
          </w:p>
        </w:tc>
      </w:tr>
      <w:tr w:rsidR="00E162C2" w:rsidRPr="00E162C2" w14:paraId="0D5C121F" w14:textId="77777777" w:rsidTr="00B34F48">
        <w:tblPrEx>
          <w:tblCellMar>
            <w:top w:w="0" w:type="dxa"/>
            <w:left w:w="0" w:type="dxa"/>
            <w:bottom w:w="0" w:type="dxa"/>
            <w:right w:w="0" w:type="dxa"/>
          </w:tblCellMar>
        </w:tblPrEx>
        <w:trPr>
          <w:gridAfter w:val="1"/>
          <w:wAfter w:w="49" w:type="pct"/>
        </w:trPr>
        <w:tc>
          <w:tcPr>
            <w:tcW w:w="1035" w:type="pct"/>
            <w:vAlign w:val="center"/>
          </w:tcPr>
          <w:p w14:paraId="46ADFC0B" w14:textId="77777777" w:rsidR="00E162C2" w:rsidRPr="00E162C2" w:rsidRDefault="00E162C2" w:rsidP="00E162C2">
            <w:pPr>
              <w:widowControl w:val="0"/>
              <w:spacing w:before="120" w:after="120" w:line="264" w:lineRule="auto"/>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  ĐKC 1.3</w:t>
            </w:r>
          </w:p>
        </w:tc>
        <w:tc>
          <w:tcPr>
            <w:tcW w:w="3916" w:type="pct"/>
          </w:tcPr>
          <w:p w14:paraId="1BAB1547" w14:textId="77777777" w:rsidR="00E162C2" w:rsidRPr="00E162C2" w:rsidRDefault="00E162C2" w:rsidP="00E162C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Nhà thầu:_____[ghi tên Nhà thầu trúng thầu].</w:t>
            </w:r>
          </w:p>
        </w:tc>
      </w:tr>
      <w:tr w:rsidR="00E162C2" w:rsidRPr="00E162C2" w14:paraId="41A612E7" w14:textId="77777777" w:rsidTr="00B34F48">
        <w:tblPrEx>
          <w:tblCellMar>
            <w:top w:w="0" w:type="dxa"/>
            <w:left w:w="0" w:type="dxa"/>
            <w:bottom w:w="0" w:type="dxa"/>
            <w:right w:w="0" w:type="dxa"/>
          </w:tblCellMar>
        </w:tblPrEx>
        <w:trPr>
          <w:gridAfter w:val="1"/>
          <w:wAfter w:w="49" w:type="pct"/>
        </w:trPr>
        <w:tc>
          <w:tcPr>
            <w:tcW w:w="1035" w:type="pct"/>
            <w:vAlign w:val="center"/>
          </w:tcPr>
          <w:p w14:paraId="202FF420" w14:textId="77777777" w:rsidR="00E162C2" w:rsidRPr="00E162C2" w:rsidRDefault="00E162C2" w:rsidP="00E162C2">
            <w:pPr>
              <w:widowControl w:val="0"/>
              <w:spacing w:before="120" w:after="120" w:line="264" w:lineRule="auto"/>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  ĐKC 1.9</w:t>
            </w:r>
          </w:p>
        </w:tc>
        <w:tc>
          <w:tcPr>
            <w:tcW w:w="3916" w:type="pct"/>
          </w:tcPr>
          <w:p w14:paraId="6AB52053" w14:textId="77777777" w:rsidR="00E162C2" w:rsidRPr="00E162C2" w:rsidRDefault="00E162C2" w:rsidP="00E162C2">
            <w:pPr>
              <w:spacing w:after="0" w:line="240" w:lineRule="auto"/>
              <w:ind w:firstLine="709"/>
              <w:jc w:val="both"/>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Địa điểm giao hàng: 273 Lê Duẩn, Phường Pleiku, tỉnh Gia Lai</w:t>
            </w:r>
          </w:p>
        </w:tc>
      </w:tr>
      <w:tr w:rsidR="00E162C2" w:rsidRPr="00E162C2" w14:paraId="6C0065A8" w14:textId="77777777" w:rsidTr="00B34F48">
        <w:tblPrEx>
          <w:tblCellMar>
            <w:top w:w="0" w:type="dxa"/>
            <w:left w:w="0" w:type="dxa"/>
            <w:bottom w:w="0" w:type="dxa"/>
            <w:right w:w="0" w:type="dxa"/>
          </w:tblCellMar>
        </w:tblPrEx>
        <w:tc>
          <w:tcPr>
            <w:tcW w:w="1035" w:type="pct"/>
            <w:vAlign w:val="center"/>
          </w:tcPr>
          <w:p w14:paraId="1B300056" w14:textId="77777777" w:rsidR="00E162C2" w:rsidRPr="00E162C2" w:rsidRDefault="00E162C2" w:rsidP="00E162C2">
            <w:pPr>
              <w:widowControl w:val="0"/>
              <w:spacing w:before="120" w:after="120" w:line="264" w:lineRule="auto"/>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    ĐKC 2.8</w:t>
            </w:r>
          </w:p>
        </w:tc>
        <w:tc>
          <w:tcPr>
            <w:tcW w:w="3965" w:type="pct"/>
            <w:gridSpan w:val="2"/>
          </w:tcPr>
          <w:p w14:paraId="1B89A39C"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Các tài liệu sau đây cũng là một phần của Hợp đồng:</w:t>
            </w:r>
          </w:p>
          <w:p w14:paraId="0A564C46"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1. Văn bản hợp đồng (kèm theo Phạm vi cung cấp và bảng giá cùng các Phụ lục khác);</w:t>
            </w:r>
          </w:p>
          <w:p w14:paraId="2BB8E08A"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2. Biên bản thương thảo, hoàn thiện hợp đồng;</w:t>
            </w:r>
          </w:p>
          <w:p w14:paraId="6E8AD011"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3. Quyết định phê duyệt kết quả lựa chọn nhà thầu;</w:t>
            </w:r>
          </w:p>
          <w:p w14:paraId="5E5D1662"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4. Điều kiện cụ thể của hợp đồng;</w:t>
            </w:r>
          </w:p>
          <w:p w14:paraId="34309155"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5. Điều kiện chung của hợp đồng;</w:t>
            </w:r>
          </w:p>
          <w:p w14:paraId="46443AA7"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6. E-HSDT và các văn bản làm rõ E-HSDT của Nhà thầu trúng thầu (nếu có);</w:t>
            </w:r>
          </w:p>
          <w:p w14:paraId="428AEB2A" w14:textId="77777777" w:rsidR="00E162C2" w:rsidRPr="00E162C2" w:rsidRDefault="00E162C2" w:rsidP="00E162C2">
            <w:pPr>
              <w:widowControl w:val="0"/>
              <w:autoSpaceDE w:val="0"/>
              <w:autoSpaceDN w:val="0"/>
              <w:spacing w:before="120" w:after="120" w:line="252"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7. E-HSMT và các tài liệu sửa đổi E-HSMT (nếu có);</w:t>
            </w:r>
          </w:p>
          <w:p w14:paraId="666C8392"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lang w:val="nl-NL"/>
                <w14:ligatures w14:val="none"/>
              </w:rPr>
              <w:t>8. Các tài liệu kèm theo khác (nếu có).</w:t>
            </w:r>
          </w:p>
        </w:tc>
      </w:tr>
      <w:tr w:rsidR="00E162C2" w:rsidRPr="00E162C2" w14:paraId="21521245" w14:textId="77777777" w:rsidTr="00B34F48">
        <w:tblPrEx>
          <w:tblCellMar>
            <w:top w:w="0" w:type="dxa"/>
            <w:left w:w="0" w:type="dxa"/>
            <w:bottom w:w="0" w:type="dxa"/>
            <w:right w:w="0" w:type="dxa"/>
          </w:tblCellMar>
        </w:tblPrEx>
        <w:tc>
          <w:tcPr>
            <w:tcW w:w="1035" w:type="pct"/>
            <w:vAlign w:val="center"/>
          </w:tcPr>
          <w:p w14:paraId="6648D444" w14:textId="77777777" w:rsidR="00E162C2" w:rsidRPr="00E162C2" w:rsidRDefault="00E162C2" w:rsidP="00E162C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4</w:t>
            </w:r>
          </w:p>
        </w:tc>
        <w:tc>
          <w:tcPr>
            <w:tcW w:w="3965" w:type="pct"/>
            <w:gridSpan w:val="2"/>
          </w:tcPr>
          <w:p w14:paraId="130426D2"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Chủ đầu tư có thể ủy quyền các nghĩa vụ và trách nhiệm của mình cho người khác.</w:t>
            </w:r>
          </w:p>
        </w:tc>
      </w:tr>
      <w:tr w:rsidR="00E162C2" w:rsidRPr="00E162C2" w14:paraId="32191EE5" w14:textId="77777777" w:rsidTr="00B34F48">
        <w:tblPrEx>
          <w:tblCellMar>
            <w:top w:w="0" w:type="dxa"/>
            <w:left w:w="0" w:type="dxa"/>
            <w:bottom w:w="0" w:type="dxa"/>
            <w:right w:w="0" w:type="dxa"/>
          </w:tblCellMar>
        </w:tblPrEx>
        <w:tc>
          <w:tcPr>
            <w:tcW w:w="1035" w:type="pct"/>
            <w:vAlign w:val="center"/>
          </w:tcPr>
          <w:p w14:paraId="64939B95" w14:textId="77777777" w:rsidR="00E162C2" w:rsidRPr="00E162C2" w:rsidRDefault="00E162C2" w:rsidP="00E162C2">
            <w:pPr>
              <w:widowControl w:val="0"/>
              <w:spacing w:before="120" w:after="120" w:line="264" w:lineRule="auto"/>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    ĐKC 5.1</w:t>
            </w:r>
          </w:p>
        </w:tc>
        <w:tc>
          <w:tcPr>
            <w:tcW w:w="3965" w:type="pct"/>
            <w:gridSpan w:val="2"/>
          </w:tcPr>
          <w:p w14:paraId="0DC49E04"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Các thông báo cần gửi về Chủ đầu tư theo địa chỉ dưới đây:</w:t>
            </w:r>
          </w:p>
          <w:p w14:paraId="4AEEAEBC"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Người nhận: </w:t>
            </w:r>
            <w:r w:rsidRPr="00E162C2">
              <w:rPr>
                <w:rFonts w:ascii="Times New Roman" w:eastAsia="Times New Roman" w:hAnsi="Times New Roman" w:cs="Times New Roman"/>
                <w:iCs/>
                <w:kern w:val="0"/>
                <w:sz w:val="28"/>
                <w:szCs w:val="28"/>
                <w:lang w:val="nl-NL"/>
                <w14:ligatures w14:val="none"/>
              </w:rPr>
              <w:t>Quân đoàn 34/Bộ Quốc phòng</w:t>
            </w:r>
            <w:r w:rsidRPr="00E162C2">
              <w:rPr>
                <w:rFonts w:ascii="Times New Roman" w:eastAsia="Times New Roman" w:hAnsi="Times New Roman" w:cs="Times New Roman"/>
                <w:spacing w:val="-6"/>
                <w:kern w:val="0"/>
                <w:sz w:val="28"/>
                <w:szCs w:val="28"/>
                <w:lang w:val="nl-NL"/>
                <w14:ligatures w14:val="none"/>
              </w:rPr>
              <w:t>.</w:t>
            </w:r>
          </w:p>
          <w:p w14:paraId="41B22D60" w14:textId="77777777" w:rsidR="00E162C2" w:rsidRPr="00E162C2" w:rsidRDefault="00E162C2" w:rsidP="00E162C2">
            <w:pPr>
              <w:spacing w:before="120" w:after="12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Địa chỉ: 273 Lê Duẩn, Phường Pleiku, tỉnh Gia Lai</w:t>
            </w:r>
          </w:p>
          <w:p w14:paraId="6B8395DD"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Điện thoại: 0988857703</w:t>
            </w:r>
          </w:p>
        </w:tc>
      </w:tr>
      <w:tr w:rsidR="00E162C2" w:rsidRPr="00E162C2" w14:paraId="278DD76D" w14:textId="77777777" w:rsidTr="00B34F48">
        <w:tblPrEx>
          <w:tblCellMar>
            <w:top w:w="0" w:type="dxa"/>
            <w:left w:w="0" w:type="dxa"/>
            <w:bottom w:w="0" w:type="dxa"/>
            <w:right w:w="0" w:type="dxa"/>
          </w:tblCellMar>
        </w:tblPrEx>
        <w:tc>
          <w:tcPr>
            <w:tcW w:w="1035" w:type="pct"/>
            <w:vAlign w:val="center"/>
          </w:tcPr>
          <w:p w14:paraId="08C30858" w14:textId="77777777" w:rsidR="00E162C2" w:rsidRPr="00E162C2" w:rsidRDefault="00E162C2" w:rsidP="00E162C2">
            <w:pPr>
              <w:widowControl w:val="0"/>
              <w:spacing w:before="120" w:after="120" w:line="264" w:lineRule="auto"/>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 xml:space="preserve">    ĐKC 6.1</w:t>
            </w:r>
          </w:p>
        </w:tc>
        <w:tc>
          <w:tcPr>
            <w:tcW w:w="3965" w:type="pct"/>
            <w:gridSpan w:val="2"/>
          </w:tcPr>
          <w:p w14:paraId="3D23C095"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 Hình thức bảo đảm thực hiện hợp đồng: Nhà thầu cung cấp một bảo đảm thực hiện hợp đồng theo hình thức thư bảo lãnh do Ngân hàng hoặc tổ chức tín dụng hoạt động hợp pháp tại Việt Nam phát </w:t>
            </w:r>
            <w:r w:rsidRPr="00E162C2">
              <w:rPr>
                <w:rFonts w:ascii="Times New Roman" w:eastAsia="Times New Roman" w:hAnsi="Times New Roman" w:cs="Times New Roman"/>
                <w:spacing w:val="-6"/>
                <w:kern w:val="0"/>
                <w:sz w:val="28"/>
                <w:szCs w:val="28"/>
                <w:lang w:val="nl-NL"/>
                <w14:ligatures w14:val="none"/>
              </w:rPr>
              <w:lastRenderedPageBreak/>
              <w:t>hành hoặc theo hình thức đặt cọc bằng Séc. Trường hợp Nhà thầu nộp Thư bảo lãnh của Ngân hàng hoặc tổ chức tín dụng hoạt động hợp pháp tại Việt Nam phát hành thì phải là bảo đảm không có điều kiện (trả tiền khi có yêu cầu, theo Mẫu số 15 Chương VIII - Biểu mẫu hợp đồng).</w:t>
            </w:r>
          </w:p>
          <w:p w14:paraId="1F9FD8D7"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Giá trị bảo đảm thực hiện hợp đồng: 2% Giá hợp đồng .</w:t>
            </w:r>
          </w:p>
          <w:p w14:paraId="524E793C"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Hiệu lực của bảo đảm thực hiện hợp đồng: Bảo đảm thực hiện hợp đồng phải có hiệu lực 30 ngày kể từ ngày ký phát hành bảo lãnh hợp đồng hoặc cho đến khi toàn bộ hàng hóa được bàn giao, hai bên ký biên bản nghiệm thu và Nhà thầu chuyển sang nghĩa vụ bảo hành theo quy định; tuỳ thời điểm nào đến trước.</w:t>
            </w:r>
          </w:p>
        </w:tc>
      </w:tr>
      <w:tr w:rsidR="00E162C2" w:rsidRPr="00E162C2" w14:paraId="0D17AFFC" w14:textId="77777777" w:rsidTr="00B34F48">
        <w:tblPrEx>
          <w:tblCellMar>
            <w:top w:w="0" w:type="dxa"/>
            <w:left w:w="0" w:type="dxa"/>
            <w:bottom w:w="0" w:type="dxa"/>
            <w:right w:w="0" w:type="dxa"/>
          </w:tblCellMar>
        </w:tblPrEx>
        <w:tc>
          <w:tcPr>
            <w:tcW w:w="1035" w:type="pct"/>
            <w:vAlign w:val="center"/>
          </w:tcPr>
          <w:p w14:paraId="078E4844" w14:textId="77777777" w:rsidR="00E162C2" w:rsidRPr="00E162C2" w:rsidRDefault="00E162C2" w:rsidP="00E162C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lastRenderedPageBreak/>
              <w:t>ĐKC 6.2</w:t>
            </w:r>
          </w:p>
        </w:tc>
        <w:tc>
          <w:tcPr>
            <w:tcW w:w="3965" w:type="pct"/>
            <w:gridSpan w:val="2"/>
          </w:tcPr>
          <w:p w14:paraId="7877201B"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Thời hạn hoàn trả bảo đảm thực hiện hợp đồng: Ngay sau khi hoặc không chậm hơn 15 ngày kể từ khi hàng hóa được nghiệm thu, bàn giao, đồng thời Nhà thầu đã chuyển sang thực hiện nghĩa vụ bảo hành theo quy định</w:t>
            </w:r>
            <w:r w:rsidRPr="00E162C2">
              <w:rPr>
                <w:rFonts w:ascii="Times New Roman" w:eastAsia="Times New Roman" w:hAnsi="Times New Roman" w:cs="Times New Roman"/>
                <w:i/>
                <w:spacing w:val="-6"/>
                <w:kern w:val="0"/>
                <w:sz w:val="28"/>
                <w:szCs w:val="28"/>
                <w:lang w:val="nl-NL"/>
                <w14:ligatures w14:val="none"/>
              </w:rPr>
              <w:t>.</w:t>
            </w:r>
          </w:p>
        </w:tc>
      </w:tr>
      <w:tr w:rsidR="00E162C2" w:rsidRPr="00E162C2" w14:paraId="2F4B8A68" w14:textId="77777777" w:rsidTr="00B34F48">
        <w:tblPrEx>
          <w:tblCellMar>
            <w:top w:w="0" w:type="dxa"/>
            <w:left w:w="0" w:type="dxa"/>
            <w:bottom w:w="0" w:type="dxa"/>
            <w:right w:w="0" w:type="dxa"/>
          </w:tblCellMar>
        </w:tblPrEx>
        <w:tc>
          <w:tcPr>
            <w:tcW w:w="1035" w:type="pct"/>
            <w:vAlign w:val="center"/>
          </w:tcPr>
          <w:p w14:paraId="60C719E8" w14:textId="77777777" w:rsidR="00E162C2" w:rsidRPr="00E162C2" w:rsidRDefault="00E162C2" w:rsidP="00E162C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7.1</w:t>
            </w:r>
          </w:p>
        </w:tc>
        <w:tc>
          <w:tcPr>
            <w:tcW w:w="3965" w:type="pct"/>
            <w:gridSpan w:val="2"/>
          </w:tcPr>
          <w:p w14:paraId="5139BE6F"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Danh sách nhà thầu phụ: Không có.</w:t>
            </w:r>
          </w:p>
        </w:tc>
      </w:tr>
      <w:tr w:rsidR="00E162C2" w:rsidRPr="00E162C2" w14:paraId="6BC00CB9" w14:textId="77777777" w:rsidTr="00B34F48">
        <w:tblPrEx>
          <w:tblCellMar>
            <w:top w:w="0" w:type="dxa"/>
            <w:left w:w="0" w:type="dxa"/>
            <w:bottom w:w="0" w:type="dxa"/>
            <w:right w:w="0" w:type="dxa"/>
          </w:tblCellMar>
        </w:tblPrEx>
        <w:tc>
          <w:tcPr>
            <w:tcW w:w="1035" w:type="pct"/>
            <w:vAlign w:val="center"/>
          </w:tcPr>
          <w:p w14:paraId="000988B5" w14:textId="77777777" w:rsidR="00E162C2" w:rsidRPr="00E162C2" w:rsidRDefault="00E162C2" w:rsidP="00E162C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7.3</w:t>
            </w:r>
          </w:p>
        </w:tc>
        <w:tc>
          <w:tcPr>
            <w:tcW w:w="3965" w:type="pct"/>
            <w:gridSpan w:val="2"/>
          </w:tcPr>
          <w:p w14:paraId="08CE41D4"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Nêu các yêu cầu cần thiết khác về nhà thầu phụ: Không.</w:t>
            </w:r>
          </w:p>
        </w:tc>
      </w:tr>
      <w:tr w:rsidR="00E162C2" w:rsidRPr="00E162C2" w14:paraId="521870A8" w14:textId="77777777" w:rsidTr="00B34F48">
        <w:tblPrEx>
          <w:tblCellMar>
            <w:top w:w="0" w:type="dxa"/>
            <w:left w:w="0" w:type="dxa"/>
            <w:bottom w:w="0" w:type="dxa"/>
            <w:right w:w="0" w:type="dxa"/>
          </w:tblCellMar>
        </w:tblPrEx>
        <w:tc>
          <w:tcPr>
            <w:tcW w:w="1035" w:type="pct"/>
            <w:vAlign w:val="center"/>
          </w:tcPr>
          <w:p w14:paraId="41B5113B" w14:textId="77777777" w:rsidR="00E162C2" w:rsidRPr="00E162C2" w:rsidRDefault="00E162C2" w:rsidP="00E162C2">
            <w:pPr>
              <w:widowControl w:val="0"/>
              <w:spacing w:before="120" w:after="120" w:line="264" w:lineRule="auto"/>
              <w:ind w:firstLine="284"/>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8.2</w:t>
            </w:r>
          </w:p>
        </w:tc>
        <w:tc>
          <w:tcPr>
            <w:tcW w:w="3965" w:type="pct"/>
            <w:gridSpan w:val="2"/>
          </w:tcPr>
          <w:p w14:paraId="5A62EE28" w14:textId="77777777" w:rsidR="00E162C2" w:rsidRPr="00E162C2" w:rsidRDefault="00E162C2" w:rsidP="00E162C2">
            <w:pPr>
              <w:widowControl w:val="0"/>
              <w:numPr>
                <w:ilvl w:val="12"/>
                <w:numId w:val="0"/>
              </w:numPr>
              <w:spacing w:before="120" w:after="120" w:line="264" w:lineRule="auto"/>
              <w:ind w:left="82" w:right="185" w:firstLine="425"/>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Thời gian để tiến hành hòa giải: Thời gian để 02 bên thương lượng và hoà giải là 05 ngày kể từ ngày phát sinh tranh chấp</w:t>
            </w:r>
            <w:r w:rsidRPr="00E162C2">
              <w:rPr>
                <w:rFonts w:ascii="Times New Roman" w:eastAsia="Times New Roman" w:hAnsi="Times New Roman" w:cs="Times New Roman"/>
                <w:i/>
                <w:spacing w:val="-6"/>
                <w:kern w:val="0"/>
                <w:sz w:val="28"/>
                <w:szCs w:val="28"/>
                <w:lang w:val="nl-NL"/>
                <w14:ligatures w14:val="none"/>
              </w:rPr>
              <w:t xml:space="preserve">. </w:t>
            </w:r>
          </w:p>
          <w:p w14:paraId="205759B0"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Giải quyết tranh chấp: Nếu sau 05 ngày kể từ khi bắt đầu thương lượng mà hai Bên không đạt được thoả thuận về giải quyết các tranh chấp theo hợp đồng thì một trong hai bên có quyền khởi kiện tại Tòa án Kinh tế có thẩm quyền. Quyết định của Tòa án là quyết định cuối cùng buộc các Bên phải tuân theo. Mọi chi phí phát sinh trong quá trình kiện tụng tại Tòa án sẽ do Bên thua kiện chịu</w:t>
            </w:r>
            <w:r w:rsidRPr="00E162C2">
              <w:rPr>
                <w:rFonts w:ascii="Times New Roman" w:eastAsia="Times New Roman" w:hAnsi="Times New Roman" w:cs="Times New Roman"/>
                <w:i/>
                <w:spacing w:val="-6"/>
                <w:kern w:val="0"/>
                <w:sz w:val="28"/>
                <w:szCs w:val="28"/>
                <w:lang w:val="nl-NL"/>
                <w14:ligatures w14:val="none"/>
              </w:rPr>
              <w:t>.</w:t>
            </w:r>
          </w:p>
        </w:tc>
      </w:tr>
      <w:tr w:rsidR="00E162C2" w:rsidRPr="00E162C2" w14:paraId="7C2C2B88" w14:textId="77777777" w:rsidTr="00B34F48">
        <w:tblPrEx>
          <w:tblCellMar>
            <w:top w:w="0" w:type="dxa"/>
            <w:left w:w="0" w:type="dxa"/>
            <w:bottom w:w="0" w:type="dxa"/>
            <w:right w:w="0" w:type="dxa"/>
          </w:tblCellMar>
        </w:tblPrEx>
        <w:tc>
          <w:tcPr>
            <w:tcW w:w="1035" w:type="pct"/>
            <w:vAlign w:val="center"/>
          </w:tcPr>
          <w:p w14:paraId="0EA6ADF5"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10</w:t>
            </w:r>
          </w:p>
        </w:tc>
        <w:tc>
          <w:tcPr>
            <w:tcW w:w="3965" w:type="pct"/>
            <w:gridSpan w:val="2"/>
          </w:tcPr>
          <w:p w14:paraId="2B6C4A13"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i/>
                <w:iCs/>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Nhà thầu phải cung cấp các thông tin và chứng từ sau đây về việc vận chuyển thuốc:</w:t>
            </w:r>
            <w:r w:rsidRPr="00E162C2">
              <w:rPr>
                <w:rFonts w:ascii="Times New Roman" w:eastAsia="Times New Roman" w:hAnsi="Times New Roman" w:cs="Times New Roman"/>
                <w:i/>
                <w:iCs/>
                <w:spacing w:val="-6"/>
                <w:kern w:val="0"/>
                <w:sz w:val="28"/>
                <w:szCs w:val="28"/>
                <w:lang w:val="nl-NL"/>
                <w14:ligatures w14:val="none"/>
              </w:rPr>
              <w:t xml:space="preserve"> </w:t>
            </w:r>
          </w:p>
          <w:p w14:paraId="74628BF9" w14:textId="77777777" w:rsidR="00E162C2" w:rsidRPr="00E162C2" w:rsidRDefault="00E162C2" w:rsidP="00E162C2">
            <w:pPr>
              <w:spacing w:before="60" w:after="60" w:line="240" w:lineRule="auto"/>
              <w:ind w:left="82" w:right="185" w:firstLine="425"/>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Thông báo giao hàng;</w:t>
            </w:r>
          </w:p>
          <w:p w14:paraId="03A0BDD5"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iCs/>
                <w:spacing w:val="-6"/>
                <w:kern w:val="0"/>
                <w:sz w:val="28"/>
                <w:szCs w:val="28"/>
                <w:lang w:val="nl-NL"/>
                <w14:ligatures w14:val="none"/>
              </w:rPr>
              <w:t xml:space="preserve">     - Hóa đơn giá trị gia tăng của nhà thầu</w:t>
            </w:r>
            <w:r w:rsidRPr="00E162C2">
              <w:rPr>
                <w:rFonts w:ascii="Times New Roman" w:eastAsia="Times New Roman" w:hAnsi="Times New Roman" w:cs="Times New Roman"/>
                <w:spacing w:val="-6"/>
                <w:kern w:val="0"/>
                <w:sz w:val="28"/>
                <w:szCs w:val="28"/>
                <w:lang w:val="nl-NL"/>
                <w14:ligatures w14:val="none"/>
              </w:rPr>
              <w:t xml:space="preserve"> </w:t>
            </w:r>
          </w:p>
          <w:p w14:paraId="489F36EC"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Chủ đầu tư phải nhận được các tài liệu chứng từ nói trên trước khi thuốc đến nơi, nếu không Nhà thầu sẽ phải chịu trách nhiệm về </w:t>
            </w:r>
            <w:r w:rsidRPr="00E162C2">
              <w:rPr>
                <w:rFonts w:ascii="Times New Roman" w:eastAsia="Times New Roman" w:hAnsi="Times New Roman" w:cs="Times New Roman"/>
                <w:spacing w:val="-6"/>
                <w:kern w:val="0"/>
                <w:sz w:val="28"/>
                <w:szCs w:val="28"/>
                <w:lang w:val="nl-NL"/>
                <w14:ligatures w14:val="none"/>
              </w:rPr>
              <w:lastRenderedPageBreak/>
              <w:t>bất kỳ chi phí nào phát sinh do việc này.</w:t>
            </w:r>
          </w:p>
          <w:p w14:paraId="1F0ACB76"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Nhà thầu cam kết phiếu kiểm nghiệm cho từng lô hàng đạt yêu cầu chất lượng theo đúng hồ sơ đăng ký thuốc đã được cơ quan có thẩm quyền phê duyệt.</w:t>
            </w:r>
          </w:p>
        </w:tc>
      </w:tr>
      <w:tr w:rsidR="00E162C2" w:rsidRPr="00E162C2" w14:paraId="192EFDA4" w14:textId="77777777" w:rsidTr="00B34F48">
        <w:tblPrEx>
          <w:tblCellMar>
            <w:top w:w="0" w:type="dxa"/>
            <w:left w:w="0" w:type="dxa"/>
            <w:bottom w:w="0" w:type="dxa"/>
            <w:right w:w="0" w:type="dxa"/>
          </w:tblCellMar>
        </w:tblPrEx>
        <w:tc>
          <w:tcPr>
            <w:tcW w:w="1035" w:type="pct"/>
            <w:vAlign w:val="center"/>
          </w:tcPr>
          <w:p w14:paraId="458EED0D"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lastRenderedPageBreak/>
              <w:t>ĐKC 12</w:t>
            </w:r>
          </w:p>
        </w:tc>
        <w:tc>
          <w:tcPr>
            <w:tcW w:w="3965" w:type="pct"/>
            <w:gridSpan w:val="2"/>
          </w:tcPr>
          <w:p w14:paraId="1728F440"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Loại hợp đồng: Trọn gói </w:t>
            </w:r>
          </w:p>
        </w:tc>
      </w:tr>
      <w:tr w:rsidR="00E162C2" w:rsidRPr="00E162C2" w14:paraId="0A398D96" w14:textId="77777777" w:rsidTr="00B34F48">
        <w:tblPrEx>
          <w:tblCellMar>
            <w:top w:w="0" w:type="dxa"/>
            <w:left w:w="0" w:type="dxa"/>
            <w:bottom w:w="0" w:type="dxa"/>
            <w:right w:w="0" w:type="dxa"/>
          </w:tblCellMar>
        </w:tblPrEx>
        <w:tc>
          <w:tcPr>
            <w:tcW w:w="1035" w:type="pct"/>
            <w:vAlign w:val="center"/>
          </w:tcPr>
          <w:p w14:paraId="3AC52D82"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13.1</w:t>
            </w:r>
          </w:p>
        </w:tc>
        <w:tc>
          <w:tcPr>
            <w:tcW w:w="3965" w:type="pct"/>
            <w:gridSpan w:val="2"/>
          </w:tcPr>
          <w:p w14:paraId="396F9F28"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Giá hợp đồng: ____[ghi giá hợp đồng theo giá trị nêu trong Thư chấp thuận HSDT và trao hợp đồng].</w:t>
            </w:r>
          </w:p>
        </w:tc>
      </w:tr>
      <w:tr w:rsidR="00E162C2" w:rsidRPr="00E162C2" w14:paraId="2F22D726" w14:textId="77777777" w:rsidTr="00B34F48">
        <w:tblPrEx>
          <w:tblCellMar>
            <w:top w:w="0" w:type="dxa"/>
            <w:left w:w="0" w:type="dxa"/>
            <w:bottom w:w="0" w:type="dxa"/>
            <w:right w:w="0" w:type="dxa"/>
          </w:tblCellMar>
        </w:tblPrEx>
        <w:tc>
          <w:tcPr>
            <w:tcW w:w="1035" w:type="pct"/>
            <w:vAlign w:val="center"/>
          </w:tcPr>
          <w:p w14:paraId="5CF974FA"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14</w:t>
            </w:r>
          </w:p>
        </w:tc>
        <w:tc>
          <w:tcPr>
            <w:tcW w:w="3965" w:type="pct"/>
            <w:gridSpan w:val="2"/>
          </w:tcPr>
          <w:p w14:paraId="69099194"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Điều chỉnh thuế: Không được phép</w:t>
            </w:r>
            <w:r w:rsidRPr="00E162C2">
              <w:rPr>
                <w:rFonts w:ascii="Times New Roman" w:eastAsia="Times New Roman" w:hAnsi="Times New Roman" w:cs="Times New Roman"/>
                <w:i/>
                <w:spacing w:val="-6"/>
                <w:kern w:val="0"/>
                <w:sz w:val="28"/>
                <w:szCs w:val="28"/>
                <w:lang w:val="nl-NL"/>
                <w14:ligatures w14:val="none"/>
              </w:rPr>
              <w:t xml:space="preserve">. </w:t>
            </w:r>
          </w:p>
        </w:tc>
      </w:tr>
      <w:tr w:rsidR="00E162C2" w:rsidRPr="00E162C2" w14:paraId="6AD7F358" w14:textId="77777777" w:rsidTr="00B34F48">
        <w:tblPrEx>
          <w:tblCellMar>
            <w:top w:w="0" w:type="dxa"/>
            <w:left w:w="0" w:type="dxa"/>
            <w:bottom w:w="0" w:type="dxa"/>
            <w:right w:w="0" w:type="dxa"/>
          </w:tblCellMar>
        </w:tblPrEx>
        <w:tc>
          <w:tcPr>
            <w:tcW w:w="1035" w:type="pct"/>
            <w:vAlign w:val="center"/>
          </w:tcPr>
          <w:p w14:paraId="66A4945C"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15.1</w:t>
            </w:r>
          </w:p>
        </w:tc>
        <w:tc>
          <w:tcPr>
            <w:tcW w:w="3965" w:type="pct"/>
            <w:gridSpan w:val="2"/>
          </w:tcPr>
          <w:p w14:paraId="52DC792B"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E162C2">
              <w:rPr>
                <w:rFonts w:ascii="Times New Roman" w:eastAsia="Times New Roman" w:hAnsi="Times New Roman" w:cs="Times New Roman"/>
                <w:spacing w:val="-14"/>
                <w:kern w:val="0"/>
                <w:sz w:val="28"/>
                <w:szCs w:val="28"/>
                <w:lang w:val="nl-NL"/>
                <w14:ligatures w14:val="none"/>
              </w:rPr>
              <w:t xml:space="preserve">Phương thức thanh toán: Việc thanh toán cho Nhà thầu bằng chuyển khoản, </w:t>
            </w:r>
            <w:r w:rsidRPr="00E162C2">
              <w:rPr>
                <w:rFonts w:ascii="Times New Roman" w:eastAsia="Times New Roman" w:hAnsi="Times New Roman" w:cs="Times New Roman"/>
                <w:spacing w:val="-14"/>
                <w:kern w:val="0"/>
                <w:sz w:val="28"/>
                <w:szCs w:val="28"/>
                <w:lang w:val="vi-VN"/>
                <w14:ligatures w14:val="none"/>
              </w:rPr>
              <w:t>thanh toán một lần khi hoàn thành hợp đồn</w:t>
            </w:r>
            <w:r w:rsidRPr="00E162C2">
              <w:rPr>
                <w:rFonts w:ascii="Times New Roman" w:eastAsia="Times New Roman" w:hAnsi="Times New Roman" w:cs="Times New Roman"/>
                <w:spacing w:val="-14"/>
                <w:kern w:val="0"/>
                <w:sz w:val="28"/>
                <w:szCs w:val="28"/>
                <w:lang w:val="nl-NL"/>
                <w14:ligatures w14:val="none"/>
              </w:rPr>
              <w:t>g. Thời hạn thanh toán sẽ thanh toán ngay hoặc trong vòng không quá 15 ngày kể từ khi Nhà thầu xuất trình đầy đủ các chứng từ theo yêu cầu.</w:t>
            </w:r>
          </w:p>
          <w:p w14:paraId="6F21481A"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Nhà thầu được thanh toán toàn bộ giá hợp đồng khi hoàn thành các nghĩa vụ theo hợp đồng. Trường hợp khối lượng công việc thực hiện ít hơn khối lượng theo hợp đồng thì hai bên sẽ ký kết phụ lục bổ sung hợp đồng, trong đó nêu rõ giá hợp đồng mới tương ứng với khối lượng công việc thực tế.</w:t>
            </w:r>
          </w:p>
        </w:tc>
      </w:tr>
      <w:tr w:rsidR="00E162C2" w:rsidRPr="00E162C2" w14:paraId="3942189E" w14:textId="77777777" w:rsidTr="00B34F48">
        <w:tblPrEx>
          <w:tblCellMar>
            <w:top w:w="0" w:type="dxa"/>
            <w:left w:w="0" w:type="dxa"/>
            <w:bottom w:w="0" w:type="dxa"/>
            <w:right w:w="0" w:type="dxa"/>
          </w:tblCellMar>
        </w:tblPrEx>
        <w:tc>
          <w:tcPr>
            <w:tcW w:w="1035" w:type="pct"/>
            <w:vAlign w:val="center"/>
          </w:tcPr>
          <w:p w14:paraId="799F785E"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19</w:t>
            </w:r>
          </w:p>
        </w:tc>
        <w:tc>
          <w:tcPr>
            <w:tcW w:w="3965" w:type="pct"/>
            <w:gridSpan w:val="2"/>
          </w:tcPr>
          <w:p w14:paraId="75D9A2A9"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Đóng gói thuốc: Nhà thầu sẽ phải đóng gói thuốc đúng yêu cầu quy định tại ĐKCT phù hợp với từng loại phương tiện vận chuyển để chuyển thuốc từ nơi xuất thuốc đến địa điểm giao thuốc quy định. Việc đóng gói phải bảo đảm thuốc không bị hư hỏng do va chạm trong khi bốc dỡ vận chuyển và các tác động khác của môi trường. Kích thước và trọng lượng của mỗi kiện hàng phải tính đến điều kiện vận chuyển như khoảng cách, phương tiện vận chuyển, điều kiện cơ sở hạ tầng... từ nơi xuất thuốc đến địa điểm giao thuốc quy định. </w:t>
            </w:r>
          </w:p>
        </w:tc>
      </w:tr>
      <w:tr w:rsidR="00E162C2" w:rsidRPr="00E162C2" w14:paraId="3C0158B4" w14:textId="77777777" w:rsidTr="00B34F48">
        <w:tblPrEx>
          <w:tblCellMar>
            <w:top w:w="0" w:type="dxa"/>
            <w:left w:w="0" w:type="dxa"/>
            <w:bottom w:w="0" w:type="dxa"/>
            <w:right w:w="0" w:type="dxa"/>
          </w:tblCellMar>
        </w:tblPrEx>
        <w:tc>
          <w:tcPr>
            <w:tcW w:w="1035" w:type="pct"/>
            <w:vAlign w:val="center"/>
          </w:tcPr>
          <w:p w14:paraId="37B73C8A"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20</w:t>
            </w:r>
          </w:p>
        </w:tc>
        <w:tc>
          <w:tcPr>
            <w:tcW w:w="3965" w:type="pct"/>
            <w:gridSpan w:val="2"/>
          </w:tcPr>
          <w:p w14:paraId="0B9A5D7E"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Nội dung bảo hiểm: Không bắt buộc. Những mất mát, tổn thất bất thường trong quá trình sản xuất, vận chuyển, lưu kho và giao hàng do Bên bán chịu</w:t>
            </w:r>
            <w:r w:rsidRPr="00E162C2">
              <w:rPr>
                <w:rFonts w:ascii="Times New Roman" w:eastAsia="Times New Roman" w:hAnsi="Times New Roman" w:cs="Times New Roman"/>
                <w:i/>
                <w:iCs/>
                <w:spacing w:val="-6"/>
                <w:kern w:val="0"/>
                <w:sz w:val="28"/>
                <w:szCs w:val="28"/>
                <w:lang w:val="nl-NL"/>
                <w14:ligatures w14:val="none"/>
              </w:rPr>
              <w:t>.</w:t>
            </w:r>
          </w:p>
        </w:tc>
      </w:tr>
      <w:tr w:rsidR="00E162C2" w:rsidRPr="00E162C2" w14:paraId="27DFBFA5" w14:textId="77777777" w:rsidTr="00B34F48">
        <w:tblPrEx>
          <w:tblCellMar>
            <w:top w:w="0" w:type="dxa"/>
            <w:left w:w="0" w:type="dxa"/>
            <w:bottom w:w="0" w:type="dxa"/>
            <w:right w:w="0" w:type="dxa"/>
          </w:tblCellMar>
        </w:tblPrEx>
        <w:tc>
          <w:tcPr>
            <w:tcW w:w="1035" w:type="pct"/>
            <w:vAlign w:val="center"/>
          </w:tcPr>
          <w:p w14:paraId="1AB4D87F"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21</w:t>
            </w:r>
          </w:p>
        </w:tc>
        <w:tc>
          <w:tcPr>
            <w:tcW w:w="3965" w:type="pct"/>
            <w:gridSpan w:val="2"/>
          </w:tcPr>
          <w:p w14:paraId="26E23137"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 Yêu cầu về vận chuyển thuốc: Theo hợp đồng, Nhà thầu phải vận chuyển hàng hóa đến địa điểm dự án. Việc vận chuyển hàng hóa đến địa điểm dự án, bao gồm cả bảo hiểm và lưu kho theo quy định </w:t>
            </w:r>
            <w:r w:rsidRPr="00E162C2">
              <w:rPr>
                <w:rFonts w:ascii="Times New Roman" w:eastAsia="Times New Roman" w:hAnsi="Times New Roman" w:cs="Times New Roman"/>
                <w:spacing w:val="-6"/>
                <w:kern w:val="0"/>
                <w:sz w:val="28"/>
                <w:szCs w:val="28"/>
                <w:lang w:val="nl-NL"/>
                <w14:ligatures w14:val="none"/>
              </w:rPr>
              <w:lastRenderedPageBreak/>
              <w:t>trong hợp đồng, do Nhà thầu thực hiện; các chi phí liên quan được tính trong giá hợp đồng”</w:t>
            </w:r>
          </w:p>
          <w:p w14:paraId="4E86E3D8"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 Các yêu cầu khác: </w:t>
            </w:r>
            <w:r w:rsidRPr="00E162C2">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E162C2" w:rsidRPr="00E162C2" w14:paraId="5F9AAC58" w14:textId="77777777" w:rsidTr="00B34F48">
        <w:tblPrEx>
          <w:tblCellMar>
            <w:top w:w="0" w:type="dxa"/>
            <w:left w:w="0" w:type="dxa"/>
            <w:bottom w:w="0" w:type="dxa"/>
            <w:right w:w="0" w:type="dxa"/>
          </w:tblCellMar>
        </w:tblPrEx>
        <w:tc>
          <w:tcPr>
            <w:tcW w:w="1035" w:type="pct"/>
            <w:vAlign w:val="center"/>
          </w:tcPr>
          <w:p w14:paraId="4DC7DF2D"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lastRenderedPageBreak/>
              <w:t>ĐKC 22.1</w:t>
            </w:r>
          </w:p>
        </w:tc>
        <w:tc>
          <w:tcPr>
            <w:tcW w:w="3965" w:type="pct"/>
            <w:gridSpan w:val="2"/>
          </w:tcPr>
          <w:p w14:paraId="07C9B112"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Kiểm tra, thử nghiệm thuốc: Chủ đầu tư có quyền kiểm tra và thử nghiệm thuốc của Nhà thầu cung cấp, nếu hàng hóa không đúng nội dung, hoặc chất lượng kém, hoặc đã hết hạn sử dụng, Nhà thầu phải thay đổi hàng cho chủ dầu tư.</w:t>
            </w:r>
          </w:p>
        </w:tc>
      </w:tr>
      <w:tr w:rsidR="00E162C2" w:rsidRPr="00E162C2" w14:paraId="00355D0A" w14:textId="77777777" w:rsidTr="00B34F48">
        <w:tblPrEx>
          <w:tblCellMar>
            <w:top w:w="0" w:type="dxa"/>
            <w:left w:w="0" w:type="dxa"/>
            <w:bottom w:w="0" w:type="dxa"/>
            <w:right w:w="0" w:type="dxa"/>
          </w:tblCellMar>
        </w:tblPrEx>
        <w:tc>
          <w:tcPr>
            <w:tcW w:w="1035" w:type="pct"/>
            <w:vAlign w:val="center"/>
          </w:tcPr>
          <w:p w14:paraId="4BD29DA2"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23</w:t>
            </w:r>
          </w:p>
        </w:tc>
        <w:tc>
          <w:tcPr>
            <w:tcW w:w="3965" w:type="pct"/>
            <w:gridSpan w:val="2"/>
          </w:tcPr>
          <w:p w14:paraId="69F63EBE"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Tổng giá trị bồi thường thiệt hại tối đa là: </w:t>
            </w:r>
            <w:r w:rsidRPr="00E162C2">
              <w:rPr>
                <w:rFonts w:ascii="Times New Roman" w:eastAsia="Times New Roman" w:hAnsi="Times New Roman" w:cs="Times New Roman"/>
                <w:i/>
                <w:spacing w:val="-6"/>
                <w:kern w:val="0"/>
                <w:sz w:val="28"/>
                <w:szCs w:val="28"/>
                <w:lang w:val="nl-NL"/>
                <w14:ligatures w14:val="none"/>
              </w:rPr>
              <w:t>Bồi thường thiệt hại trên cơ sở toàn bộ thiệt hại thực tế</w:t>
            </w:r>
            <w:r w:rsidRPr="00E162C2" w:rsidDel="00B6404E">
              <w:rPr>
                <w:rFonts w:ascii="Times New Roman" w:eastAsia="Times New Roman" w:hAnsi="Times New Roman" w:cs="Times New Roman"/>
                <w:spacing w:val="-6"/>
                <w:kern w:val="0"/>
                <w:sz w:val="28"/>
                <w:szCs w:val="28"/>
                <w:lang w:val="nl-NL"/>
                <w14:ligatures w14:val="none"/>
              </w:rPr>
              <w:t xml:space="preserve"> </w:t>
            </w:r>
            <w:r w:rsidRPr="00E162C2">
              <w:rPr>
                <w:rFonts w:ascii="Times New Roman" w:eastAsia="Times New Roman" w:hAnsi="Times New Roman" w:cs="Times New Roman"/>
                <w:spacing w:val="-6"/>
                <w:kern w:val="0"/>
                <w:sz w:val="28"/>
                <w:szCs w:val="28"/>
                <w:lang w:val="nl-NL"/>
                <w14:ligatures w14:val="none"/>
              </w:rPr>
              <w:t>.</w:t>
            </w:r>
          </w:p>
          <w:p w14:paraId="26D1F8A2"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Mức khấu trừ: 3%/tuần.</w:t>
            </w:r>
          </w:p>
          <w:p w14:paraId="603C311F"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Mức khấu trừ tối đa: 12%.</w:t>
            </w:r>
          </w:p>
        </w:tc>
      </w:tr>
      <w:tr w:rsidR="00E162C2" w:rsidRPr="00E162C2" w14:paraId="5578E44D" w14:textId="77777777" w:rsidTr="00B34F48">
        <w:tblPrEx>
          <w:tblCellMar>
            <w:top w:w="0" w:type="dxa"/>
            <w:left w:w="0" w:type="dxa"/>
            <w:bottom w:w="0" w:type="dxa"/>
            <w:right w:w="0" w:type="dxa"/>
          </w:tblCellMar>
        </w:tblPrEx>
        <w:tc>
          <w:tcPr>
            <w:tcW w:w="1035" w:type="pct"/>
            <w:vAlign w:val="center"/>
          </w:tcPr>
          <w:p w14:paraId="1A3EF5E4"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24.1</w:t>
            </w:r>
          </w:p>
        </w:tc>
        <w:tc>
          <w:tcPr>
            <w:tcW w:w="3965" w:type="pct"/>
            <w:gridSpan w:val="2"/>
          </w:tcPr>
          <w:p w14:paraId="7C6BFA93"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Nội dung yêu cầu bảo đảm khác đối với thuốc: </w:t>
            </w:r>
            <w:r w:rsidRPr="00E162C2">
              <w:rPr>
                <w:rFonts w:ascii="Times New Roman" w:eastAsia="Times New Roman" w:hAnsi="Times New Roman" w:cs="Times New Roman"/>
                <w:i/>
                <w:iCs/>
                <w:spacing w:val="-6"/>
                <w:kern w:val="0"/>
                <w:sz w:val="28"/>
                <w:szCs w:val="28"/>
                <w:lang w:val="nl-NL"/>
                <w14:ligatures w14:val="none"/>
              </w:rPr>
              <w:t>Cụ thể trong quá trình thương thảo, hoàn thiện hợp đồng.</w:t>
            </w:r>
          </w:p>
        </w:tc>
      </w:tr>
      <w:tr w:rsidR="00E162C2" w:rsidRPr="00E162C2" w14:paraId="67B4199B" w14:textId="77777777" w:rsidTr="00B34F48">
        <w:tblPrEx>
          <w:tblCellMar>
            <w:top w:w="0" w:type="dxa"/>
            <w:left w:w="0" w:type="dxa"/>
            <w:bottom w:w="0" w:type="dxa"/>
            <w:right w:w="0" w:type="dxa"/>
          </w:tblCellMar>
        </w:tblPrEx>
        <w:trPr>
          <w:trHeight w:val="421"/>
        </w:trPr>
        <w:tc>
          <w:tcPr>
            <w:tcW w:w="1035" w:type="pct"/>
            <w:vAlign w:val="center"/>
          </w:tcPr>
          <w:p w14:paraId="19DB369E"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24.2</w:t>
            </w:r>
          </w:p>
        </w:tc>
        <w:tc>
          <w:tcPr>
            <w:tcW w:w="3965" w:type="pct"/>
            <w:gridSpan w:val="2"/>
          </w:tcPr>
          <w:p w14:paraId="09CAFA4F"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Yêu cầu về chất lượng và hạn sử dụng: </w:t>
            </w:r>
          </w:p>
          <w:p w14:paraId="4AF150EF" w14:textId="77777777" w:rsidR="00E162C2" w:rsidRPr="00E162C2" w:rsidRDefault="00E162C2" w:rsidP="00E162C2">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Hạn sử dụng còn lại của thuốc trúng thầu tính đến thời điểm thuốc cung ứng cho cơ sở y tế phải bảo đảm tối thiểu 03 tháng đối với thuốc có hạn dùng từ 01 năm trở lên; 1/4 hạn dùng đối với thuốc có hạn dùng dưới 01 năm. Trong trường hợp hạn sử dụng của thuốc không đáp ứng yêu cầu nêu trên, để bảo đảm có thuốc phục vụ nhu cầu khám bệnh, chữa bệnh, căn cứ tình hình thực tế, Chủ đầu tư quyết định hạn sử dụng còn lại của thuốc trúng thầu tính đến thời điểm thuốc cung ứng cho cơ sở y tế và không được yêu cầu cao hơn quy định nêu trên nhưng phải đảm bảo còn hạn sử dụng khi sử dụng thuốc cho bệnh nhân.</w:t>
            </w:r>
          </w:p>
          <w:p w14:paraId="26BACF6C" w14:textId="77777777" w:rsidR="00E162C2" w:rsidRPr="00E162C2" w:rsidRDefault="00E162C2" w:rsidP="00E162C2">
            <w:pPr>
              <w:widowControl w:val="0"/>
              <w:spacing w:after="0" w:line="240"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 Cơ chế giải quyết các hư hỏng, khuyết tật, thuốc kém chất lượng, phản ứng có hại của thuốc phát sinh trong quá trình sử dụng thuốc: Khi có phát sinh, Chủ đầu tư thông báo ngay cho Nhà thầu về các hư hỏng, khuyết tật, thuốc kém chất lượng, phản ứng có hại của thuốc phát sinh; trong vòng 24 giờ, Nhà thầu phải tiến hành khắc phục các hư hỏng, khuyết tật, thuốc kém chất lượng, phản ứng có hại của thuốc sau khi nhận được thông báo của Chủ đầu tư; chi phí cho việc khắc phục các hư hỏng, khuyết tật, thuốc kém chất lượng, phản ứng có hại của thuốc và Nhà thầu phải chịu toàn bộ chi phí cho việc </w:t>
            </w:r>
            <w:r w:rsidRPr="00E162C2">
              <w:rPr>
                <w:rFonts w:ascii="Times New Roman" w:eastAsia="Times New Roman" w:hAnsi="Times New Roman" w:cs="Times New Roman"/>
                <w:spacing w:val="-6"/>
                <w:kern w:val="0"/>
                <w:sz w:val="28"/>
                <w:szCs w:val="28"/>
                <w:lang w:val="nl-NL"/>
                <w14:ligatures w14:val="none"/>
              </w:rPr>
              <w:lastRenderedPageBreak/>
              <w:t>khắc phục.</w:t>
            </w:r>
          </w:p>
        </w:tc>
      </w:tr>
      <w:tr w:rsidR="00E162C2" w:rsidRPr="00E162C2" w14:paraId="262A22B4" w14:textId="77777777" w:rsidTr="00B34F48">
        <w:tblPrEx>
          <w:tblCellMar>
            <w:top w:w="0" w:type="dxa"/>
            <w:left w:w="0" w:type="dxa"/>
            <w:bottom w:w="0" w:type="dxa"/>
            <w:right w:w="0" w:type="dxa"/>
          </w:tblCellMar>
        </w:tblPrEx>
        <w:trPr>
          <w:trHeight w:val="778"/>
        </w:trPr>
        <w:tc>
          <w:tcPr>
            <w:tcW w:w="1035" w:type="pct"/>
            <w:vAlign w:val="center"/>
          </w:tcPr>
          <w:p w14:paraId="03473211"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lastRenderedPageBreak/>
              <w:t>ĐKC 26.1(d)</w:t>
            </w:r>
          </w:p>
        </w:tc>
        <w:tc>
          <w:tcPr>
            <w:tcW w:w="3965" w:type="pct"/>
            <w:gridSpan w:val="2"/>
          </w:tcPr>
          <w:p w14:paraId="5D587916"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6"/>
                <w:kern w:val="0"/>
                <w:sz w:val="28"/>
                <w:szCs w:val="28"/>
                <w:lang w:val="nl-NL"/>
                <w14:ligatures w14:val="none"/>
              </w:rPr>
            </w:pPr>
            <w:r w:rsidRPr="00E162C2">
              <w:rPr>
                <w:rFonts w:ascii="Times New Roman" w:eastAsia="Times New Roman" w:hAnsi="Times New Roman" w:cs="Times New Roman"/>
                <w:spacing w:val="-6"/>
                <w:kern w:val="0"/>
                <w:sz w:val="28"/>
                <w:szCs w:val="28"/>
                <w:lang w:val="nl-NL"/>
                <w14:ligatures w14:val="none"/>
              </w:rPr>
              <w:t xml:space="preserve">Các nội dung khác về hiệu chỉnh, bổ sung hợp đồng: </w:t>
            </w:r>
            <w:r w:rsidRPr="00E162C2">
              <w:rPr>
                <w:rFonts w:ascii="Times New Roman" w:eastAsia="Times New Roman" w:hAnsi="Times New Roman" w:cs="Times New Roman"/>
                <w:i/>
                <w:iCs/>
                <w:spacing w:val="-6"/>
                <w:kern w:val="0"/>
                <w:sz w:val="28"/>
                <w:szCs w:val="28"/>
                <w:lang w:val="nl-NL"/>
                <w14:ligatures w14:val="none"/>
              </w:rPr>
              <w:t>Cụ thể trong quá trình hoàn thiện hợp đồng.</w:t>
            </w:r>
          </w:p>
        </w:tc>
      </w:tr>
      <w:tr w:rsidR="00E162C2" w:rsidRPr="00E162C2" w14:paraId="2C430B7C" w14:textId="77777777" w:rsidTr="00B34F48">
        <w:tblPrEx>
          <w:tblCellMar>
            <w:top w:w="0" w:type="dxa"/>
            <w:left w:w="0" w:type="dxa"/>
            <w:bottom w:w="0" w:type="dxa"/>
            <w:right w:w="0" w:type="dxa"/>
          </w:tblCellMar>
        </w:tblPrEx>
        <w:tc>
          <w:tcPr>
            <w:tcW w:w="1035" w:type="pct"/>
            <w:vAlign w:val="center"/>
          </w:tcPr>
          <w:p w14:paraId="3982187A"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27.4</w:t>
            </w:r>
          </w:p>
        </w:tc>
        <w:tc>
          <w:tcPr>
            <w:tcW w:w="3965" w:type="pct"/>
            <w:gridSpan w:val="2"/>
          </w:tcPr>
          <w:p w14:paraId="4EF1C5EE"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E162C2">
              <w:rPr>
                <w:rFonts w:ascii="Times New Roman" w:eastAsia="Times New Roman" w:hAnsi="Times New Roman" w:cs="Times New Roman"/>
                <w:spacing w:val="-14"/>
                <w:kern w:val="0"/>
                <w:sz w:val="28"/>
                <w:szCs w:val="28"/>
                <w:lang w:val="nl-NL"/>
                <w14:ligatures w14:val="none"/>
              </w:rPr>
              <w:t xml:space="preserve">Các trường hợp khác: </w:t>
            </w:r>
            <w:r w:rsidRPr="00E162C2">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tr w:rsidR="00E162C2" w:rsidRPr="00E162C2" w14:paraId="168AC38B" w14:textId="77777777" w:rsidTr="00B34F48">
        <w:tblPrEx>
          <w:tblCellMar>
            <w:top w:w="0" w:type="dxa"/>
            <w:left w:w="0" w:type="dxa"/>
            <w:bottom w:w="0" w:type="dxa"/>
            <w:right w:w="0" w:type="dxa"/>
          </w:tblCellMar>
        </w:tblPrEx>
        <w:tc>
          <w:tcPr>
            <w:tcW w:w="1035" w:type="pct"/>
            <w:vAlign w:val="center"/>
          </w:tcPr>
          <w:p w14:paraId="231C6D97" w14:textId="77777777" w:rsidR="00E162C2" w:rsidRPr="00E162C2" w:rsidRDefault="00E162C2" w:rsidP="00E162C2">
            <w:pPr>
              <w:widowControl w:val="0"/>
              <w:spacing w:before="120" w:after="120" w:line="264" w:lineRule="auto"/>
              <w:ind w:firstLine="142"/>
              <w:rPr>
                <w:rFonts w:ascii="Times New Roman" w:eastAsia="Times New Roman" w:hAnsi="Times New Roman" w:cs="Times New Roman"/>
                <w:kern w:val="0"/>
                <w:sz w:val="28"/>
                <w:szCs w:val="28"/>
                <w:lang w:val="nl-NL"/>
                <w14:ligatures w14:val="none"/>
              </w:rPr>
            </w:pPr>
            <w:r w:rsidRPr="00E162C2">
              <w:rPr>
                <w:rFonts w:ascii="Times New Roman" w:eastAsia="Times New Roman" w:hAnsi="Times New Roman" w:cs="Times New Roman"/>
                <w:kern w:val="0"/>
                <w:sz w:val="28"/>
                <w:szCs w:val="28"/>
                <w:lang w:val="nl-NL"/>
                <w14:ligatures w14:val="none"/>
              </w:rPr>
              <w:t>ĐKC 28.1(d)</w:t>
            </w:r>
          </w:p>
        </w:tc>
        <w:tc>
          <w:tcPr>
            <w:tcW w:w="3965" w:type="pct"/>
            <w:gridSpan w:val="2"/>
          </w:tcPr>
          <w:p w14:paraId="14A4EFA8" w14:textId="77777777" w:rsidR="00E162C2" w:rsidRPr="00E162C2" w:rsidRDefault="00E162C2" w:rsidP="00E162C2">
            <w:pPr>
              <w:widowControl w:val="0"/>
              <w:spacing w:before="120" w:after="120" w:line="264" w:lineRule="auto"/>
              <w:ind w:left="82" w:right="185" w:firstLine="425"/>
              <w:jc w:val="both"/>
              <w:rPr>
                <w:rFonts w:ascii="Times New Roman" w:eastAsia="Times New Roman" w:hAnsi="Times New Roman" w:cs="Times New Roman"/>
                <w:spacing w:val="-14"/>
                <w:kern w:val="0"/>
                <w:sz w:val="28"/>
                <w:szCs w:val="28"/>
                <w:lang w:val="nl-NL"/>
                <w14:ligatures w14:val="none"/>
              </w:rPr>
            </w:pPr>
            <w:r w:rsidRPr="00E162C2">
              <w:rPr>
                <w:rFonts w:ascii="Times New Roman" w:eastAsia="Times New Roman" w:hAnsi="Times New Roman" w:cs="Times New Roman"/>
                <w:spacing w:val="-14"/>
                <w:kern w:val="0"/>
                <w:sz w:val="28"/>
                <w:szCs w:val="28"/>
                <w:lang w:val="nl-NL"/>
                <w14:ligatures w14:val="none"/>
              </w:rPr>
              <w:t xml:space="preserve">Các hành vi khác: </w:t>
            </w:r>
            <w:r w:rsidRPr="00E162C2">
              <w:rPr>
                <w:rFonts w:ascii="Times New Roman" w:eastAsia="Times New Roman" w:hAnsi="Times New Roman" w:cs="Times New Roman"/>
                <w:i/>
                <w:iCs/>
                <w:spacing w:val="-14"/>
                <w:kern w:val="0"/>
                <w:sz w:val="28"/>
                <w:szCs w:val="28"/>
                <w:lang w:val="nl-NL"/>
                <w14:ligatures w14:val="none"/>
              </w:rPr>
              <w:t>Cụ thể trong quá trình hoàn thiện hợp đồng.</w:t>
            </w:r>
          </w:p>
        </w:tc>
      </w:tr>
      <w:bookmarkEnd w:id="0"/>
    </w:tbl>
    <w:p w14:paraId="647C7839" w14:textId="77777777" w:rsidR="00E162C2" w:rsidRPr="00E162C2" w:rsidRDefault="00E162C2" w:rsidP="00E162C2">
      <w:pPr>
        <w:widowControl w:val="0"/>
        <w:spacing w:before="120" w:after="120" w:line="264" w:lineRule="auto"/>
        <w:ind w:firstLine="709"/>
        <w:jc w:val="both"/>
        <w:rPr>
          <w:rFonts w:ascii="Times New Roman" w:eastAsia="Times New Roman" w:hAnsi="Times New Roman" w:cs="Times New Roman"/>
          <w:kern w:val="0"/>
          <w:sz w:val="28"/>
          <w:szCs w:val="28"/>
          <w:lang w:val="nl-NL"/>
          <w14:ligatures w14:val="none"/>
        </w:rPr>
      </w:pPr>
    </w:p>
    <w:p w14:paraId="161CFC8D" w14:textId="77777777" w:rsidR="00E162C2" w:rsidRPr="00E162C2" w:rsidRDefault="00E162C2" w:rsidP="00E162C2">
      <w:pPr>
        <w:widowControl w:val="0"/>
        <w:spacing w:before="120" w:after="120" w:line="264" w:lineRule="auto"/>
        <w:jc w:val="both"/>
        <w:rPr>
          <w:rFonts w:ascii="Times New Roman" w:eastAsia="Times New Roman" w:hAnsi="Times New Roman" w:cs="Times New Roman"/>
          <w:kern w:val="0"/>
          <w:sz w:val="28"/>
          <w:szCs w:val="28"/>
          <w:lang w:val="nl-NL"/>
          <w14:ligatures w14:val="none"/>
        </w:rPr>
      </w:pPr>
    </w:p>
    <w:p w14:paraId="71115887" w14:textId="77777777" w:rsidR="00E162C2" w:rsidRPr="00E162C2" w:rsidRDefault="00E162C2" w:rsidP="00E162C2">
      <w:pPr>
        <w:widowControl w:val="0"/>
        <w:spacing w:before="120" w:after="120" w:line="264" w:lineRule="auto"/>
        <w:jc w:val="both"/>
        <w:rPr>
          <w:rFonts w:ascii="Times New Roman" w:eastAsia="Times New Roman" w:hAnsi="Times New Roman" w:cs="Times New Roman"/>
          <w:kern w:val="0"/>
          <w:sz w:val="28"/>
          <w:szCs w:val="28"/>
          <w:lang w:val="nl-NL"/>
          <w14:ligatures w14:val="none"/>
        </w:rPr>
      </w:pPr>
    </w:p>
    <w:p w14:paraId="67BCA07C" w14:textId="77777777" w:rsidR="003B2640" w:rsidRPr="00E162C2" w:rsidRDefault="003B2640">
      <w:pPr>
        <w:rPr>
          <w:lang w:val="nl-NL"/>
        </w:rPr>
      </w:pPr>
    </w:p>
    <w:sectPr w:rsidR="003B2640" w:rsidRPr="00E162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62C2"/>
    <w:rsid w:val="0030079D"/>
    <w:rsid w:val="003B2640"/>
    <w:rsid w:val="004B1354"/>
    <w:rsid w:val="007F4380"/>
    <w:rsid w:val="00BB244F"/>
    <w:rsid w:val="00E162C2"/>
    <w:rsid w:val="00E244B1"/>
    <w:rsid w:val="00E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59ECA1"/>
  <w15:chartTrackingRefBased/>
  <w15:docId w15:val="{97F4F8D1-8B17-4D5E-9A6B-D03A395ACD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162C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162C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162C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162C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162C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162C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62C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62C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62C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162C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162C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162C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162C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162C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162C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162C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162C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162C2"/>
    <w:rPr>
      <w:rFonts w:eastAsiaTheme="majorEastAsia" w:cstheme="majorBidi"/>
      <w:color w:val="272727" w:themeColor="text1" w:themeTint="D8"/>
    </w:rPr>
  </w:style>
  <w:style w:type="paragraph" w:styleId="Title">
    <w:name w:val="Title"/>
    <w:basedOn w:val="Normal"/>
    <w:next w:val="Normal"/>
    <w:link w:val="TitleChar"/>
    <w:uiPriority w:val="10"/>
    <w:qFormat/>
    <w:rsid w:val="00E162C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162C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162C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162C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62C2"/>
    <w:pPr>
      <w:spacing w:before="160"/>
      <w:jc w:val="center"/>
    </w:pPr>
    <w:rPr>
      <w:i/>
      <w:iCs/>
      <w:color w:val="404040" w:themeColor="text1" w:themeTint="BF"/>
    </w:rPr>
  </w:style>
  <w:style w:type="character" w:customStyle="1" w:styleId="QuoteChar">
    <w:name w:val="Quote Char"/>
    <w:basedOn w:val="DefaultParagraphFont"/>
    <w:link w:val="Quote"/>
    <w:uiPriority w:val="29"/>
    <w:rsid w:val="00E162C2"/>
    <w:rPr>
      <w:i/>
      <w:iCs/>
      <w:color w:val="404040" w:themeColor="text1" w:themeTint="BF"/>
    </w:rPr>
  </w:style>
  <w:style w:type="paragraph" w:styleId="ListParagraph">
    <w:name w:val="List Paragraph"/>
    <w:basedOn w:val="Normal"/>
    <w:uiPriority w:val="34"/>
    <w:qFormat/>
    <w:rsid w:val="00E162C2"/>
    <w:pPr>
      <w:ind w:left="720"/>
      <w:contextualSpacing/>
    </w:pPr>
  </w:style>
  <w:style w:type="character" w:styleId="IntenseEmphasis">
    <w:name w:val="Intense Emphasis"/>
    <w:basedOn w:val="DefaultParagraphFont"/>
    <w:uiPriority w:val="21"/>
    <w:qFormat/>
    <w:rsid w:val="00E162C2"/>
    <w:rPr>
      <w:i/>
      <w:iCs/>
      <w:color w:val="2F5496" w:themeColor="accent1" w:themeShade="BF"/>
    </w:rPr>
  </w:style>
  <w:style w:type="paragraph" w:styleId="IntenseQuote">
    <w:name w:val="Intense Quote"/>
    <w:basedOn w:val="Normal"/>
    <w:next w:val="Normal"/>
    <w:link w:val="IntenseQuoteChar"/>
    <w:uiPriority w:val="30"/>
    <w:qFormat/>
    <w:rsid w:val="00E162C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162C2"/>
    <w:rPr>
      <w:i/>
      <w:iCs/>
      <w:color w:val="2F5496" w:themeColor="accent1" w:themeShade="BF"/>
    </w:rPr>
  </w:style>
  <w:style w:type="character" w:styleId="IntenseReference">
    <w:name w:val="Intense Reference"/>
    <w:basedOn w:val="DefaultParagraphFont"/>
    <w:uiPriority w:val="32"/>
    <w:qFormat/>
    <w:rsid w:val="00E162C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1051</Words>
  <Characters>5995</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Hồng Phạm</dc:creator>
  <cp:keywords/>
  <dc:description/>
  <cp:lastModifiedBy>Hồng Phạm</cp:lastModifiedBy>
  <cp:revision>1</cp:revision>
  <dcterms:created xsi:type="dcterms:W3CDTF">2026-05-26T07:02:00Z</dcterms:created>
  <dcterms:modified xsi:type="dcterms:W3CDTF">2026-05-26T07:04:00Z</dcterms:modified>
</cp:coreProperties>
</file>