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034" w:rsidRPr="00706034" w:rsidRDefault="00706034" w:rsidP="00706034">
      <w:pPr>
        <w:pStyle w:val="TOC1"/>
        <w:spacing w:line="264" w:lineRule="auto"/>
        <w:rPr>
          <w:rFonts w:ascii="Times New Roman" w:hAnsi="Times New Roman" w:cs="Times New Roman"/>
        </w:rPr>
      </w:pPr>
      <w:r w:rsidRPr="00706034">
        <w:rPr>
          <w:rFonts w:ascii="Times New Roman" w:hAnsi="Times New Roman" w:cs="Times New Roman"/>
        </w:rPr>
        <w:t xml:space="preserve">Mục </w:t>
      </w:r>
      <w:r w:rsidRPr="00706034">
        <w:rPr>
          <w:rFonts w:ascii="Times New Roman" w:hAnsi="Times New Roman" w:cs="Times New Roman"/>
          <w:lang w:val="pl-PL"/>
        </w:rPr>
        <w:t>3</w:t>
      </w:r>
      <w:r w:rsidRPr="00706034">
        <w:rPr>
          <w:rFonts w:ascii="Times New Roman" w:hAnsi="Times New Roman" w:cs="Times New Roman"/>
        </w:rPr>
        <w:t>. Tiêu chuẩn đánh giá về kỹ thuật</w:t>
      </w:r>
    </w:p>
    <w:p w:rsidR="00706034" w:rsidRPr="00706034" w:rsidRDefault="00706034" w:rsidP="00706034">
      <w:pPr>
        <w:spacing w:before="120" w:after="120" w:line="264" w:lineRule="auto"/>
        <w:ind w:firstLine="720"/>
        <w:rPr>
          <w:noProof/>
          <w:spacing w:val="-4"/>
          <w:sz w:val="28"/>
          <w:szCs w:val="28"/>
          <w:lang w:val="nl-NL"/>
        </w:rPr>
      </w:pPr>
      <w:r w:rsidRPr="00706034">
        <w:rPr>
          <w:spacing w:val="-4"/>
          <w:sz w:val="28"/>
          <w:szCs w:val="28"/>
          <w:lang w:val="nl-NL"/>
        </w:rPr>
        <w:t xml:space="preserve">- </w:t>
      </w:r>
      <w:r w:rsidRPr="00706034">
        <w:rPr>
          <w:spacing w:val="-4"/>
          <w:sz w:val="28"/>
          <w:szCs w:val="28"/>
          <w:lang w:val="vi-VN"/>
        </w:rPr>
        <w:t>Sử dụng tiêu chí đạt/</w:t>
      </w:r>
      <w:r w:rsidRPr="00706034">
        <w:rPr>
          <w:spacing w:val="-4"/>
          <w:sz w:val="28"/>
          <w:szCs w:val="28"/>
          <w:lang w:val="nl-NL"/>
        </w:rPr>
        <w:t xml:space="preserve"> </w:t>
      </w:r>
      <w:r w:rsidRPr="00706034">
        <w:rPr>
          <w:spacing w:val="-4"/>
          <w:sz w:val="28"/>
          <w:szCs w:val="28"/>
          <w:lang w:val="vi-VN"/>
        </w:rPr>
        <w:t>không đạt để xây dựng tiêu chuẩn đánh giá về kỹ thuật.</w:t>
      </w:r>
      <w:r w:rsidRPr="00706034">
        <w:rPr>
          <w:spacing w:val="-4"/>
          <w:sz w:val="28"/>
          <w:szCs w:val="28"/>
          <w:lang w:val="nl-NL"/>
        </w:rPr>
        <w:t xml:space="preserve"> </w:t>
      </w:r>
    </w:p>
    <w:p w:rsidR="00706034" w:rsidRPr="00706034" w:rsidRDefault="00706034" w:rsidP="00706034">
      <w:pPr>
        <w:spacing w:before="120" w:after="120" w:line="264" w:lineRule="auto"/>
        <w:ind w:firstLine="720"/>
        <w:rPr>
          <w:sz w:val="28"/>
          <w:szCs w:val="28"/>
          <w:lang w:val="nl-NL"/>
        </w:rPr>
      </w:pPr>
      <w:r w:rsidRPr="00706034">
        <w:rPr>
          <w:sz w:val="28"/>
          <w:szCs w:val="28"/>
          <w:lang w:val="nl-NL"/>
        </w:rPr>
        <w:t>- E-HSDT được đánh giá là đáp ứng yêu cầu về kỹ thuật khi có tất cả các tiêu chí đều được đánh giá là đạt.</w:t>
      </w:r>
      <w:bookmarkStart w:id="0" w:name="_GoBack"/>
      <w:bookmarkEnd w:id="0"/>
    </w:p>
    <w:p w:rsidR="00706034" w:rsidRPr="00706034" w:rsidRDefault="00706034" w:rsidP="00706034">
      <w:pPr>
        <w:spacing w:before="120" w:after="120" w:line="264" w:lineRule="auto"/>
        <w:ind w:firstLine="720"/>
        <w:rPr>
          <w:sz w:val="28"/>
          <w:szCs w:val="28"/>
          <w:lang w:val="nl-NL"/>
        </w:rPr>
      </w:pPr>
      <w:r w:rsidRPr="00706034">
        <w:rPr>
          <w:sz w:val="28"/>
          <w:szCs w:val="28"/>
          <w:lang w:val="nl-NL"/>
        </w:rPr>
        <w:t>- E-HSDT được đánh giá là đạt yêu cầu về kỹ thuật được tiếp tục xem xét về tài chính.</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68"/>
        <w:gridCol w:w="3544"/>
        <w:gridCol w:w="3260"/>
      </w:tblGrid>
      <w:tr w:rsidR="00706034" w:rsidRPr="00706034" w:rsidTr="00706034">
        <w:trPr>
          <w:tblHeader/>
        </w:trPr>
        <w:tc>
          <w:tcPr>
            <w:tcW w:w="710" w:type="dxa"/>
            <w:vMerge w:val="restart"/>
            <w:vAlign w:val="center"/>
          </w:tcPr>
          <w:p w:rsidR="00706034" w:rsidRPr="00706034" w:rsidRDefault="00706034" w:rsidP="003C2DA4">
            <w:pPr>
              <w:spacing w:line="288" w:lineRule="auto"/>
              <w:jc w:val="center"/>
              <w:rPr>
                <w:b/>
                <w:color w:val="000000" w:themeColor="text1"/>
                <w:sz w:val="26"/>
                <w:szCs w:val="26"/>
              </w:rPr>
            </w:pPr>
            <w:r w:rsidRPr="00706034">
              <w:rPr>
                <w:b/>
                <w:color w:val="000000" w:themeColor="text1"/>
                <w:sz w:val="26"/>
                <w:szCs w:val="26"/>
              </w:rPr>
              <w:t>TT</w:t>
            </w:r>
          </w:p>
        </w:tc>
        <w:tc>
          <w:tcPr>
            <w:tcW w:w="2268" w:type="dxa"/>
            <w:vMerge w:val="restart"/>
            <w:vAlign w:val="center"/>
          </w:tcPr>
          <w:p w:rsidR="00706034" w:rsidRPr="00706034" w:rsidRDefault="00706034" w:rsidP="003C2DA4">
            <w:pPr>
              <w:spacing w:line="288" w:lineRule="auto"/>
              <w:jc w:val="center"/>
              <w:rPr>
                <w:b/>
                <w:color w:val="000000" w:themeColor="text1"/>
                <w:sz w:val="26"/>
                <w:szCs w:val="26"/>
              </w:rPr>
            </w:pPr>
            <w:r w:rsidRPr="00706034">
              <w:rPr>
                <w:b/>
                <w:color w:val="000000" w:themeColor="text1"/>
                <w:sz w:val="26"/>
                <w:szCs w:val="26"/>
              </w:rPr>
              <w:t>Nội dung yêu cầu</w:t>
            </w:r>
          </w:p>
        </w:tc>
        <w:tc>
          <w:tcPr>
            <w:tcW w:w="6804" w:type="dxa"/>
            <w:gridSpan w:val="2"/>
          </w:tcPr>
          <w:p w:rsidR="00706034" w:rsidRPr="00706034" w:rsidRDefault="00706034" w:rsidP="003C2DA4">
            <w:pPr>
              <w:spacing w:line="288" w:lineRule="auto"/>
              <w:jc w:val="center"/>
              <w:rPr>
                <w:b/>
                <w:color w:val="000000" w:themeColor="text1"/>
                <w:sz w:val="26"/>
                <w:szCs w:val="26"/>
              </w:rPr>
            </w:pPr>
            <w:r w:rsidRPr="00706034">
              <w:rPr>
                <w:b/>
                <w:color w:val="000000" w:themeColor="text1"/>
                <w:sz w:val="26"/>
                <w:szCs w:val="26"/>
              </w:rPr>
              <w:t>Mức độ đáp ứng</w:t>
            </w:r>
          </w:p>
        </w:tc>
      </w:tr>
      <w:tr w:rsidR="00706034" w:rsidRPr="00706034" w:rsidTr="00706034">
        <w:trPr>
          <w:tblHeader/>
        </w:trPr>
        <w:tc>
          <w:tcPr>
            <w:tcW w:w="710" w:type="dxa"/>
            <w:vMerge/>
          </w:tcPr>
          <w:p w:rsidR="00706034" w:rsidRPr="00706034" w:rsidRDefault="00706034" w:rsidP="003C2DA4">
            <w:pPr>
              <w:spacing w:line="288" w:lineRule="auto"/>
              <w:rPr>
                <w:b/>
                <w:color w:val="000000" w:themeColor="text1"/>
                <w:sz w:val="26"/>
                <w:szCs w:val="26"/>
              </w:rPr>
            </w:pPr>
          </w:p>
        </w:tc>
        <w:tc>
          <w:tcPr>
            <w:tcW w:w="2268" w:type="dxa"/>
            <w:vMerge/>
          </w:tcPr>
          <w:p w:rsidR="00706034" w:rsidRPr="00706034" w:rsidRDefault="00706034" w:rsidP="003C2DA4">
            <w:pPr>
              <w:spacing w:line="288" w:lineRule="auto"/>
              <w:rPr>
                <w:b/>
                <w:color w:val="000000" w:themeColor="text1"/>
                <w:sz w:val="26"/>
                <w:szCs w:val="26"/>
              </w:rPr>
            </w:pPr>
          </w:p>
        </w:tc>
        <w:tc>
          <w:tcPr>
            <w:tcW w:w="3544" w:type="dxa"/>
            <w:vAlign w:val="center"/>
          </w:tcPr>
          <w:p w:rsidR="00706034" w:rsidRPr="00706034" w:rsidRDefault="00706034" w:rsidP="003C2DA4">
            <w:pPr>
              <w:spacing w:line="288" w:lineRule="auto"/>
              <w:jc w:val="center"/>
              <w:rPr>
                <w:b/>
                <w:color w:val="000000" w:themeColor="text1"/>
                <w:sz w:val="26"/>
                <w:szCs w:val="26"/>
              </w:rPr>
            </w:pPr>
            <w:r w:rsidRPr="00706034">
              <w:rPr>
                <w:b/>
                <w:color w:val="000000" w:themeColor="text1"/>
                <w:sz w:val="26"/>
                <w:szCs w:val="26"/>
              </w:rPr>
              <w:t>Đạt</w:t>
            </w:r>
          </w:p>
        </w:tc>
        <w:tc>
          <w:tcPr>
            <w:tcW w:w="3260" w:type="dxa"/>
            <w:vAlign w:val="center"/>
          </w:tcPr>
          <w:p w:rsidR="00706034" w:rsidRPr="00706034" w:rsidRDefault="00706034" w:rsidP="003C2DA4">
            <w:pPr>
              <w:spacing w:line="288" w:lineRule="auto"/>
              <w:jc w:val="center"/>
              <w:rPr>
                <w:b/>
                <w:color w:val="000000" w:themeColor="text1"/>
                <w:sz w:val="26"/>
                <w:szCs w:val="26"/>
              </w:rPr>
            </w:pPr>
            <w:r w:rsidRPr="00706034">
              <w:rPr>
                <w:b/>
                <w:color w:val="000000" w:themeColor="text1"/>
                <w:sz w:val="26"/>
                <w:szCs w:val="26"/>
              </w:rPr>
              <w:t>Không đạt</w:t>
            </w:r>
          </w:p>
        </w:tc>
      </w:tr>
      <w:tr w:rsidR="00706034" w:rsidRPr="00706034" w:rsidTr="00706034">
        <w:trPr>
          <w:tblHeader/>
        </w:trPr>
        <w:tc>
          <w:tcPr>
            <w:tcW w:w="710" w:type="dxa"/>
          </w:tcPr>
          <w:p w:rsidR="00706034" w:rsidRPr="00706034" w:rsidRDefault="00706034" w:rsidP="003C2DA4">
            <w:pPr>
              <w:spacing w:line="288" w:lineRule="auto"/>
              <w:rPr>
                <w:b/>
                <w:color w:val="000000" w:themeColor="text1"/>
                <w:sz w:val="26"/>
                <w:szCs w:val="26"/>
              </w:rPr>
            </w:pPr>
            <w:r w:rsidRPr="00706034">
              <w:rPr>
                <w:b/>
                <w:color w:val="000000" w:themeColor="text1"/>
                <w:sz w:val="26"/>
                <w:szCs w:val="26"/>
              </w:rPr>
              <w:t>I</w:t>
            </w:r>
          </w:p>
        </w:tc>
        <w:tc>
          <w:tcPr>
            <w:tcW w:w="2268" w:type="dxa"/>
          </w:tcPr>
          <w:p w:rsidR="00706034" w:rsidRPr="00706034" w:rsidRDefault="00706034" w:rsidP="003C2DA4">
            <w:pPr>
              <w:spacing w:line="288" w:lineRule="auto"/>
              <w:rPr>
                <w:b/>
                <w:color w:val="000000" w:themeColor="text1"/>
                <w:sz w:val="26"/>
                <w:szCs w:val="26"/>
              </w:rPr>
            </w:pPr>
            <w:r w:rsidRPr="00706034">
              <w:rPr>
                <w:b/>
                <w:color w:val="000000" w:themeColor="text1"/>
                <w:sz w:val="26"/>
                <w:szCs w:val="26"/>
              </w:rPr>
              <w:t>Yêu cầu chung</w:t>
            </w:r>
          </w:p>
        </w:tc>
        <w:tc>
          <w:tcPr>
            <w:tcW w:w="3544" w:type="dxa"/>
          </w:tcPr>
          <w:p w:rsidR="00706034" w:rsidRPr="00706034" w:rsidRDefault="00706034" w:rsidP="003C2DA4">
            <w:pPr>
              <w:spacing w:line="288" w:lineRule="auto"/>
              <w:rPr>
                <w:b/>
                <w:color w:val="000000" w:themeColor="text1"/>
                <w:sz w:val="26"/>
                <w:szCs w:val="26"/>
              </w:rPr>
            </w:pPr>
          </w:p>
        </w:tc>
        <w:tc>
          <w:tcPr>
            <w:tcW w:w="3260" w:type="dxa"/>
          </w:tcPr>
          <w:p w:rsidR="00706034" w:rsidRPr="00706034" w:rsidRDefault="00706034" w:rsidP="003C2DA4">
            <w:pPr>
              <w:spacing w:line="288" w:lineRule="auto"/>
              <w:rPr>
                <w:b/>
                <w:color w:val="000000" w:themeColor="text1"/>
                <w:sz w:val="26"/>
                <w:szCs w:val="26"/>
              </w:rPr>
            </w:pPr>
          </w:p>
        </w:tc>
      </w:tr>
      <w:tr w:rsidR="00706034" w:rsidRPr="00706034" w:rsidTr="00706034">
        <w:tc>
          <w:tcPr>
            <w:tcW w:w="710" w:type="dxa"/>
          </w:tcPr>
          <w:p w:rsidR="00706034" w:rsidRPr="00706034" w:rsidRDefault="00706034" w:rsidP="003C2DA4">
            <w:pPr>
              <w:spacing w:line="288" w:lineRule="auto"/>
              <w:rPr>
                <w:color w:val="000000" w:themeColor="text1"/>
                <w:sz w:val="26"/>
                <w:szCs w:val="26"/>
              </w:rPr>
            </w:pPr>
            <w:r w:rsidRPr="00706034">
              <w:rPr>
                <w:color w:val="000000" w:themeColor="text1"/>
                <w:sz w:val="26"/>
                <w:szCs w:val="26"/>
              </w:rPr>
              <w:t>1.1</w:t>
            </w:r>
          </w:p>
        </w:tc>
        <w:tc>
          <w:tcPr>
            <w:tcW w:w="2268" w:type="dxa"/>
          </w:tcPr>
          <w:p w:rsidR="00706034" w:rsidRPr="00706034" w:rsidRDefault="00706034" w:rsidP="003C2DA4">
            <w:pPr>
              <w:spacing w:line="288" w:lineRule="auto"/>
              <w:rPr>
                <w:color w:val="000000" w:themeColor="text1"/>
                <w:sz w:val="26"/>
                <w:szCs w:val="26"/>
              </w:rPr>
            </w:pPr>
            <w:r w:rsidRPr="00706034">
              <w:rPr>
                <w:color w:val="000000" w:themeColor="text1"/>
                <w:sz w:val="26"/>
                <w:szCs w:val="26"/>
              </w:rPr>
              <w:t>Tiến độ cung cấp</w:t>
            </w:r>
          </w:p>
        </w:tc>
        <w:tc>
          <w:tcPr>
            <w:tcW w:w="3544" w:type="dxa"/>
          </w:tcPr>
          <w:p w:rsidR="00706034" w:rsidRPr="00706034" w:rsidRDefault="00706034" w:rsidP="00706034">
            <w:pPr>
              <w:spacing w:line="288" w:lineRule="auto"/>
              <w:jc w:val="left"/>
              <w:rPr>
                <w:color w:val="000000" w:themeColor="text1"/>
                <w:sz w:val="26"/>
                <w:szCs w:val="26"/>
              </w:rPr>
            </w:pPr>
            <w:r w:rsidRPr="00706034">
              <w:rPr>
                <w:color w:val="000000" w:themeColor="text1"/>
                <w:sz w:val="26"/>
                <w:szCs w:val="26"/>
              </w:rPr>
              <w:t>Đáp ứng đầy đủ nội dung theo mẫu số 10A và đáp ứng yêu cầu về Phạm vi cung cấp tại mẫu số 01B, chương IV - Biểu mẫu mời thầu và dự thầu của E-HSMT</w:t>
            </w:r>
          </w:p>
        </w:tc>
        <w:tc>
          <w:tcPr>
            <w:tcW w:w="3260" w:type="dxa"/>
          </w:tcPr>
          <w:p w:rsidR="00706034" w:rsidRPr="00706034" w:rsidRDefault="00706034" w:rsidP="00706034">
            <w:pPr>
              <w:spacing w:line="288" w:lineRule="auto"/>
              <w:jc w:val="left"/>
              <w:rPr>
                <w:color w:val="000000" w:themeColor="text1"/>
                <w:sz w:val="26"/>
                <w:szCs w:val="26"/>
              </w:rPr>
            </w:pPr>
            <w:r w:rsidRPr="00706034">
              <w:rPr>
                <w:color w:val="000000" w:themeColor="text1"/>
                <w:sz w:val="26"/>
                <w:szCs w:val="26"/>
              </w:rPr>
              <w:t>Không đáp ứng nội dung theo mẫu số 10A và không đáp ứng yêu cầu về Phạm vi cung cấp tại mẫu số 01B, chương IV - Biểu mẫu mời thầu và dự thầu của E-HSMT</w:t>
            </w:r>
          </w:p>
        </w:tc>
      </w:tr>
      <w:tr w:rsidR="00706034" w:rsidRPr="00706034" w:rsidTr="00706034">
        <w:tc>
          <w:tcPr>
            <w:tcW w:w="710" w:type="dxa"/>
          </w:tcPr>
          <w:p w:rsidR="00706034" w:rsidRPr="00706034" w:rsidRDefault="00706034" w:rsidP="003C2DA4">
            <w:pPr>
              <w:spacing w:line="288" w:lineRule="auto"/>
              <w:rPr>
                <w:color w:val="000000" w:themeColor="text1"/>
                <w:sz w:val="26"/>
                <w:szCs w:val="26"/>
              </w:rPr>
            </w:pPr>
            <w:r w:rsidRPr="00706034">
              <w:rPr>
                <w:color w:val="000000" w:themeColor="text1"/>
                <w:sz w:val="26"/>
                <w:szCs w:val="26"/>
              </w:rPr>
              <w:t>1.2</w:t>
            </w:r>
          </w:p>
        </w:tc>
        <w:tc>
          <w:tcPr>
            <w:tcW w:w="2268" w:type="dxa"/>
          </w:tcPr>
          <w:p w:rsidR="00706034" w:rsidRPr="00706034" w:rsidRDefault="00706034" w:rsidP="003C2DA4">
            <w:pPr>
              <w:spacing w:line="288" w:lineRule="auto"/>
              <w:rPr>
                <w:color w:val="000000" w:themeColor="text1"/>
                <w:sz w:val="26"/>
                <w:szCs w:val="26"/>
              </w:rPr>
            </w:pPr>
            <w:r w:rsidRPr="00706034">
              <w:rPr>
                <w:color w:val="000000" w:themeColor="text1"/>
                <w:sz w:val="26"/>
                <w:szCs w:val="26"/>
              </w:rPr>
              <w:t>Tính hợp lệ của hàng hoá</w:t>
            </w:r>
          </w:p>
        </w:tc>
        <w:tc>
          <w:tcPr>
            <w:tcW w:w="3544" w:type="dxa"/>
          </w:tcPr>
          <w:p w:rsidR="00706034" w:rsidRPr="00706034" w:rsidRDefault="00706034" w:rsidP="00706034">
            <w:pPr>
              <w:spacing w:line="288" w:lineRule="auto"/>
              <w:jc w:val="left"/>
              <w:rPr>
                <w:color w:val="000000" w:themeColor="text1"/>
                <w:sz w:val="26"/>
                <w:szCs w:val="26"/>
              </w:rPr>
            </w:pPr>
            <w:r w:rsidRPr="00706034">
              <w:rPr>
                <w:sz w:val="26"/>
                <w:szCs w:val="26"/>
                <w:lang w:val="nl-NL"/>
              </w:rPr>
              <w:t>Hàng hóa do nhà thầu chào phải nêu rõ model</w:t>
            </w:r>
            <w:r w:rsidRPr="00706034">
              <w:rPr>
                <w:sz w:val="26"/>
                <w:szCs w:val="26"/>
                <w:lang w:val="vi-VN"/>
              </w:rPr>
              <w:t>/</w:t>
            </w:r>
            <w:r w:rsidRPr="00706034">
              <w:rPr>
                <w:sz w:val="26"/>
                <w:szCs w:val="26"/>
                <w:lang w:val="nl-NL"/>
              </w:rPr>
              <w:t xml:space="preserve"> ký mã hiệu</w:t>
            </w:r>
            <w:r w:rsidRPr="00706034">
              <w:rPr>
                <w:sz w:val="26"/>
                <w:szCs w:val="26"/>
                <w:lang w:val="es-ES"/>
              </w:rPr>
              <w:t xml:space="preserve"> (nếu có),</w:t>
            </w:r>
            <w:r w:rsidRPr="00706034">
              <w:rPr>
                <w:sz w:val="26"/>
                <w:szCs w:val="26"/>
                <w:lang w:val="vi-VN"/>
              </w:rPr>
              <w:t xml:space="preserve"> </w:t>
            </w:r>
            <w:r w:rsidRPr="00706034">
              <w:rPr>
                <w:sz w:val="26"/>
                <w:szCs w:val="26"/>
                <w:lang w:val="nl-NL"/>
              </w:rPr>
              <w:t xml:space="preserve">nhãn hiệu, tên hãng sản xuất, nguồn gốc xuất xứ của hàng hoá theo yêu cầu tại </w:t>
            </w:r>
            <w:r w:rsidRPr="00706034">
              <w:rPr>
                <w:b/>
                <w:sz w:val="26"/>
                <w:szCs w:val="26"/>
                <w:lang w:val="nl-NL"/>
              </w:rPr>
              <w:t>Mẫu số 10B chương IV</w:t>
            </w:r>
          </w:p>
        </w:tc>
        <w:tc>
          <w:tcPr>
            <w:tcW w:w="3260" w:type="dxa"/>
          </w:tcPr>
          <w:p w:rsidR="00706034" w:rsidRPr="00706034" w:rsidRDefault="00706034" w:rsidP="00706034">
            <w:pPr>
              <w:spacing w:line="288" w:lineRule="auto"/>
              <w:jc w:val="left"/>
              <w:rPr>
                <w:color w:val="000000" w:themeColor="text1"/>
                <w:sz w:val="26"/>
                <w:szCs w:val="26"/>
              </w:rPr>
            </w:pPr>
            <w:r w:rsidRPr="00706034">
              <w:rPr>
                <w:color w:val="000000" w:themeColor="text1"/>
                <w:sz w:val="26"/>
                <w:szCs w:val="26"/>
              </w:rPr>
              <w:t xml:space="preserve">Nhà thầu không cung cấp đủ thông tin theo yêu cầu tại </w:t>
            </w:r>
            <w:r w:rsidRPr="00706034">
              <w:rPr>
                <w:b/>
                <w:sz w:val="26"/>
                <w:szCs w:val="26"/>
                <w:lang w:val="nl-NL"/>
              </w:rPr>
              <w:t>Mẫu số 10B chương IV</w:t>
            </w:r>
          </w:p>
        </w:tc>
      </w:tr>
      <w:tr w:rsidR="00706034" w:rsidRPr="00706034" w:rsidTr="00706034">
        <w:trPr>
          <w:trHeight w:val="3243"/>
        </w:trPr>
        <w:tc>
          <w:tcPr>
            <w:tcW w:w="710" w:type="dxa"/>
          </w:tcPr>
          <w:p w:rsidR="00706034" w:rsidRPr="00706034" w:rsidRDefault="00706034" w:rsidP="003C2DA4">
            <w:pPr>
              <w:spacing w:line="288" w:lineRule="auto"/>
              <w:rPr>
                <w:color w:val="000000" w:themeColor="text1"/>
                <w:sz w:val="26"/>
                <w:szCs w:val="26"/>
              </w:rPr>
            </w:pPr>
          </w:p>
        </w:tc>
        <w:tc>
          <w:tcPr>
            <w:tcW w:w="2268" w:type="dxa"/>
          </w:tcPr>
          <w:p w:rsidR="00706034" w:rsidRPr="00706034" w:rsidRDefault="00706034" w:rsidP="003C2DA4">
            <w:pPr>
              <w:spacing w:line="288" w:lineRule="auto"/>
              <w:rPr>
                <w:color w:val="000000" w:themeColor="text1"/>
                <w:sz w:val="26"/>
                <w:szCs w:val="26"/>
              </w:rPr>
            </w:pPr>
          </w:p>
        </w:tc>
        <w:tc>
          <w:tcPr>
            <w:tcW w:w="3544" w:type="dxa"/>
          </w:tcPr>
          <w:p w:rsidR="00706034" w:rsidRPr="00706034" w:rsidRDefault="00706034" w:rsidP="00706034">
            <w:pPr>
              <w:widowControl w:val="0"/>
              <w:spacing w:before="120" w:after="120" w:line="264" w:lineRule="auto"/>
              <w:jc w:val="left"/>
              <w:rPr>
                <w:sz w:val="26"/>
                <w:szCs w:val="26"/>
              </w:rPr>
            </w:pPr>
            <w:r w:rsidRPr="00706034">
              <w:rPr>
                <w:sz w:val="26"/>
                <w:szCs w:val="26"/>
              </w:rPr>
              <w:t xml:space="preserve">Nhà thầu có cam kết hàng hóa mới 100%, hạn sử dụng tính từ thời điểm giao hàng: </w:t>
            </w:r>
          </w:p>
          <w:p w:rsidR="00706034" w:rsidRPr="00706034" w:rsidRDefault="00706034" w:rsidP="00706034">
            <w:pPr>
              <w:widowControl w:val="0"/>
              <w:spacing w:before="120" w:after="120" w:line="264" w:lineRule="auto"/>
              <w:jc w:val="left"/>
              <w:rPr>
                <w:sz w:val="26"/>
                <w:szCs w:val="26"/>
              </w:rPr>
            </w:pPr>
            <w:r w:rsidRPr="00706034">
              <w:rPr>
                <w:sz w:val="26"/>
                <w:szCs w:val="26"/>
              </w:rPr>
              <w:t>+ Tối thiểu 03 tháng đối với hàng hoá có hạn dùng từ 01 năm trở lên;</w:t>
            </w:r>
          </w:p>
          <w:p w:rsidR="00706034" w:rsidRPr="00706034" w:rsidRDefault="00706034" w:rsidP="00706034">
            <w:pPr>
              <w:widowControl w:val="0"/>
              <w:spacing w:before="120" w:after="120" w:line="264" w:lineRule="auto"/>
              <w:jc w:val="left"/>
              <w:rPr>
                <w:sz w:val="26"/>
                <w:szCs w:val="26"/>
                <w:lang w:val="nl-NL"/>
              </w:rPr>
            </w:pPr>
            <w:r w:rsidRPr="00706034">
              <w:rPr>
                <w:sz w:val="26"/>
                <w:szCs w:val="26"/>
              </w:rPr>
              <w:t>+ Tối thiểu 1/4 hạn dùng đối với hàng hoá có hạn dùng dưới 01 năm</w:t>
            </w:r>
          </w:p>
        </w:tc>
        <w:tc>
          <w:tcPr>
            <w:tcW w:w="3260" w:type="dxa"/>
          </w:tcPr>
          <w:p w:rsidR="00706034" w:rsidRPr="00706034" w:rsidRDefault="00706034" w:rsidP="00706034">
            <w:pPr>
              <w:spacing w:line="288" w:lineRule="auto"/>
              <w:jc w:val="left"/>
              <w:rPr>
                <w:color w:val="000000" w:themeColor="text1"/>
                <w:sz w:val="26"/>
                <w:szCs w:val="26"/>
                <w:lang w:val="nl-NL"/>
              </w:rPr>
            </w:pPr>
            <w:r w:rsidRPr="00706034">
              <w:rPr>
                <w:color w:val="000000" w:themeColor="text1"/>
                <w:sz w:val="26"/>
                <w:szCs w:val="26"/>
                <w:lang w:val="nl-NL"/>
              </w:rPr>
              <w:t>Nhà thầu không có cam kết</w:t>
            </w:r>
          </w:p>
        </w:tc>
      </w:tr>
      <w:tr w:rsidR="00706034" w:rsidRPr="00706034" w:rsidTr="00706034">
        <w:tc>
          <w:tcPr>
            <w:tcW w:w="710" w:type="dxa"/>
          </w:tcPr>
          <w:p w:rsidR="00706034" w:rsidRPr="00706034" w:rsidRDefault="00706034" w:rsidP="003C2DA4">
            <w:pPr>
              <w:spacing w:line="288" w:lineRule="auto"/>
              <w:rPr>
                <w:color w:val="000000" w:themeColor="text1"/>
                <w:sz w:val="26"/>
                <w:szCs w:val="26"/>
                <w:lang w:val="nl-NL"/>
              </w:rPr>
            </w:pPr>
          </w:p>
        </w:tc>
        <w:tc>
          <w:tcPr>
            <w:tcW w:w="2268" w:type="dxa"/>
          </w:tcPr>
          <w:p w:rsidR="00706034" w:rsidRPr="00706034" w:rsidRDefault="00706034" w:rsidP="003C2DA4">
            <w:pPr>
              <w:spacing w:line="288" w:lineRule="auto"/>
              <w:rPr>
                <w:color w:val="000000" w:themeColor="text1"/>
                <w:sz w:val="26"/>
                <w:szCs w:val="26"/>
                <w:lang w:val="nl-NL"/>
              </w:rPr>
            </w:pPr>
          </w:p>
        </w:tc>
        <w:tc>
          <w:tcPr>
            <w:tcW w:w="3544" w:type="dxa"/>
          </w:tcPr>
          <w:p w:rsidR="00706034" w:rsidRPr="00706034" w:rsidRDefault="00706034" w:rsidP="00706034">
            <w:pPr>
              <w:spacing w:line="288" w:lineRule="auto"/>
              <w:jc w:val="left"/>
              <w:rPr>
                <w:color w:val="000000" w:themeColor="text1"/>
                <w:sz w:val="26"/>
                <w:szCs w:val="26"/>
                <w:lang w:val="nl-NL"/>
              </w:rPr>
            </w:pPr>
            <w:r w:rsidRPr="00706034">
              <w:rPr>
                <w:color w:val="000000" w:themeColor="text1"/>
                <w:sz w:val="26"/>
                <w:szCs w:val="26"/>
                <w:lang w:val="nl-NL"/>
              </w:rPr>
              <w:t xml:space="preserve">Có đầy đủ tài liệu và đáp ứng để chứng minh tính hợp lệ của </w:t>
            </w:r>
            <w:r w:rsidRPr="00706034">
              <w:rPr>
                <w:color w:val="000000" w:themeColor="text1"/>
                <w:sz w:val="26"/>
                <w:szCs w:val="26"/>
                <w:lang w:val="nl-NL"/>
              </w:rPr>
              <w:lastRenderedPageBreak/>
              <w:t>hàng hoá theo yêu cầu tại mục 10.8 của E-C</w:t>
            </w:r>
            <w:r>
              <w:rPr>
                <w:color w:val="000000" w:themeColor="text1"/>
                <w:sz w:val="26"/>
                <w:szCs w:val="26"/>
                <w:lang w:val="nl-NL"/>
              </w:rPr>
              <w:t>DNT</w:t>
            </w:r>
            <w:r w:rsidRPr="00706034">
              <w:rPr>
                <w:color w:val="000000" w:themeColor="text1"/>
                <w:sz w:val="26"/>
                <w:szCs w:val="26"/>
                <w:lang w:val="nl-NL"/>
              </w:rPr>
              <w:t xml:space="preserve">                                                                                                                  </w:t>
            </w:r>
          </w:p>
        </w:tc>
        <w:tc>
          <w:tcPr>
            <w:tcW w:w="3260" w:type="dxa"/>
          </w:tcPr>
          <w:p w:rsidR="00706034" w:rsidRPr="00706034" w:rsidRDefault="00706034" w:rsidP="00706034">
            <w:pPr>
              <w:spacing w:line="288" w:lineRule="auto"/>
              <w:jc w:val="left"/>
              <w:rPr>
                <w:color w:val="000000" w:themeColor="text1"/>
                <w:sz w:val="26"/>
                <w:szCs w:val="26"/>
                <w:lang w:val="nl-NL"/>
              </w:rPr>
            </w:pPr>
            <w:r w:rsidRPr="00706034">
              <w:rPr>
                <w:color w:val="000000" w:themeColor="text1"/>
                <w:sz w:val="26"/>
                <w:szCs w:val="26"/>
                <w:lang w:val="nl-NL"/>
              </w:rPr>
              <w:lastRenderedPageBreak/>
              <w:t xml:space="preserve">Không có 1 trong các tài liệu chứng minh tính hợp lệ của </w:t>
            </w:r>
            <w:r w:rsidRPr="00706034">
              <w:rPr>
                <w:color w:val="000000" w:themeColor="text1"/>
                <w:sz w:val="26"/>
                <w:szCs w:val="26"/>
                <w:lang w:val="nl-NL"/>
              </w:rPr>
              <w:lastRenderedPageBreak/>
              <w:t>hàng hoá theo yêu cầu tại mục 10.8 của E-CDNT.</w:t>
            </w:r>
          </w:p>
        </w:tc>
      </w:tr>
      <w:tr w:rsidR="00706034" w:rsidRPr="00706034" w:rsidTr="00706034">
        <w:tc>
          <w:tcPr>
            <w:tcW w:w="710" w:type="dxa"/>
          </w:tcPr>
          <w:p w:rsidR="00706034" w:rsidRPr="00706034" w:rsidRDefault="00706034" w:rsidP="003C2DA4">
            <w:pPr>
              <w:spacing w:line="288" w:lineRule="auto"/>
              <w:rPr>
                <w:b/>
                <w:color w:val="000000" w:themeColor="text1"/>
                <w:sz w:val="26"/>
                <w:szCs w:val="26"/>
              </w:rPr>
            </w:pPr>
            <w:r w:rsidRPr="00706034">
              <w:rPr>
                <w:b/>
                <w:color w:val="000000" w:themeColor="text1"/>
                <w:sz w:val="26"/>
                <w:szCs w:val="26"/>
              </w:rPr>
              <w:lastRenderedPageBreak/>
              <w:t>II</w:t>
            </w:r>
          </w:p>
        </w:tc>
        <w:tc>
          <w:tcPr>
            <w:tcW w:w="2268" w:type="dxa"/>
          </w:tcPr>
          <w:p w:rsidR="00706034" w:rsidRPr="00706034" w:rsidRDefault="00706034" w:rsidP="003C2DA4">
            <w:pPr>
              <w:spacing w:line="288" w:lineRule="auto"/>
              <w:rPr>
                <w:b/>
                <w:color w:val="000000" w:themeColor="text1"/>
                <w:sz w:val="26"/>
                <w:szCs w:val="26"/>
              </w:rPr>
            </w:pPr>
            <w:r w:rsidRPr="00706034">
              <w:rPr>
                <w:b/>
                <w:color w:val="000000" w:themeColor="text1"/>
                <w:sz w:val="26"/>
                <w:szCs w:val="26"/>
              </w:rPr>
              <w:t>Kỹ thuật</w:t>
            </w:r>
          </w:p>
        </w:tc>
        <w:tc>
          <w:tcPr>
            <w:tcW w:w="3544" w:type="dxa"/>
          </w:tcPr>
          <w:p w:rsidR="00706034" w:rsidRPr="00706034" w:rsidRDefault="00706034" w:rsidP="00706034">
            <w:pPr>
              <w:spacing w:line="288" w:lineRule="auto"/>
              <w:jc w:val="left"/>
              <w:rPr>
                <w:b/>
                <w:color w:val="000000" w:themeColor="text1"/>
                <w:sz w:val="26"/>
                <w:szCs w:val="26"/>
              </w:rPr>
            </w:pPr>
          </w:p>
        </w:tc>
        <w:tc>
          <w:tcPr>
            <w:tcW w:w="3260" w:type="dxa"/>
          </w:tcPr>
          <w:p w:rsidR="00706034" w:rsidRPr="00706034" w:rsidRDefault="00706034" w:rsidP="00706034">
            <w:pPr>
              <w:spacing w:line="288" w:lineRule="auto"/>
              <w:jc w:val="left"/>
              <w:rPr>
                <w:b/>
                <w:color w:val="000000" w:themeColor="text1"/>
                <w:sz w:val="26"/>
                <w:szCs w:val="26"/>
              </w:rPr>
            </w:pPr>
          </w:p>
        </w:tc>
      </w:tr>
      <w:tr w:rsidR="00706034" w:rsidRPr="00706034" w:rsidTr="00706034">
        <w:tc>
          <w:tcPr>
            <w:tcW w:w="710" w:type="dxa"/>
          </w:tcPr>
          <w:p w:rsidR="00706034" w:rsidRPr="00706034" w:rsidRDefault="00706034" w:rsidP="003C2DA4">
            <w:pPr>
              <w:spacing w:line="288" w:lineRule="auto"/>
              <w:rPr>
                <w:color w:val="000000" w:themeColor="text1"/>
                <w:sz w:val="26"/>
                <w:szCs w:val="26"/>
              </w:rPr>
            </w:pPr>
            <w:r w:rsidRPr="00706034">
              <w:rPr>
                <w:color w:val="000000" w:themeColor="text1"/>
                <w:sz w:val="26"/>
                <w:szCs w:val="26"/>
              </w:rPr>
              <w:t>2.1</w:t>
            </w:r>
          </w:p>
        </w:tc>
        <w:tc>
          <w:tcPr>
            <w:tcW w:w="2268" w:type="dxa"/>
          </w:tcPr>
          <w:p w:rsidR="00706034" w:rsidRPr="00706034" w:rsidRDefault="00706034" w:rsidP="003C2DA4">
            <w:pPr>
              <w:spacing w:line="288" w:lineRule="auto"/>
              <w:rPr>
                <w:color w:val="000000" w:themeColor="text1"/>
                <w:sz w:val="26"/>
                <w:szCs w:val="26"/>
              </w:rPr>
            </w:pPr>
            <w:r w:rsidRPr="00706034">
              <w:rPr>
                <w:color w:val="000000" w:themeColor="text1"/>
                <w:sz w:val="26"/>
                <w:szCs w:val="26"/>
              </w:rPr>
              <w:t>Thông số kỹ thuật</w:t>
            </w:r>
          </w:p>
        </w:tc>
        <w:tc>
          <w:tcPr>
            <w:tcW w:w="3544" w:type="dxa"/>
          </w:tcPr>
          <w:p w:rsidR="00706034" w:rsidRPr="00706034" w:rsidRDefault="00706034" w:rsidP="00706034">
            <w:pPr>
              <w:numPr>
                <w:ilvl w:val="0"/>
                <w:numId w:val="1"/>
              </w:numPr>
              <w:tabs>
                <w:tab w:val="left" w:pos="279"/>
              </w:tabs>
              <w:spacing w:line="288" w:lineRule="auto"/>
              <w:ind w:left="0" w:firstLine="0"/>
              <w:jc w:val="left"/>
              <w:rPr>
                <w:color w:val="000000" w:themeColor="text1"/>
                <w:sz w:val="26"/>
                <w:szCs w:val="26"/>
              </w:rPr>
            </w:pPr>
            <w:r w:rsidRPr="00706034">
              <w:rPr>
                <w:color w:val="000000" w:themeColor="text1"/>
                <w:sz w:val="26"/>
                <w:szCs w:val="26"/>
              </w:rPr>
              <w:t xml:space="preserve">Đáp ứng tất cả các tiêu chí kỹ thuật được mô tả tại mục 1.2 điểm b, chương V- Yêu cầu về kỹ thuật của E-HSMT </w:t>
            </w:r>
          </w:p>
        </w:tc>
        <w:tc>
          <w:tcPr>
            <w:tcW w:w="3260" w:type="dxa"/>
          </w:tcPr>
          <w:p w:rsidR="00706034" w:rsidRPr="00706034" w:rsidRDefault="00706034" w:rsidP="00706034">
            <w:pPr>
              <w:numPr>
                <w:ilvl w:val="0"/>
                <w:numId w:val="1"/>
              </w:numPr>
              <w:tabs>
                <w:tab w:val="left" w:pos="234"/>
              </w:tabs>
              <w:spacing w:line="288" w:lineRule="auto"/>
              <w:ind w:left="0" w:hanging="50"/>
              <w:jc w:val="left"/>
              <w:rPr>
                <w:color w:val="000000" w:themeColor="text1"/>
                <w:sz w:val="26"/>
                <w:szCs w:val="26"/>
              </w:rPr>
            </w:pPr>
            <w:r w:rsidRPr="00706034">
              <w:rPr>
                <w:color w:val="000000" w:themeColor="text1"/>
                <w:sz w:val="26"/>
                <w:szCs w:val="26"/>
              </w:rPr>
              <w:t>Không đáp ứng 1 trong các tiêu chí kỹ thuật được mô tả tại mục 1.2 điểm b, chương V- Yêu cầu về kỹ thuật của E-HSMT</w:t>
            </w:r>
          </w:p>
        </w:tc>
      </w:tr>
      <w:tr w:rsidR="00706034" w:rsidRPr="00706034" w:rsidTr="00706034">
        <w:tc>
          <w:tcPr>
            <w:tcW w:w="710" w:type="dxa"/>
          </w:tcPr>
          <w:p w:rsidR="00706034" w:rsidRPr="00706034" w:rsidRDefault="00706034" w:rsidP="003C2DA4">
            <w:pPr>
              <w:spacing w:line="288" w:lineRule="auto"/>
              <w:rPr>
                <w:b/>
                <w:sz w:val="26"/>
                <w:szCs w:val="26"/>
              </w:rPr>
            </w:pPr>
            <w:r w:rsidRPr="00706034">
              <w:rPr>
                <w:b/>
                <w:sz w:val="26"/>
                <w:szCs w:val="26"/>
              </w:rPr>
              <w:t>III</w:t>
            </w:r>
          </w:p>
        </w:tc>
        <w:tc>
          <w:tcPr>
            <w:tcW w:w="2268" w:type="dxa"/>
          </w:tcPr>
          <w:p w:rsidR="00706034" w:rsidRPr="00706034" w:rsidRDefault="00706034" w:rsidP="003C2DA4">
            <w:pPr>
              <w:spacing w:line="288" w:lineRule="auto"/>
              <w:rPr>
                <w:b/>
                <w:sz w:val="26"/>
                <w:szCs w:val="26"/>
              </w:rPr>
            </w:pPr>
            <w:r w:rsidRPr="00706034">
              <w:rPr>
                <w:b/>
                <w:sz w:val="26"/>
                <w:szCs w:val="26"/>
              </w:rPr>
              <w:t>Uy tín của nhà thầu</w:t>
            </w:r>
          </w:p>
          <w:p w:rsidR="00706034" w:rsidRPr="00706034" w:rsidRDefault="00706034" w:rsidP="003C2DA4">
            <w:pPr>
              <w:spacing w:line="288" w:lineRule="auto"/>
              <w:rPr>
                <w:sz w:val="26"/>
                <w:szCs w:val="26"/>
              </w:rPr>
            </w:pPr>
            <w:r w:rsidRPr="00706034">
              <w:rPr>
                <w:sz w:val="26"/>
                <w:szCs w:val="26"/>
              </w:rPr>
              <w:t>(Kiểm tra theo thông tin được đăng tải công khai trên hệ thống mạng đấu thầu quốc gia của Bộ Tài chính)</w:t>
            </w:r>
          </w:p>
        </w:tc>
        <w:tc>
          <w:tcPr>
            <w:tcW w:w="3544" w:type="dxa"/>
          </w:tcPr>
          <w:p w:rsidR="00706034" w:rsidRPr="00706034" w:rsidRDefault="00706034" w:rsidP="00706034">
            <w:pPr>
              <w:tabs>
                <w:tab w:val="left" w:pos="279"/>
              </w:tabs>
              <w:spacing w:line="288" w:lineRule="auto"/>
              <w:jc w:val="left"/>
              <w:rPr>
                <w:sz w:val="26"/>
                <w:szCs w:val="26"/>
              </w:rPr>
            </w:pPr>
            <w:r w:rsidRPr="00706034">
              <w:rPr>
                <w:sz w:val="26"/>
                <w:szCs w:val="26"/>
              </w:rPr>
              <w:t>- Nhà thầu chưa từng bị bất kỳ một đơn vị nào cấm đấu thầu trong thời gian từ ngày 01/01/2023 tính đến thời điểm đóng thầu</w:t>
            </w:r>
          </w:p>
        </w:tc>
        <w:tc>
          <w:tcPr>
            <w:tcW w:w="3260" w:type="dxa"/>
          </w:tcPr>
          <w:p w:rsidR="00706034" w:rsidRPr="00706034" w:rsidRDefault="00706034" w:rsidP="00706034">
            <w:pPr>
              <w:tabs>
                <w:tab w:val="left" w:pos="234"/>
              </w:tabs>
              <w:spacing w:line="288" w:lineRule="auto"/>
              <w:jc w:val="left"/>
              <w:rPr>
                <w:sz w:val="26"/>
                <w:szCs w:val="26"/>
              </w:rPr>
            </w:pPr>
            <w:r w:rsidRPr="00706034">
              <w:rPr>
                <w:sz w:val="26"/>
                <w:szCs w:val="26"/>
              </w:rPr>
              <w:t>- Không đáp ứng yêu cầu</w:t>
            </w:r>
          </w:p>
        </w:tc>
      </w:tr>
      <w:tr w:rsidR="00706034" w:rsidRPr="00706034" w:rsidTr="00706034">
        <w:tc>
          <w:tcPr>
            <w:tcW w:w="9782" w:type="dxa"/>
            <w:gridSpan w:val="4"/>
          </w:tcPr>
          <w:p w:rsidR="00706034" w:rsidRPr="00706034" w:rsidRDefault="00706034" w:rsidP="003C2DA4">
            <w:pPr>
              <w:tabs>
                <w:tab w:val="left" w:pos="234"/>
              </w:tabs>
              <w:spacing w:line="288" w:lineRule="auto"/>
              <w:jc w:val="center"/>
              <w:rPr>
                <w:sz w:val="26"/>
                <w:szCs w:val="26"/>
              </w:rPr>
            </w:pPr>
            <w:r w:rsidRPr="00706034">
              <w:rPr>
                <w:sz w:val="26"/>
                <w:szCs w:val="26"/>
              </w:rPr>
              <w:t>Kết luận: “</w:t>
            </w:r>
            <w:r w:rsidRPr="00706034">
              <w:rPr>
                <w:b/>
                <w:sz w:val="26"/>
                <w:szCs w:val="26"/>
              </w:rPr>
              <w:t>Đạt</w:t>
            </w:r>
            <w:r w:rsidRPr="00706034">
              <w:rPr>
                <w:sz w:val="26"/>
                <w:szCs w:val="26"/>
              </w:rPr>
              <w:t>” khi đáp ứng tất cả nội dung trên, “</w:t>
            </w:r>
            <w:r w:rsidRPr="00706034">
              <w:rPr>
                <w:b/>
                <w:sz w:val="26"/>
                <w:szCs w:val="26"/>
              </w:rPr>
              <w:t>Không đạt</w:t>
            </w:r>
            <w:r w:rsidRPr="00706034">
              <w:rPr>
                <w:sz w:val="26"/>
                <w:szCs w:val="26"/>
              </w:rPr>
              <w:t>” khi không đáp ứng một trong các nội dung nêu trên</w:t>
            </w:r>
          </w:p>
        </w:tc>
      </w:tr>
    </w:tbl>
    <w:p w:rsidR="00706034" w:rsidRPr="00706034" w:rsidRDefault="00706034" w:rsidP="00706034">
      <w:pPr>
        <w:pStyle w:val="TOC1"/>
        <w:spacing w:before="120" w:after="120" w:line="264" w:lineRule="auto"/>
        <w:ind w:firstLine="720"/>
        <w:rPr>
          <w:rFonts w:ascii="Times New Roman" w:hAnsi="Times New Roman" w:cs="Times New Roman"/>
          <w:lang w:val="vi-VN"/>
        </w:rPr>
      </w:pPr>
      <w:r w:rsidRPr="00706034">
        <w:rPr>
          <w:rFonts w:ascii="Times New Roman" w:hAnsi="Times New Roman" w:cs="Times New Roman"/>
          <w:i/>
          <w:u w:val="single"/>
        </w:rPr>
        <w:t>Ghi chú</w:t>
      </w:r>
      <w:r w:rsidRPr="00706034">
        <w:rPr>
          <w:rFonts w:ascii="Times New Roman" w:hAnsi="Times New Roman" w:cs="Times New Roman"/>
          <w:i/>
        </w:rPr>
        <w:t>:</w:t>
      </w:r>
      <w:r w:rsidRPr="00706034">
        <w:rPr>
          <w:rFonts w:ascii="Times New Roman" w:hAnsi="Times New Roman" w:cs="Times New Roman"/>
          <w:b w:val="0"/>
          <w:bCs w:val="0"/>
          <w:i/>
        </w:rPr>
        <w:t xml:space="preserve"> Đối với các nội dung yêu cầu về cam kết tại bảng yêu cầu kỹ thuật, nếu trong E-HSDT nhà thầu nộp, không có hoặc không nhắc đến nội dung cam kết trên, trong quá trình đánh giá tổ chuyên gia sẽ yêu cầu nhà thầu làm rõ. Trường hợp sau khi có yêu cầu làm rõ, nhà thầu vẫn không cam kết hoặc cam kết không đúng nội dung đã yêu cầu tại E-HSMT, thì nhà thầu sẽ được đánh giá là “Không đạt” ở các tiêu chí trên.</w:t>
      </w:r>
      <w:r w:rsidRPr="00706034">
        <w:rPr>
          <w:rFonts w:ascii="Times New Roman" w:hAnsi="Times New Roman" w:cs="Times New Roman"/>
          <w:lang w:val="es-ES"/>
        </w:rPr>
        <w:t xml:space="preserve"> </w:t>
      </w:r>
    </w:p>
    <w:p w:rsidR="005355FE" w:rsidRPr="00706034" w:rsidRDefault="005355FE"/>
    <w:sectPr w:rsidR="005355FE" w:rsidRPr="007060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73E26"/>
    <w:multiLevelType w:val="hybridMultilevel"/>
    <w:tmpl w:val="F0488C70"/>
    <w:lvl w:ilvl="0" w:tplc="FB1C05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034"/>
    <w:rsid w:val="005355FE"/>
    <w:rsid w:val="0070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27F40-905F-4DD0-AE6D-613CE760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03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0603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2026-06-24T07:34:00Z</dcterms:created>
  <dcterms:modified xsi:type="dcterms:W3CDTF">2026-06-24T07:35:00Z</dcterms:modified>
</cp:coreProperties>
</file>