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C01" w:rsidRPr="00F11555" w:rsidRDefault="002E6C01" w:rsidP="002E6C01">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rsidR="002E6C01" w:rsidRPr="00F11555" w:rsidRDefault="002E6C01" w:rsidP="002E6C01">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rsidR="002E6C01" w:rsidRPr="00F11555" w:rsidRDefault="002E6C01" w:rsidP="002E6C01">
      <w:pPr>
        <w:spacing w:before="60" w:after="60"/>
        <w:ind w:firstLine="720"/>
        <w:rPr>
          <w:bCs/>
          <w:i/>
          <w:iCs/>
          <w:sz w:val="28"/>
          <w:szCs w:val="28"/>
          <w:lang w:val="it-IT"/>
        </w:rPr>
      </w:pPr>
    </w:p>
    <w:p w:rsidR="002E6C01" w:rsidRPr="00F11555" w:rsidRDefault="002E6C01" w:rsidP="002E6C01">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2E6C01" w:rsidRPr="005D1639" w:rsidRDefault="002E6C01" w:rsidP="005D1F30">
      <w:pPr>
        <w:spacing w:before="60" w:after="60"/>
        <w:ind w:firstLine="284"/>
        <w:rPr>
          <w:b/>
          <w:bCs/>
          <w:sz w:val="26"/>
          <w:szCs w:val="26"/>
          <w:lang w:val="it-IT"/>
        </w:rPr>
      </w:pPr>
      <w:bookmarkStart w:id="2" w:name="_GoBack"/>
      <w:r w:rsidRPr="005D1639">
        <w:rPr>
          <w:b/>
          <w:sz w:val="26"/>
          <w:szCs w:val="26"/>
          <w:lang w:val="it-IT"/>
        </w:rPr>
        <w:t>I. Giới thiệu</w:t>
      </w:r>
      <w:r w:rsidR="00A96012" w:rsidRPr="005D1639">
        <w:rPr>
          <w:b/>
          <w:sz w:val="26"/>
          <w:szCs w:val="26"/>
          <w:lang w:val="it-IT"/>
        </w:rPr>
        <w:t xml:space="preserve"> khái quát về dự án và gói thầu</w:t>
      </w:r>
      <w:r w:rsidRPr="005D1639">
        <w:rPr>
          <w:b/>
          <w:sz w:val="26"/>
          <w:szCs w:val="26"/>
          <w:lang w:val="it-IT"/>
        </w:rPr>
        <w:t>:</w:t>
      </w:r>
    </w:p>
    <w:p w:rsidR="00A96012" w:rsidRPr="005D1639" w:rsidRDefault="00A96012" w:rsidP="00A96012">
      <w:pPr>
        <w:spacing w:before="60" w:after="60"/>
        <w:ind w:left="426"/>
        <w:rPr>
          <w:bCs/>
          <w:sz w:val="26"/>
          <w:szCs w:val="26"/>
          <w:lang w:val="it-IT"/>
        </w:rPr>
      </w:pPr>
      <w:r w:rsidRPr="005D1639">
        <w:rPr>
          <w:b/>
          <w:bCs/>
          <w:sz w:val="26"/>
          <w:szCs w:val="26"/>
          <w:lang w:val="it-IT"/>
        </w:rPr>
        <w:t xml:space="preserve">a/ </w:t>
      </w:r>
      <w:r w:rsidRPr="005D1639">
        <w:rPr>
          <w:b/>
          <w:i/>
          <w:sz w:val="26"/>
          <w:szCs w:val="26"/>
          <w:lang w:val="it-IT"/>
        </w:rPr>
        <w:t>Giới thiệu về dự án</w:t>
      </w:r>
    </w:p>
    <w:p w:rsidR="00A96012" w:rsidRPr="005D1639" w:rsidRDefault="002E6C01" w:rsidP="00A96012">
      <w:pPr>
        <w:pStyle w:val="ListParagraph"/>
        <w:numPr>
          <w:ilvl w:val="0"/>
          <w:numId w:val="5"/>
        </w:numPr>
        <w:spacing w:before="60" w:after="60" w:line="276" w:lineRule="auto"/>
        <w:ind w:left="851" w:hanging="284"/>
        <w:rPr>
          <w:sz w:val="26"/>
          <w:szCs w:val="26"/>
          <w:lang w:val="it-IT"/>
        </w:rPr>
      </w:pPr>
      <w:r w:rsidRPr="005D1639">
        <w:rPr>
          <w:sz w:val="26"/>
          <w:szCs w:val="26"/>
          <w:lang w:val="it-IT"/>
        </w:rPr>
        <w:t>Tên dự án: Trạm biến áp 500kV Thốt Nốt.</w:t>
      </w:r>
    </w:p>
    <w:p w:rsidR="00A96012" w:rsidRPr="005D1639" w:rsidRDefault="002E6C01" w:rsidP="00A96012">
      <w:pPr>
        <w:pStyle w:val="ListParagraph"/>
        <w:numPr>
          <w:ilvl w:val="0"/>
          <w:numId w:val="5"/>
        </w:numPr>
        <w:spacing w:before="60" w:after="60" w:line="276" w:lineRule="auto"/>
        <w:ind w:left="851" w:hanging="284"/>
        <w:rPr>
          <w:sz w:val="26"/>
          <w:szCs w:val="26"/>
          <w:lang w:val="it-IT"/>
        </w:rPr>
      </w:pPr>
      <w:r w:rsidRPr="005D1639">
        <w:rPr>
          <w:sz w:val="26"/>
          <w:szCs w:val="26"/>
          <w:lang w:val="it-IT"/>
        </w:rPr>
        <w:t>Chủ đầu tư: Tổng công ty Truyền tải điện Quốc gia (EVNNPT).</w:t>
      </w:r>
    </w:p>
    <w:p w:rsidR="00A96012" w:rsidRPr="005D1639" w:rsidRDefault="002E6C01" w:rsidP="00A96012">
      <w:pPr>
        <w:pStyle w:val="ListParagraph"/>
        <w:numPr>
          <w:ilvl w:val="0"/>
          <w:numId w:val="5"/>
        </w:numPr>
        <w:spacing w:before="60" w:after="60" w:line="276" w:lineRule="auto"/>
        <w:ind w:left="851" w:hanging="284"/>
        <w:rPr>
          <w:sz w:val="26"/>
          <w:szCs w:val="26"/>
          <w:lang w:val="it-IT"/>
        </w:rPr>
      </w:pPr>
      <w:r w:rsidRPr="005D1639">
        <w:rPr>
          <w:sz w:val="26"/>
          <w:szCs w:val="26"/>
          <w:lang w:val="it-IT"/>
        </w:rPr>
        <w:t>Quản lý thực hiện dự án: Ban Quản lý dự án các công trình điện miền Nam (SPMB).</w:t>
      </w:r>
    </w:p>
    <w:p w:rsidR="002E6C01" w:rsidRPr="005D1639" w:rsidRDefault="002E6C01" w:rsidP="00A96012">
      <w:pPr>
        <w:pStyle w:val="ListParagraph"/>
        <w:numPr>
          <w:ilvl w:val="0"/>
          <w:numId w:val="5"/>
        </w:numPr>
        <w:spacing w:before="60" w:after="60" w:line="276" w:lineRule="auto"/>
        <w:ind w:left="851" w:hanging="284"/>
        <w:rPr>
          <w:sz w:val="26"/>
          <w:szCs w:val="26"/>
          <w:lang w:val="it-IT"/>
        </w:rPr>
      </w:pPr>
      <w:r w:rsidRPr="005D1639">
        <w:rPr>
          <w:sz w:val="26"/>
          <w:szCs w:val="26"/>
          <w:lang w:val="it-IT"/>
        </w:rPr>
        <w:t>Mục tiêu đầu tư xây dựng:</w:t>
      </w:r>
    </w:p>
    <w:p w:rsidR="002E6C01" w:rsidRPr="005D1639" w:rsidRDefault="002E6C01" w:rsidP="005D1F30">
      <w:pPr>
        <w:numPr>
          <w:ilvl w:val="2"/>
          <w:numId w:val="3"/>
        </w:numPr>
        <w:tabs>
          <w:tab w:val="clear" w:pos="4095"/>
          <w:tab w:val="num" w:pos="1276"/>
        </w:tabs>
        <w:spacing w:before="60" w:after="60"/>
        <w:ind w:left="0" w:firstLine="993"/>
        <w:rPr>
          <w:bCs/>
          <w:iCs/>
          <w:sz w:val="26"/>
          <w:szCs w:val="26"/>
          <w:lang w:val="vi-VN"/>
        </w:rPr>
      </w:pPr>
      <w:r w:rsidRPr="005D1639">
        <w:rPr>
          <w:sz w:val="26"/>
          <w:szCs w:val="26"/>
          <w:lang w:val="it-IT"/>
        </w:rPr>
        <w:t xml:space="preserve">Đảm bảo </w:t>
      </w:r>
      <w:r w:rsidRPr="005D1639">
        <w:rPr>
          <w:bCs/>
          <w:iCs/>
          <w:sz w:val="26"/>
          <w:szCs w:val="26"/>
          <w:lang w:val="vi-VN"/>
        </w:rPr>
        <w:t>cung cấp điện cho phụ tải, đáp ứng nhu cầu phát triển kinh tế, xã hội của các tỉnh miền Tây Nam Bộ.</w:t>
      </w:r>
    </w:p>
    <w:p w:rsidR="002E6C01" w:rsidRPr="005D1639" w:rsidRDefault="002E6C01" w:rsidP="005D1F30">
      <w:pPr>
        <w:numPr>
          <w:ilvl w:val="2"/>
          <w:numId w:val="3"/>
        </w:numPr>
        <w:tabs>
          <w:tab w:val="clear" w:pos="4095"/>
          <w:tab w:val="num" w:pos="1276"/>
        </w:tabs>
        <w:spacing w:before="60" w:after="60"/>
        <w:ind w:left="0" w:firstLine="993"/>
        <w:rPr>
          <w:bCs/>
          <w:iCs/>
          <w:sz w:val="26"/>
          <w:szCs w:val="26"/>
          <w:lang w:val="vi-VN"/>
        </w:rPr>
      </w:pPr>
      <w:r w:rsidRPr="005D1639">
        <w:rPr>
          <w:bCs/>
          <w:iCs/>
          <w:sz w:val="26"/>
          <w:szCs w:val="26"/>
          <w:lang w:val="vi-VN"/>
        </w:rPr>
        <w:t>Giảm tải cho các máy biến áp (MBA) 500/220kV tại trạm biến áp (TBA) 500kV Ô Môn và các đường dâu 220kV hiện hữu trong khu vực.</w:t>
      </w:r>
    </w:p>
    <w:p w:rsidR="002E6C01" w:rsidRPr="005D1639" w:rsidRDefault="002E6C01" w:rsidP="005D1F30">
      <w:pPr>
        <w:numPr>
          <w:ilvl w:val="2"/>
          <w:numId w:val="3"/>
        </w:numPr>
        <w:tabs>
          <w:tab w:val="clear" w:pos="4095"/>
          <w:tab w:val="num" w:pos="1276"/>
        </w:tabs>
        <w:spacing w:before="60" w:after="60"/>
        <w:ind w:left="0" w:firstLine="993"/>
        <w:rPr>
          <w:bCs/>
          <w:iCs/>
          <w:sz w:val="26"/>
          <w:szCs w:val="26"/>
          <w:lang w:val="vi-VN"/>
        </w:rPr>
      </w:pPr>
      <w:r w:rsidRPr="005D1639">
        <w:rPr>
          <w:bCs/>
          <w:iCs/>
          <w:sz w:val="26"/>
          <w:szCs w:val="26"/>
          <w:lang w:val="vi-VN"/>
        </w:rPr>
        <w:t xml:space="preserve">Giải tỏa công suất các nhà máy nhiệt điện và các nhà máy sử dụng năng lượng tái tạo trong khu vực. </w:t>
      </w:r>
    </w:p>
    <w:p w:rsidR="002E6C01" w:rsidRPr="005D1639" w:rsidRDefault="002E6C01" w:rsidP="005D1F30">
      <w:pPr>
        <w:numPr>
          <w:ilvl w:val="2"/>
          <w:numId w:val="3"/>
        </w:numPr>
        <w:tabs>
          <w:tab w:val="clear" w:pos="4095"/>
          <w:tab w:val="num" w:pos="1276"/>
        </w:tabs>
        <w:spacing w:before="60" w:after="60"/>
        <w:ind w:left="0" w:firstLine="993"/>
        <w:rPr>
          <w:bCs/>
          <w:iCs/>
          <w:sz w:val="26"/>
          <w:szCs w:val="26"/>
          <w:lang w:val="vi-VN"/>
        </w:rPr>
      </w:pPr>
      <w:r w:rsidRPr="005D1639">
        <w:rPr>
          <w:bCs/>
          <w:iCs/>
          <w:sz w:val="26"/>
          <w:szCs w:val="26"/>
          <w:lang w:val="vi-VN"/>
        </w:rPr>
        <w:t>Góp phần đảm bảo tiêu chí N-1, tăng cường ổn định hệ thống điện, nâng cao độ tin cậy, an toàn cung cấp điện cho hệ thống điện Quốc gia.</w:t>
      </w:r>
    </w:p>
    <w:p w:rsidR="002E6C01" w:rsidRPr="005D1639" w:rsidRDefault="002E6C01" w:rsidP="005D1F30">
      <w:pPr>
        <w:numPr>
          <w:ilvl w:val="2"/>
          <w:numId w:val="3"/>
        </w:numPr>
        <w:tabs>
          <w:tab w:val="clear" w:pos="4095"/>
          <w:tab w:val="num" w:pos="1276"/>
        </w:tabs>
        <w:spacing w:before="60" w:after="60"/>
        <w:ind w:left="0" w:firstLine="993"/>
        <w:rPr>
          <w:sz w:val="26"/>
          <w:szCs w:val="26"/>
          <w:lang w:val="it-IT"/>
        </w:rPr>
      </w:pPr>
      <w:r w:rsidRPr="005D1639">
        <w:rPr>
          <w:bCs/>
          <w:iCs/>
          <w:sz w:val="26"/>
          <w:szCs w:val="26"/>
          <w:lang w:val="vi-VN"/>
        </w:rPr>
        <w:t>Phù hợp với Quy</w:t>
      </w:r>
      <w:r w:rsidRPr="005D1639">
        <w:rPr>
          <w:sz w:val="26"/>
          <w:szCs w:val="26"/>
          <w:lang w:val="it-IT"/>
        </w:rPr>
        <w:t xml:space="preserve"> hoạch điện VII điều chỉnh.</w:t>
      </w:r>
    </w:p>
    <w:p w:rsidR="002E6C01" w:rsidRPr="005D1639" w:rsidRDefault="002E6C01" w:rsidP="00A96012">
      <w:pPr>
        <w:pStyle w:val="ListParagraph"/>
        <w:numPr>
          <w:ilvl w:val="0"/>
          <w:numId w:val="5"/>
        </w:numPr>
        <w:spacing w:before="60" w:after="60"/>
        <w:ind w:left="851" w:hanging="284"/>
        <w:rPr>
          <w:sz w:val="26"/>
          <w:szCs w:val="26"/>
          <w:lang w:val="it-IT"/>
        </w:rPr>
      </w:pPr>
      <w:r w:rsidRPr="005D1639">
        <w:rPr>
          <w:sz w:val="26"/>
          <w:szCs w:val="26"/>
          <w:lang w:val="it-IT"/>
        </w:rPr>
        <w:t xml:space="preserve">Quy mô đầu tư xây dựng: </w:t>
      </w:r>
    </w:p>
    <w:p w:rsidR="002E6C01" w:rsidRPr="005D1639" w:rsidRDefault="002E6C01" w:rsidP="00A96012">
      <w:pPr>
        <w:spacing w:before="60" w:after="60"/>
        <w:ind w:left="720" w:firstLine="131"/>
        <w:rPr>
          <w:sz w:val="26"/>
          <w:szCs w:val="26"/>
          <w:lang w:val="it-IT"/>
        </w:rPr>
      </w:pPr>
      <w:r w:rsidRPr="005D1639">
        <w:rPr>
          <w:sz w:val="26"/>
          <w:szCs w:val="26"/>
          <w:lang w:val="it-IT"/>
        </w:rPr>
        <w:t>Xây dựng mới trạm biến áp 500/220/35kV:</w:t>
      </w:r>
    </w:p>
    <w:p w:rsidR="002E6C01" w:rsidRPr="005D1639" w:rsidRDefault="00596EA3" w:rsidP="00596EA3">
      <w:pPr>
        <w:tabs>
          <w:tab w:val="left" w:pos="993"/>
        </w:tabs>
        <w:spacing w:before="60" w:after="60"/>
        <w:ind w:firstLine="851"/>
        <w:rPr>
          <w:sz w:val="26"/>
          <w:szCs w:val="26"/>
          <w:lang w:val="it-IT"/>
        </w:rPr>
      </w:pPr>
      <w:r w:rsidRPr="005D1639">
        <w:rPr>
          <w:sz w:val="26"/>
          <w:szCs w:val="26"/>
          <w:lang w:val="it-IT"/>
        </w:rPr>
        <w:t xml:space="preserve">+ </w:t>
      </w:r>
      <w:r w:rsidR="002E6C01" w:rsidRPr="005D1639">
        <w:rPr>
          <w:sz w:val="26"/>
          <w:szCs w:val="26"/>
          <w:lang w:val="it-IT"/>
        </w:rPr>
        <w:t>MBA 500/220/35kV: quy mô 02 MBA 900MVA; giai đoạn này lắp đặt 01 MBA 900MVA (AT1 được đấu nối tổ hợp từ 03 MBA 01 pha, công suất 300MVA); dự phòng vị trí cho MBA 500kV thứ 2 (AT2).</w:t>
      </w:r>
    </w:p>
    <w:p w:rsidR="00596EA3" w:rsidRPr="005D1639" w:rsidRDefault="00596EA3" w:rsidP="00596EA3">
      <w:pPr>
        <w:spacing w:before="60" w:after="60"/>
        <w:ind w:firstLine="851"/>
        <w:rPr>
          <w:sz w:val="26"/>
          <w:szCs w:val="26"/>
          <w:lang w:val="it-IT"/>
        </w:rPr>
      </w:pPr>
      <w:r w:rsidRPr="005D1639">
        <w:rPr>
          <w:sz w:val="26"/>
          <w:szCs w:val="26"/>
          <w:lang w:val="it-IT"/>
        </w:rPr>
        <w:t xml:space="preserve">+ </w:t>
      </w:r>
      <w:r w:rsidR="002E6C01" w:rsidRPr="005D1639">
        <w:rPr>
          <w:sz w:val="26"/>
          <w:szCs w:val="26"/>
          <w:lang w:val="it-IT"/>
        </w:rPr>
        <w:t>Phía 500kV: quy mô 08 xuất tuyến được bố trí vào 04 module; giai đoạn này lắp đặt thiết bị cho 03 xuất tuyến; dự phòng 05 xuất tuyến.</w:t>
      </w:r>
    </w:p>
    <w:p w:rsidR="00596EA3" w:rsidRPr="005D1639" w:rsidRDefault="00596EA3" w:rsidP="00596EA3">
      <w:pPr>
        <w:spacing w:before="60" w:after="60"/>
        <w:ind w:firstLine="851"/>
        <w:rPr>
          <w:sz w:val="26"/>
          <w:szCs w:val="26"/>
          <w:lang w:val="it-IT"/>
        </w:rPr>
      </w:pPr>
      <w:r w:rsidRPr="005D1639">
        <w:rPr>
          <w:sz w:val="26"/>
          <w:szCs w:val="26"/>
          <w:lang w:val="it-IT"/>
        </w:rPr>
        <w:t xml:space="preserve">+ </w:t>
      </w:r>
      <w:r w:rsidR="002E6C01" w:rsidRPr="005D1639">
        <w:rPr>
          <w:sz w:val="26"/>
          <w:szCs w:val="26"/>
          <w:lang w:val="it-IT"/>
        </w:rPr>
        <w:t>Phía 220kV: mở rộng và kéo dài thanh cái cho 04 ngăn lộ tại TBA 220kV Thốt Nốt hiện hữu; giai đoạn này lắp đặt thiết bị cho 03 ngăn lộ và dự phòng vị trí cho 01 ngăn lộ.</w:t>
      </w:r>
    </w:p>
    <w:p w:rsidR="00596EA3" w:rsidRPr="005D1639" w:rsidRDefault="00596EA3" w:rsidP="00596EA3">
      <w:pPr>
        <w:spacing w:before="60" w:after="60"/>
        <w:ind w:firstLine="851"/>
        <w:rPr>
          <w:sz w:val="26"/>
          <w:szCs w:val="26"/>
          <w:lang w:val="it-IT"/>
        </w:rPr>
      </w:pPr>
      <w:r w:rsidRPr="005D1639">
        <w:rPr>
          <w:sz w:val="26"/>
          <w:szCs w:val="26"/>
          <w:lang w:val="it-IT"/>
        </w:rPr>
        <w:t xml:space="preserve">+ </w:t>
      </w:r>
      <w:r w:rsidR="002E6C01" w:rsidRPr="005D1639">
        <w:rPr>
          <w:sz w:val="26"/>
          <w:szCs w:val="26"/>
          <w:lang w:val="it-IT"/>
        </w:rPr>
        <w:t>Phía 35 kV: thiết bị ngoài trời, đấu nối tổ hợp các MBA 01 pha của ATI.</w:t>
      </w:r>
    </w:p>
    <w:p w:rsidR="002E6C01" w:rsidRPr="005D1639" w:rsidRDefault="00596EA3" w:rsidP="00596EA3">
      <w:pPr>
        <w:spacing w:before="60" w:after="60"/>
        <w:ind w:firstLine="851"/>
        <w:rPr>
          <w:sz w:val="26"/>
          <w:szCs w:val="26"/>
          <w:lang w:val="it-IT"/>
        </w:rPr>
      </w:pPr>
      <w:r w:rsidRPr="005D1639">
        <w:rPr>
          <w:sz w:val="26"/>
          <w:szCs w:val="26"/>
          <w:lang w:val="it-IT"/>
        </w:rPr>
        <w:t xml:space="preserve">+ </w:t>
      </w:r>
      <w:r w:rsidR="002E6C01" w:rsidRPr="005D1639">
        <w:rPr>
          <w:sz w:val="26"/>
          <w:szCs w:val="26"/>
          <w:lang w:val="it-IT"/>
        </w:rPr>
        <w:t>Hệ thống điều khiển, bảo vệ và đo lường: được trang bị phù hợp với quy mô dự án và phù hợp quy định của EVN, EVNNPT, tuân thủ quy phạm và các quy định hiện hành.</w:t>
      </w:r>
    </w:p>
    <w:p w:rsidR="002E6C01" w:rsidRPr="005D1639" w:rsidRDefault="002E6C01" w:rsidP="00596EA3">
      <w:pPr>
        <w:spacing w:before="60" w:after="60"/>
        <w:ind w:firstLine="851"/>
        <w:rPr>
          <w:sz w:val="26"/>
          <w:szCs w:val="26"/>
          <w:lang w:val="it-IT"/>
        </w:rPr>
      </w:pPr>
      <w:r w:rsidRPr="005D1639">
        <w:rPr>
          <w:sz w:val="26"/>
          <w:szCs w:val="26"/>
          <w:lang w:val="it-IT"/>
        </w:rPr>
        <w:t>Sau khi hoàn thiện công tác xây dựng, TBA 500kV Thốt Nốt được ghép nối thanh cái 220kV của TBA 220/110kV Thốt Nốt hiện hữ thành TBA 500/220/110kV Thốt Nốt.</w:t>
      </w:r>
    </w:p>
    <w:bookmarkEnd w:id="2"/>
    <w:p w:rsidR="002E6C01" w:rsidRPr="004A259A" w:rsidRDefault="002E6C01" w:rsidP="00A96012">
      <w:pPr>
        <w:pStyle w:val="ListParagraph"/>
        <w:numPr>
          <w:ilvl w:val="0"/>
          <w:numId w:val="5"/>
        </w:numPr>
        <w:tabs>
          <w:tab w:val="left" w:pos="851"/>
        </w:tabs>
        <w:spacing w:before="60" w:after="60"/>
        <w:ind w:left="0" w:firstLine="567"/>
        <w:contextualSpacing w:val="0"/>
        <w:rPr>
          <w:sz w:val="26"/>
          <w:szCs w:val="26"/>
          <w:lang w:val="it-IT"/>
        </w:rPr>
      </w:pPr>
      <w:r w:rsidRPr="004A259A">
        <w:rPr>
          <w:sz w:val="26"/>
          <w:szCs w:val="26"/>
          <w:lang w:val="it-IT"/>
        </w:rPr>
        <w:t>Địa điểm xây dựng</w:t>
      </w:r>
      <w:r w:rsidR="00A96012" w:rsidRPr="004A259A">
        <w:rPr>
          <w:sz w:val="26"/>
          <w:szCs w:val="26"/>
          <w:lang w:val="it-IT"/>
        </w:rPr>
        <w:t>:</w:t>
      </w:r>
      <w:r w:rsidRPr="004A259A">
        <w:rPr>
          <w:sz w:val="26"/>
          <w:szCs w:val="26"/>
          <w:lang w:val="it-IT"/>
        </w:rPr>
        <w:t xml:space="preserve"> TBA 500kV Thốt Nốt được đặt cạnh TBA 220kV Thốt Nốt hiện hữu thuộc địa phận phường Trung Kiên, quận Thốt Nốt, TP. Cần Thơ.</w:t>
      </w:r>
    </w:p>
    <w:p w:rsidR="002E6C01" w:rsidRPr="004A259A" w:rsidRDefault="002E6C01" w:rsidP="00A96012">
      <w:pPr>
        <w:pStyle w:val="ListParagraph"/>
        <w:numPr>
          <w:ilvl w:val="0"/>
          <w:numId w:val="5"/>
        </w:numPr>
        <w:tabs>
          <w:tab w:val="left" w:pos="851"/>
        </w:tabs>
        <w:spacing w:before="60" w:after="60"/>
        <w:ind w:left="0" w:firstLine="567"/>
        <w:contextualSpacing w:val="0"/>
        <w:rPr>
          <w:color w:val="000000" w:themeColor="text1"/>
          <w:sz w:val="26"/>
          <w:szCs w:val="26"/>
          <w:lang w:val="it-IT"/>
        </w:rPr>
      </w:pPr>
      <w:r w:rsidRPr="004A259A">
        <w:rPr>
          <w:color w:val="000000" w:themeColor="text1"/>
          <w:sz w:val="26"/>
          <w:szCs w:val="26"/>
          <w:lang w:val="it-IT"/>
        </w:rPr>
        <w:t>Loại và cấp công trình: Công trình năng lượng cấp đặc biệt, nhóm B.</w:t>
      </w:r>
    </w:p>
    <w:p w:rsidR="002E6C01" w:rsidRPr="004A259A" w:rsidRDefault="002E6C01" w:rsidP="00A96012">
      <w:pPr>
        <w:pStyle w:val="ListParagraph"/>
        <w:numPr>
          <w:ilvl w:val="0"/>
          <w:numId w:val="5"/>
        </w:numPr>
        <w:tabs>
          <w:tab w:val="left" w:pos="851"/>
        </w:tabs>
        <w:spacing w:before="60" w:after="60"/>
        <w:ind w:left="0" w:firstLine="567"/>
        <w:contextualSpacing w:val="0"/>
        <w:rPr>
          <w:color w:val="000000" w:themeColor="text1"/>
          <w:sz w:val="26"/>
          <w:szCs w:val="26"/>
          <w:lang w:val="it-IT"/>
        </w:rPr>
      </w:pPr>
      <w:r w:rsidRPr="004A259A">
        <w:rPr>
          <w:color w:val="000000" w:themeColor="text1"/>
          <w:sz w:val="26"/>
          <w:szCs w:val="26"/>
          <w:lang w:val="it-IT"/>
        </w:rPr>
        <w:lastRenderedPageBreak/>
        <w:t xml:space="preserve">Tổng mức đầu tư dự án: </w:t>
      </w:r>
      <w:r w:rsidR="00A96012" w:rsidRPr="004A259A">
        <w:rPr>
          <w:sz w:val="26"/>
          <w:szCs w:val="26"/>
          <w:lang w:val="it-IT"/>
        </w:rPr>
        <w:t>764.666.000.000</w:t>
      </w:r>
      <w:r w:rsidRPr="004A259A">
        <w:rPr>
          <w:sz w:val="26"/>
          <w:szCs w:val="26"/>
          <w:lang w:val="it-IT"/>
        </w:rPr>
        <w:t xml:space="preserve"> đồng (</w:t>
      </w:r>
      <w:r w:rsidR="00A96012" w:rsidRPr="004A259A">
        <w:rPr>
          <w:iCs/>
          <w:sz w:val="26"/>
          <w:szCs w:val="26"/>
          <w:lang w:val="vi-VN"/>
        </w:rPr>
        <w:t xml:space="preserve">theo Quyết định số </w:t>
      </w:r>
      <w:r w:rsidR="00A96012" w:rsidRPr="004A259A">
        <w:rPr>
          <w:sz w:val="26"/>
          <w:szCs w:val="26"/>
          <w:lang w:val="it-IT"/>
        </w:rPr>
        <w:t>92</w:t>
      </w:r>
      <w:r w:rsidR="00A96012" w:rsidRPr="004A259A">
        <w:rPr>
          <w:sz w:val="26"/>
          <w:szCs w:val="26"/>
          <w:lang w:val="vi-VN"/>
        </w:rPr>
        <w:t>/QĐ-</w:t>
      </w:r>
      <w:r w:rsidR="00A96012" w:rsidRPr="004A259A">
        <w:rPr>
          <w:sz w:val="26"/>
          <w:szCs w:val="26"/>
          <w:lang w:val="it-IT"/>
        </w:rPr>
        <w:t>HĐTV</w:t>
      </w:r>
      <w:r w:rsidR="00A96012" w:rsidRPr="004A259A">
        <w:rPr>
          <w:sz w:val="26"/>
          <w:szCs w:val="26"/>
          <w:lang w:val="vi-VN"/>
        </w:rPr>
        <w:t xml:space="preserve"> ngày </w:t>
      </w:r>
      <w:r w:rsidR="00A96012" w:rsidRPr="004A259A">
        <w:rPr>
          <w:sz w:val="26"/>
          <w:szCs w:val="26"/>
          <w:lang w:val="it-IT"/>
        </w:rPr>
        <w:t>19</w:t>
      </w:r>
      <w:r w:rsidR="00A96012" w:rsidRPr="004A259A">
        <w:rPr>
          <w:sz w:val="26"/>
          <w:szCs w:val="26"/>
          <w:lang w:val="vi-VN"/>
        </w:rPr>
        <w:t>/</w:t>
      </w:r>
      <w:r w:rsidR="00A96012" w:rsidRPr="004A259A">
        <w:rPr>
          <w:sz w:val="26"/>
          <w:szCs w:val="26"/>
          <w:lang w:val="it-IT"/>
        </w:rPr>
        <w:t>4</w:t>
      </w:r>
      <w:r w:rsidR="00A96012" w:rsidRPr="004A259A">
        <w:rPr>
          <w:sz w:val="26"/>
          <w:szCs w:val="26"/>
          <w:lang w:val="vi-VN"/>
        </w:rPr>
        <w:t>/202</w:t>
      </w:r>
      <w:r w:rsidR="00A96012" w:rsidRPr="004A259A">
        <w:rPr>
          <w:sz w:val="26"/>
          <w:szCs w:val="26"/>
          <w:lang w:val="it-IT"/>
        </w:rPr>
        <w:t>4</w:t>
      </w:r>
      <w:r w:rsidR="00A96012" w:rsidRPr="004A259A">
        <w:rPr>
          <w:iCs/>
          <w:sz w:val="26"/>
          <w:szCs w:val="26"/>
          <w:lang w:val="vi-VN"/>
        </w:rPr>
        <w:t xml:space="preserve"> của </w:t>
      </w:r>
      <w:r w:rsidR="00A96012" w:rsidRPr="004A259A">
        <w:rPr>
          <w:iCs/>
          <w:sz w:val="26"/>
          <w:szCs w:val="26"/>
          <w:lang w:val="it-IT"/>
        </w:rPr>
        <w:t xml:space="preserve">Hội đồng thành viên </w:t>
      </w:r>
      <w:r w:rsidR="00A96012" w:rsidRPr="004A259A">
        <w:rPr>
          <w:iCs/>
          <w:sz w:val="26"/>
          <w:szCs w:val="26"/>
          <w:lang w:val="vi-VN"/>
        </w:rPr>
        <w:t>Tổng công ty Truyền tải điện Quốc gia về việc phê duyệt điều chỉnh dự án đầu tư xây dựng công trình)</w:t>
      </w:r>
      <w:r w:rsidRPr="004A259A">
        <w:rPr>
          <w:color w:val="FF0000"/>
          <w:sz w:val="26"/>
          <w:szCs w:val="26"/>
          <w:lang w:val="it-IT"/>
        </w:rPr>
        <w:t>.</w:t>
      </w:r>
    </w:p>
    <w:p w:rsidR="002E6C01" w:rsidRDefault="002E6C01" w:rsidP="00314992">
      <w:pPr>
        <w:pStyle w:val="ListParagraph"/>
        <w:numPr>
          <w:ilvl w:val="0"/>
          <w:numId w:val="5"/>
        </w:numPr>
        <w:spacing w:before="60" w:after="60"/>
        <w:ind w:left="851" w:hanging="284"/>
        <w:contextualSpacing w:val="0"/>
        <w:rPr>
          <w:sz w:val="28"/>
          <w:szCs w:val="28"/>
          <w:lang w:val="it-IT"/>
        </w:rPr>
      </w:pPr>
      <w:r w:rsidRPr="004A259A">
        <w:rPr>
          <w:sz w:val="26"/>
          <w:szCs w:val="26"/>
          <w:lang w:val="it-IT"/>
        </w:rPr>
        <w:t>Nguồn vốn đầu tư: Vốn EVNNPT phân bổ theo kế hoạch</w:t>
      </w:r>
      <w:r>
        <w:rPr>
          <w:sz w:val="28"/>
          <w:szCs w:val="28"/>
          <w:lang w:val="it-IT"/>
        </w:rPr>
        <w:t>.</w:t>
      </w:r>
    </w:p>
    <w:p w:rsidR="00A96012" w:rsidRPr="00A96012" w:rsidRDefault="001B2723" w:rsidP="00A96012">
      <w:pPr>
        <w:widowControl w:val="0"/>
        <w:spacing w:before="60"/>
        <w:ind w:left="567" w:hanging="141"/>
        <w:jc w:val="left"/>
        <w:rPr>
          <w:b/>
          <w:sz w:val="26"/>
          <w:szCs w:val="26"/>
          <w:lang w:val="de-DE"/>
        </w:rPr>
      </w:pPr>
      <w:r>
        <w:rPr>
          <w:b/>
          <w:sz w:val="26"/>
          <w:szCs w:val="26"/>
          <w:lang w:val="de-DE"/>
        </w:rPr>
        <w:t>b/</w:t>
      </w:r>
      <w:r w:rsidR="00314992">
        <w:rPr>
          <w:b/>
          <w:sz w:val="26"/>
          <w:szCs w:val="26"/>
          <w:lang w:val="de-DE"/>
        </w:rPr>
        <w:t xml:space="preserve"> </w:t>
      </w:r>
      <w:r w:rsidR="00A96012" w:rsidRPr="00A96012">
        <w:rPr>
          <w:b/>
          <w:sz w:val="26"/>
          <w:szCs w:val="26"/>
          <w:lang w:val="de-DE"/>
        </w:rPr>
        <w:t>Giới thiệu chung về gói thầu:</w:t>
      </w:r>
    </w:p>
    <w:p w:rsidR="00314992" w:rsidRPr="00B6658B" w:rsidRDefault="00314992" w:rsidP="00314992">
      <w:pPr>
        <w:pStyle w:val="NoSpacing"/>
        <w:widowControl w:val="0"/>
        <w:numPr>
          <w:ilvl w:val="0"/>
          <w:numId w:val="8"/>
        </w:numPr>
        <w:spacing w:before="120" w:after="50" w:line="276" w:lineRule="auto"/>
        <w:ind w:left="426" w:firstLine="141"/>
        <w:rPr>
          <w:rFonts w:ascii="Times New Roman" w:hAnsi="Times New Roman"/>
          <w:iCs/>
          <w:szCs w:val="26"/>
          <w:lang w:val="vi-VN"/>
        </w:rPr>
      </w:pPr>
      <w:r w:rsidRPr="00B6658B">
        <w:rPr>
          <w:rFonts w:ascii="Times New Roman" w:hAnsi="Times New Roman"/>
          <w:iCs/>
          <w:szCs w:val="26"/>
          <w:lang w:val="vi-VN"/>
        </w:rPr>
        <w:t>Tên gói thầu: Gói thầu số 1</w:t>
      </w:r>
      <w:r w:rsidRPr="00314992">
        <w:rPr>
          <w:rFonts w:ascii="Times New Roman" w:hAnsi="Times New Roman"/>
          <w:iCs/>
          <w:szCs w:val="26"/>
          <w:lang w:val="de-DE"/>
        </w:rPr>
        <w:t>2</w:t>
      </w:r>
      <w:r w:rsidRPr="00B6658B">
        <w:rPr>
          <w:rFonts w:ascii="Times New Roman" w:hAnsi="Times New Roman"/>
          <w:iCs/>
          <w:szCs w:val="26"/>
          <w:lang w:val="vi-VN"/>
        </w:rPr>
        <w:t xml:space="preserve">: Kiểm toán báo cáo quyết toán dự án hoàn thành </w:t>
      </w:r>
    </w:p>
    <w:p w:rsidR="00314992" w:rsidRPr="00B6658B" w:rsidRDefault="00314992" w:rsidP="00314992">
      <w:pPr>
        <w:pStyle w:val="NoSpacing"/>
        <w:widowControl w:val="0"/>
        <w:numPr>
          <w:ilvl w:val="0"/>
          <w:numId w:val="8"/>
        </w:numPr>
        <w:spacing w:after="50" w:line="276" w:lineRule="auto"/>
        <w:ind w:left="426" w:firstLine="141"/>
        <w:rPr>
          <w:rFonts w:ascii="Times New Roman" w:hAnsi="Times New Roman"/>
          <w:iCs/>
          <w:szCs w:val="26"/>
          <w:lang w:val="vi-VN"/>
        </w:rPr>
      </w:pPr>
      <w:r w:rsidRPr="00B6658B">
        <w:rPr>
          <w:rFonts w:ascii="Times New Roman" w:hAnsi="Times New Roman"/>
          <w:iCs/>
          <w:szCs w:val="26"/>
          <w:lang w:val="vi-VN"/>
        </w:rPr>
        <w:t xml:space="preserve">Nguồn vốn: EVNNPT </w:t>
      </w:r>
    </w:p>
    <w:p w:rsidR="00314992" w:rsidRPr="00B6658B" w:rsidRDefault="00314992" w:rsidP="00314992">
      <w:pPr>
        <w:pStyle w:val="NoSpacing"/>
        <w:widowControl w:val="0"/>
        <w:numPr>
          <w:ilvl w:val="0"/>
          <w:numId w:val="8"/>
        </w:numPr>
        <w:spacing w:after="50" w:line="276" w:lineRule="auto"/>
        <w:ind w:left="426" w:firstLine="141"/>
        <w:rPr>
          <w:rFonts w:ascii="Times New Roman" w:hAnsi="Times New Roman"/>
          <w:iCs/>
          <w:szCs w:val="26"/>
          <w:lang w:val="vi-VN"/>
        </w:rPr>
      </w:pPr>
      <w:r w:rsidRPr="00B6658B">
        <w:rPr>
          <w:rFonts w:ascii="Times New Roman" w:hAnsi="Times New Roman"/>
          <w:iCs/>
          <w:szCs w:val="26"/>
          <w:lang w:val="vi-VN"/>
        </w:rPr>
        <w:t>Hình thức lựa chọn nhà thầu: Đấu thầu rộng rãi trong nước (qua mạng).</w:t>
      </w:r>
    </w:p>
    <w:p w:rsidR="00314992" w:rsidRPr="00B6658B" w:rsidRDefault="00314992" w:rsidP="00314992">
      <w:pPr>
        <w:pStyle w:val="NoSpacing"/>
        <w:widowControl w:val="0"/>
        <w:numPr>
          <w:ilvl w:val="0"/>
          <w:numId w:val="8"/>
        </w:numPr>
        <w:spacing w:after="50" w:line="276" w:lineRule="auto"/>
        <w:ind w:left="426" w:firstLine="141"/>
        <w:rPr>
          <w:rFonts w:ascii="Times New Roman" w:hAnsi="Times New Roman"/>
          <w:iCs/>
          <w:szCs w:val="26"/>
          <w:lang w:val="vi-VN"/>
        </w:rPr>
      </w:pPr>
      <w:r w:rsidRPr="00B6658B">
        <w:rPr>
          <w:rFonts w:ascii="Times New Roman" w:hAnsi="Times New Roman"/>
          <w:color w:val="000000"/>
          <w:szCs w:val="26"/>
          <w:lang w:val="pt-BR"/>
        </w:rPr>
        <w:t xml:space="preserve">Phương thức </w:t>
      </w:r>
      <w:r w:rsidRPr="00B6658B">
        <w:rPr>
          <w:rFonts w:ascii="Times New Roman" w:hAnsi="Times New Roman"/>
          <w:color w:val="000000"/>
          <w:szCs w:val="26"/>
          <w:lang w:val="it-IT"/>
        </w:rPr>
        <w:t xml:space="preserve">lựa chọn nhà thầu: </w:t>
      </w:r>
      <w:r w:rsidRPr="00B6658B">
        <w:rPr>
          <w:rFonts w:ascii="Times New Roman" w:hAnsi="Times New Roman"/>
          <w:color w:val="000000"/>
          <w:szCs w:val="26"/>
          <w:lang w:val="pt-BR"/>
        </w:rPr>
        <w:t>Một giai đoạn hai túi hồ sơ</w:t>
      </w:r>
    </w:p>
    <w:p w:rsidR="00314992" w:rsidRPr="00B6658B" w:rsidRDefault="00314992" w:rsidP="00314992">
      <w:pPr>
        <w:pStyle w:val="NoSpacing"/>
        <w:widowControl w:val="0"/>
        <w:numPr>
          <w:ilvl w:val="0"/>
          <w:numId w:val="8"/>
        </w:numPr>
        <w:spacing w:after="50" w:line="276" w:lineRule="auto"/>
        <w:ind w:left="426" w:firstLine="141"/>
        <w:rPr>
          <w:rFonts w:ascii="Times New Roman" w:hAnsi="Times New Roman"/>
          <w:iCs/>
          <w:szCs w:val="26"/>
          <w:lang w:val="vi-VN"/>
        </w:rPr>
      </w:pPr>
      <w:r w:rsidRPr="00B6658B">
        <w:rPr>
          <w:rFonts w:ascii="Times New Roman" w:hAnsi="Times New Roman"/>
          <w:iCs/>
          <w:szCs w:val="26"/>
          <w:lang w:val="vi-VN"/>
        </w:rPr>
        <w:t>Loại hợp đồng: Trọn gói</w:t>
      </w:r>
    </w:p>
    <w:p w:rsidR="00314992" w:rsidRPr="00B6658B" w:rsidRDefault="00314992" w:rsidP="00314992">
      <w:pPr>
        <w:pStyle w:val="NoSpacing"/>
        <w:widowControl w:val="0"/>
        <w:numPr>
          <w:ilvl w:val="0"/>
          <w:numId w:val="8"/>
        </w:numPr>
        <w:spacing w:after="50" w:line="276" w:lineRule="auto"/>
        <w:ind w:left="426" w:firstLine="141"/>
        <w:rPr>
          <w:rFonts w:ascii="Times New Roman" w:hAnsi="Times New Roman"/>
          <w:iCs/>
          <w:szCs w:val="26"/>
          <w:lang w:val="vi-VN"/>
        </w:rPr>
      </w:pPr>
      <w:r w:rsidRPr="00B6658B">
        <w:rPr>
          <w:rFonts w:ascii="Times New Roman" w:hAnsi="Times New Roman"/>
          <w:iCs/>
          <w:szCs w:val="26"/>
          <w:lang w:val="vi-VN"/>
        </w:rPr>
        <w:t>Thời gian thực hiện gói thầu: 30 ngày</w:t>
      </w:r>
    </w:p>
    <w:p w:rsidR="002E6C01" w:rsidRPr="00F11555" w:rsidRDefault="002E6C01" w:rsidP="00314992">
      <w:pPr>
        <w:spacing w:before="60" w:after="60"/>
        <w:ind w:firstLine="284"/>
        <w:rPr>
          <w:b/>
          <w:bCs/>
          <w:sz w:val="28"/>
          <w:szCs w:val="28"/>
          <w:lang w:val="it-IT"/>
        </w:rPr>
      </w:pPr>
      <w:r w:rsidRPr="00F11555">
        <w:rPr>
          <w:b/>
          <w:sz w:val="28"/>
          <w:szCs w:val="28"/>
          <w:lang w:val="it-IT"/>
        </w:rPr>
        <w:t>II. Phạm vi công việc:</w:t>
      </w:r>
    </w:p>
    <w:p w:rsidR="00314992" w:rsidRPr="00781B1C" w:rsidRDefault="00314992" w:rsidP="00314992">
      <w:pPr>
        <w:pStyle w:val="BodyText3"/>
        <w:spacing w:after="0" w:line="276" w:lineRule="auto"/>
        <w:ind w:firstLine="709"/>
        <w:jc w:val="both"/>
        <w:rPr>
          <w:i w:val="0"/>
          <w:iCs w:val="0"/>
          <w:color w:val="auto"/>
          <w:sz w:val="26"/>
          <w:szCs w:val="26"/>
          <w:lang w:val="it-IT"/>
        </w:rPr>
      </w:pPr>
      <w:r w:rsidRPr="00781B1C">
        <w:rPr>
          <w:bCs/>
          <w:i w:val="0"/>
          <w:iCs w:val="0"/>
          <w:color w:val="auto"/>
          <w:sz w:val="26"/>
          <w:szCs w:val="26"/>
          <w:lang w:val="it-IT"/>
        </w:rPr>
        <w:t>Thực hiện kiểm toán vốn đầu tư xây dựng hoàn thành theo quy định của Nghị định số 254/2025/NĐ-CP ngày 26/9/2025 của Chính phủ quy định về quản lý, thanh toán, quyết toán dự án sử dụng vốn đầu tư công, Thông tư số 91/2025/TT-BTC ngày 26/9/2025 của Bộ Tài chính, các quy định khác có liên quan; lập kế hoạch kiểm toán, thực hiện kiểm toán và kết thúc kiểm toán; lập và phát hành Báo cáo kiểm toán độc lập theo đúng quy định, bao gồm nhưng không giới hạn các nội dung sau</w:t>
      </w:r>
      <w:r w:rsidRPr="00781B1C">
        <w:rPr>
          <w:i w:val="0"/>
          <w:iCs w:val="0"/>
          <w:color w:val="auto"/>
          <w:sz w:val="26"/>
          <w:szCs w:val="26"/>
          <w:lang w:val="it-IT"/>
        </w:rPr>
        <w:t>:</w:t>
      </w:r>
    </w:p>
    <w:p w:rsidR="00314992" w:rsidRPr="000C0857" w:rsidRDefault="00314992" w:rsidP="0065377A">
      <w:pPr>
        <w:tabs>
          <w:tab w:val="left" w:pos="1134"/>
        </w:tabs>
        <w:adjustRightInd w:val="0"/>
        <w:snapToGrid w:val="0"/>
        <w:spacing w:after="120"/>
        <w:ind w:firstLine="851"/>
        <w:rPr>
          <w:sz w:val="26"/>
          <w:szCs w:val="26"/>
          <w:lang w:val="es-ES"/>
        </w:rPr>
      </w:pPr>
      <w:bookmarkStart w:id="3" w:name="_Hlk211459216"/>
      <w:r w:rsidRPr="000C0857">
        <w:rPr>
          <w:sz w:val="26"/>
          <w:szCs w:val="26"/>
          <w:lang w:val="it-IT"/>
        </w:rPr>
        <w:t xml:space="preserve">- </w:t>
      </w:r>
      <w:bookmarkEnd w:id="3"/>
      <w:r w:rsidRPr="000C0857">
        <w:rPr>
          <w:sz w:val="26"/>
          <w:szCs w:val="26"/>
          <w:lang w:val="es-ES"/>
        </w:rPr>
        <w:t xml:space="preserve">Kiểm tra hồ sơ pháp lý; </w:t>
      </w:r>
    </w:p>
    <w:p w:rsidR="00314992" w:rsidRPr="000C0857" w:rsidRDefault="00314992" w:rsidP="0065377A">
      <w:pPr>
        <w:tabs>
          <w:tab w:val="left" w:pos="1134"/>
        </w:tabs>
        <w:adjustRightInd w:val="0"/>
        <w:snapToGrid w:val="0"/>
        <w:spacing w:after="120"/>
        <w:ind w:firstLine="851"/>
        <w:rPr>
          <w:sz w:val="26"/>
          <w:szCs w:val="26"/>
          <w:lang w:val="es-ES"/>
        </w:rPr>
      </w:pPr>
      <w:r w:rsidRPr="000C0857">
        <w:rPr>
          <w:sz w:val="26"/>
          <w:szCs w:val="26"/>
          <w:lang w:val="es-ES"/>
        </w:rPr>
        <w:t xml:space="preserve">- Kiểm tra vốn đầu tư của dự án; </w:t>
      </w:r>
    </w:p>
    <w:p w:rsidR="00314992" w:rsidRPr="000C0857" w:rsidRDefault="00314992" w:rsidP="0065377A">
      <w:pPr>
        <w:tabs>
          <w:tab w:val="left" w:pos="1134"/>
        </w:tabs>
        <w:adjustRightInd w:val="0"/>
        <w:snapToGrid w:val="0"/>
        <w:spacing w:after="120"/>
        <w:ind w:firstLine="851"/>
        <w:rPr>
          <w:sz w:val="26"/>
          <w:szCs w:val="26"/>
          <w:lang w:val="es-ES"/>
        </w:rPr>
      </w:pPr>
      <w:r w:rsidRPr="000C0857">
        <w:rPr>
          <w:sz w:val="26"/>
          <w:szCs w:val="26"/>
          <w:lang w:val="es-ES"/>
        </w:rPr>
        <w:t xml:space="preserve">- Kiểm tra chi phí đầu tư; </w:t>
      </w:r>
    </w:p>
    <w:p w:rsidR="00314992" w:rsidRPr="000C0857" w:rsidRDefault="00314992" w:rsidP="0065377A">
      <w:pPr>
        <w:tabs>
          <w:tab w:val="left" w:pos="1134"/>
        </w:tabs>
        <w:adjustRightInd w:val="0"/>
        <w:snapToGrid w:val="0"/>
        <w:spacing w:after="120"/>
        <w:ind w:firstLine="851"/>
        <w:rPr>
          <w:sz w:val="26"/>
          <w:szCs w:val="26"/>
          <w:lang w:val="es-ES"/>
        </w:rPr>
      </w:pPr>
      <w:r w:rsidRPr="000C0857">
        <w:rPr>
          <w:sz w:val="26"/>
          <w:szCs w:val="26"/>
          <w:lang w:val="es-ES"/>
        </w:rPr>
        <w:t xml:space="preserve">- Kiểm tra chi phí đầu tư không tính vào giá trị tài sản; </w:t>
      </w:r>
    </w:p>
    <w:p w:rsidR="00314992" w:rsidRPr="000C0857" w:rsidRDefault="00314992" w:rsidP="0065377A">
      <w:pPr>
        <w:tabs>
          <w:tab w:val="left" w:pos="1134"/>
        </w:tabs>
        <w:adjustRightInd w:val="0"/>
        <w:snapToGrid w:val="0"/>
        <w:spacing w:after="120"/>
        <w:ind w:firstLine="851"/>
        <w:rPr>
          <w:sz w:val="26"/>
          <w:szCs w:val="26"/>
          <w:lang w:val="es-ES"/>
        </w:rPr>
      </w:pPr>
      <w:r w:rsidRPr="000C0857">
        <w:rPr>
          <w:sz w:val="26"/>
          <w:szCs w:val="26"/>
          <w:lang w:val="es-ES"/>
        </w:rPr>
        <w:t>- Kiểm tra giá trị tài sản hình thành là kết quả của quá trình thực hiện dự án;</w:t>
      </w:r>
    </w:p>
    <w:p w:rsidR="00314992" w:rsidRPr="000C0857" w:rsidRDefault="00314992" w:rsidP="0065377A">
      <w:pPr>
        <w:tabs>
          <w:tab w:val="left" w:pos="1134"/>
        </w:tabs>
        <w:adjustRightInd w:val="0"/>
        <w:snapToGrid w:val="0"/>
        <w:spacing w:after="120"/>
        <w:ind w:firstLine="851"/>
        <w:rPr>
          <w:sz w:val="26"/>
          <w:szCs w:val="26"/>
          <w:lang w:val="es-ES"/>
        </w:rPr>
      </w:pPr>
      <w:r w:rsidRPr="000C0857">
        <w:rPr>
          <w:sz w:val="26"/>
          <w:szCs w:val="26"/>
          <w:lang w:val="es-ES"/>
        </w:rPr>
        <w:t xml:space="preserve">- Kiểm tra tình hình công nợ, vật tư, thiết bị tồn đọng; </w:t>
      </w:r>
    </w:p>
    <w:p w:rsidR="00314992" w:rsidRPr="000C0857" w:rsidRDefault="00314992" w:rsidP="0065377A">
      <w:pPr>
        <w:tabs>
          <w:tab w:val="left" w:pos="1134"/>
        </w:tabs>
        <w:adjustRightInd w:val="0"/>
        <w:snapToGrid w:val="0"/>
        <w:spacing w:after="120"/>
        <w:ind w:firstLine="851"/>
        <w:rPr>
          <w:sz w:val="26"/>
          <w:szCs w:val="26"/>
          <w:lang w:val="es-ES"/>
        </w:rPr>
      </w:pPr>
      <w:r w:rsidRPr="000C0857">
        <w:rPr>
          <w:sz w:val="26"/>
          <w:szCs w:val="26"/>
          <w:lang w:val="es-ES"/>
        </w:rPr>
        <w:t xml:space="preserve">- Xem xét việc chấp hành của chủ đầu tư và các đơn vị có liên quan đối với ý kiến kết luận, kết quả điều tra của cơ quan pháp luật và cơ quan khác (nếu có); </w:t>
      </w:r>
    </w:p>
    <w:p w:rsidR="00314992" w:rsidRPr="000C0857" w:rsidRDefault="00314992" w:rsidP="0065377A">
      <w:pPr>
        <w:tabs>
          <w:tab w:val="left" w:pos="1134"/>
        </w:tabs>
        <w:adjustRightInd w:val="0"/>
        <w:snapToGrid w:val="0"/>
        <w:spacing w:after="120"/>
        <w:ind w:firstLine="851"/>
        <w:rPr>
          <w:sz w:val="26"/>
          <w:szCs w:val="26"/>
          <w:lang w:val="es-ES"/>
        </w:rPr>
      </w:pPr>
      <w:r w:rsidRPr="000C0857">
        <w:rPr>
          <w:sz w:val="26"/>
          <w:szCs w:val="26"/>
          <w:lang w:val="es-ES"/>
        </w:rPr>
        <w:t xml:space="preserve">- Nhận xét, đánh giá, kiến nghị: </w:t>
      </w:r>
    </w:p>
    <w:p w:rsidR="00314992" w:rsidRPr="000C0857" w:rsidRDefault="00314992" w:rsidP="00016D08">
      <w:pPr>
        <w:adjustRightInd w:val="0"/>
        <w:snapToGrid w:val="0"/>
        <w:spacing w:after="120"/>
        <w:ind w:firstLine="993"/>
        <w:rPr>
          <w:sz w:val="26"/>
          <w:szCs w:val="26"/>
          <w:lang w:val="es-ES"/>
        </w:rPr>
      </w:pPr>
      <w:r w:rsidRPr="000C0857">
        <w:rPr>
          <w:sz w:val="26"/>
          <w:szCs w:val="26"/>
          <w:lang w:val="es-ES"/>
        </w:rPr>
        <w:t xml:space="preserve">+ Nhận xét đánh giá việc chấp hành các quy định của Nhà nước về quản lý đầu tư, xây dựng và đấu thầu; công tác quản lý và sử dụng vốn đầu tư; công tác quản lý chi phí đầu tư, quản lý tài sản đầu tư của chủ đầu tư; trách nhiệm của từng cấp đối với công tác quản lý vốn đầu tư dự án; </w:t>
      </w:r>
    </w:p>
    <w:p w:rsidR="00314992" w:rsidRPr="00E809F2" w:rsidRDefault="00314992" w:rsidP="00016D08">
      <w:pPr>
        <w:adjustRightInd w:val="0"/>
        <w:snapToGrid w:val="0"/>
        <w:spacing w:after="120"/>
        <w:ind w:firstLine="993"/>
        <w:rPr>
          <w:sz w:val="28"/>
          <w:szCs w:val="28"/>
          <w:lang w:val="es-ES"/>
        </w:rPr>
      </w:pPr>
      <w:r w:rsidRPr="000C0857">
        <w:rPr>
          <w:sz w:val="26"/>
          <w:szCs w:val="26"/>
          <w:lang w:val="es-ES"/>
        </w:rPr>
        <w:t>+ Xác định giá trị đề nghị phê duyệt quyết toán vốn đầu tư dự án hoàn thành và xử lý các vấn đề có liên quan</w:t>
      </w:r>
      <w:r w:rsidRPr="00E809F2">
        <w:rPr>
          <w:sz w:val="28"/>
          <w:szCs w:val="28"/>
          <w:lang w:val="es-ES"/>
        </w:rPr>
        <w:t xml:space="preserve">. </w:t>
      </w:r>
    </w:p>
    <w:p w:rsidR="00314992" w:rsidRDefault="00314992" w:rsidP="00016D08">
      <w:pPr>
        <w:adjustRightInd w:val="0"/>
        <w:snapToGrid w:val="0"/>
        <w:spacing w:after="120"/>
        <w:ind w:firstLine="851"/>
        <w:rPr>
          <w:sz w:val="26"/>
          <w:szCs w:val="26"/>
          <w:lang w:val="es-ES"/>
        </w:rPr>
      </w:pPr>
      <w:r w:rsidRPr="00213518">
        <w:rPr>
          <w:sz w:val="26"/>
          <w:szCs w:val="26"/>
          <w:lang w:val="es-ES"/>
        </w:rPr>
        <w:t xml:space="preserve">- Sau khi kiểm toán, Nhà thầu Tư vấn kiểm toán lập Báo cáo kiểm toán. </w:t>
      </w:r>
    </w:p>
    <w:p w:rsidR="002E6C01" w:rsidRPr="00274DB0" w:rsidRDefault="00314992" w:rsidP="00016D08">
      <w:pPr>
        <w:adjustRightInd w:val="0"/>
        <w:snapToGrid w:val="0"/>
        <w:spacing w:after="120"/>
        <w:ind w:firstLine="851"/>
        <w:rPr>
          <w:sz w:val="26"/>
          <w:szCs w:val="26"/>
          <w:lang w:val="es-ES"/>
        </w:rPr>
      </w:pPr>
      <w:r w:rsidRPr="00213518">
        <w:rPr>
          <w:sz w:val="26"/>
          <w:szCs w:val="26"/>
          <w:lang w:val="es-ES"/>
        </w:rPr>
        <w:t xml:space="preserve">- Sau khi kiểm toán, Nhà thầu Tư vấn kiểm toán lập báo cáo kiểm toán theo Chuẩn mực kiểm toán Việt Nam số 1000 - Kiểm toán báo cáo quyết toán dự án hoàn </w:t>
      </w:r>
      <w:r w:rsidRPr="00274DB0">
        <w:rPr>
          <w:sz w:val="26"/>
          <w:szCs w:val="26"/>
          <w:lang w:val="es-ES"/>
        </w:rPr>
        <w:t>thành và các quy định có liên quan</w:t>
      </w:r>
      <w:r w:rsidR="002E6C01" w:rsidRPr="00274DB0">
        <w:rPr>
          <w:bCs/>
          <w:iCs/>
          <w:sz w:val="26"/>
          <w:szCs w:val="26"/>
          <w:lang w:val="vi-VN"/>
        </w:rPr>
        <w:t>.</w:t>
      </w:r>
    </w:p>
    <w:p w:rsidR="002E6C01" w:rsidRPr="00274DB0" w:rsidRDefault="002E6C01" w:rsidP="00EE6650">
      <w:pPr>
        <w:spacing w:before="60" w:after="60"/>
        <w:ind w:firstLine="284"/>
        <w:rPr>
          <w:b/>
          <w:bCs/>
          <w:sz w:val="26"/>
          <w:szCs w:val="26"/>
          <w:lang w:val="it-IT"/>
        </w:rPr>
      </w:pPr>
      <w:r w:rsidRPr="00274DB0">
        <w:rPr>
          <w:b/>
          <w:sz w:val="26"/>
          <w:szCs w:val="26"/>
          <w:lang w:val="it-IT"/>
        </w:rPr>
        <w:t>III. Báo cáo và thời gian thực hiện:</w:t>
      </w:r>
    </w:p>
    <w:p w:rsidR="002E6C01" w:rsidRPr="00274DB0" w:rsidRDefault="002E6C01" w:rsidP="00EE6650">
      <w:pPr>
        <w:numPr>
          <w:ilvl w:val="0"/>
          <w:numId w:val="4"/>
        </w:numPr>
        <w:tabs>
          <w:tab w:val="left" w:pos="851"/>
        </w:tabs>
        <w:spacing w:before="60" w:after="60"/>
        <w:ind w:left="0" w:firstLine="567"/>
        <w:rPr>
          <w:iCs/>
          <w:sz w:val="26"/>
          <w:szCs w:val="26"/>
          <w:lang w:val="it-IT"/>
        </w:rPr>
      </w:pPr>
      <w:r w:rsidRPr="00274DB0">
        <w:rPr>
          <w:iCs/>
          <w:sz w:val="26"/>
          <w:szCs w:val="26"/>
          <w:lang w:val="it-IT"/>
        </w:rPr>
        <w:lastRenderedPageBreak/>
        <w:t>Nhà thầu phải nộp các báo cáo Kiểm toán đã thực hiện hằng tuần cho Chủ đầu tư. Thời gian nộp báo cáo là thứ năm hằng tuần. Ngoài ra, tùy theo tình hình công việc đột xuất liên quan đến kiểm toán, Chủ đầu tư có quyền yêu cầu nhà thầu báo cáo các công việc liên quan mà không đòi hỏi bất kỳ quyền lợi nào.</w:t>
      </w:r>
    </w:p>
    <w:p w:rsidR="002E6C01" w:rsidRPr="00274DB0" w:rsidRDefault="002E6C01" w:rsidP="00EE6650">
      <w:pPr>
        <w:numPr>
          <w:ilvl w:val="0"/>
          <w:numId w:val="4"/>
        </w:numPr>
        <w:tabs>
          <w:tab w:val="left" w:pos="851"/>
        </w:tabs>
        <w:spacing w:before="60" w:after="60"/>
        <w:ind w:left="0" w:firstLine="567"/>
        <w:rPr>
          <w:iCs/>
          <w:sz w:val="26"/>
          <w:szCs w:val="26"/>
          <w:lang w:val="it-IT"/>
        </w:rPr>
      </w:pPr>
      <w:r w:rsidRPr="00274DB0">
        <w:rPr>
          <w:iCs/>
          <w:sz w:val="26"/>
          <w:szCs w:val="26"/>
          <w:lang w:val="it-IT"/>
        </w:rPr>
        <w:t>Bên B phải nộp cho Bên A Báo cáo kiểm toán quyết toán dự án hoàn</w:t>
      </w:r>
      <w:r w:rsidRPr="00274DB0">
        <w:rPr>
          <w:iCs/>
          <w:sz w:val="26"/>
          <w:szCs w:val="26"/>
          <w:lang w:val="it-IT"/>
        </w:rPr>
        <w:cr/>
        <w:t>thành trong vòng 30 ngày kể từ ngày Bên A cung cấp đủ hồ sơ cho Bên B. Báo cáo kiểm toán sau khi phát hành Bên B giao lại cho Bên A 05 bộ.</w:t>
      </w:r>
    </w:p>
    <w:p w:rsidR="002E6C01" w:rsidRPr="00274DB0" w:rsidRDefault="002E6C01" w:rsidP="00EE6650">
      <w:pPr>
        <w:numPr>
          <w:ilvl w:val="0"/>
          <w:numId w:val="4"/>
        </w:numPr>
        <w:tabs>
          <w:tab w:val="left" w:pos="851"/>
        </w:tabs>
        <w:spacing w:before="60" w:after="60"/>
        <w:ind w:left="0" w:firstLine="567"/>
        <w:rPr>
          <w:iCs/>
          <w:sz w:val="26"/>
          <w:szCs w:val="26"/>
          <w:lang w:val="it-IT"/>
        </w:rPr>
      </w:pPr>
      <w:r w:rsidRPr="00274DB0">
        <w:rPr>
          <w:iCs/>
          <w:sz w:val="26"/>
          <w:szCs w:val="26"/>
          <w:lang w:val="it-IT"/>
        </w:rPr>
        <w:t>Báo cáo kiểm toán sẽ được lập bằng văn bản, gồm các nội dung theo quy định của Luật kiểm toán độc lập, Chuẩn mực kiểm toán Việt Nam số 1000 - Kiểm toán báo cáo quyết toán dự án hoàn thành, các chuẩn mực kiểm toán Việt Nam và quy định pháp lý khác có liên quan.</w:t>
      </w:r>
    </w:p>
    <w:p w:rsidR="002E6C01" w:rsidRPr="00274DB0" w:rsidRDefault="002E6C01" w:rsidP="00EE6650">
      <w:pPr>
        <w:numPr>
          <w:ilvl w:val="0"/>
          <w:numId w:val="4"/>
        </w:numPr>
        <w:tabs>
          <w:tab w:val="left" w:pos="851"/>
        </w:tabs>
        <w:spacing w:before="60" w:after="60"/>
        <w:ind w:left="0" w:firstLine="567"/>
        <w:rPr>
          <w:iCs/>
          <w:sz w:val="26"/>
          <w:szCs w:val="26"/>
          <w:lang w:val="it-IT"/>
        </w:rPr>
      </w:pPr>
      <w:r w:rsidRPr="00274DB0">
        <w:rPr>
          <w:iCs/>
          <w:sz w:val="26"/>
          <w:szCs w:val="26"/>
          <w:lang w:val="it-IT"/>
        </w:rPr>
        <w:t>Kiểm toán phải có nhận xét về Dự toán gói thầu trong Báo cáo kiểm toán, nêu rõ phù hợp hay không phù hợp, nếu không phù hợp kiểm toán phải đưa ra số phù hợp theo ý kiến kiểm toán và nêu rõ nguyên nhân chênh lệch trong báo cáo kiểm toán.</w:t>
      </w:r>
    </w:p>
    <w:p w:rsidR="002E6C01" w:rsidRPr="00274DB0" w:rsidRDefault="002E6C01" w:rsidP="00EE6650">
      <w:pPr>
        <w:numPr>
          <w:ilvl w:val="0"/>
          <w:numId w:val="4"/>
        </w:numPr>
        <w:tabs>
          <w:tab w:val="left" w:pos="851"/>
        </w:tabs>
        <w:spacing w:before="60" w:after="60"/>
        <w:ind w:left="0" w:firstLine="567"/>
        <w:rPr>
          <w:iCs/>
          <w:sz w:val="26"/>
          <w:szCs w:val="26"/>
          <w:lang w:val="it-IT"/>
        </w:rPr>
      </w:pPr>
      <w:r w:rsidRPr="00274DB0">
        <w:rPr>
          <w:iCs/>
          <w:sz w:val="26"/>
          <w:szCs w:val="26"/>
          <w:lang w:val="it-IT"/>
        </w:rPr>
        <w:t>Trường hợp qua kiểm toán mà kiểm toán độc lập phát hiện thấy còn có các nội dung ảnh hưởng đến kết quả kiểm toán thì phải ghi vào phần các ý kiến ngoại trừ trong Báo cáo kiểm toán (BCKT). Ngoài các nội dung tồn tại nêu tại phần ý kiến ngoại trừ (nếu có) kiểm toán phải chịu trách nhiệm các sai sót xẩy ra do kiểm toán không phát hiện được trong quá trình kiểm toán. Các ý kiến của kiểm toán không nêu trong BCKT đều không có giá trị pháp lý.</w:t>
      </w:r>
    </w:p>
    <w:p w:rsidR="002E6C01" w:rsidRPr="00274DB0" w:rsidRDefault="002E6C01" w:rsidP="00EE6650">
      <w:pPr>
        <w:numPr>
          <w:ilvl w:val="0"/>
          <w:numId w:val="4"/>
        </w:numPr>
        <w:tabs>
          <w:tab w:val="left" w:pos="851"/>
        </w:tabs>
        <w:spacing w:before="60" w:after="60"/>
        <w:ind w:left="0" w:firstLine="567"/>
        <w:rPr>
          <w:iCs/>
          <w:sz w:val="26"/>
          <w:szCs w:val="26"/>
          <w:lang w:val="it-IT"/>
        </w:rPr>
      </w:pPr>
      <w:r w:rsidRPr="00274DB0">
        <w:rPr>
          <w:iCs/>
          <w:sz w:val="26"/>
          <w:szCs w:val="26"/>
          <w:lang w:val="it-IT"/>
        </w:rPr>
        <w:t>Khi nhận xét về kết quả kiểm toán nếu kiểm toán nêu các ý kiến ngoại trừ thì kiểm toán độc lập phải xác định mức độ ảnh hưởng của các nội dung ngoại trừ đến kết quả xác định giá trị quyết toán dự án và nêu quan điểm của kiểm toán về phương án khắc phục</w:t>
      </w:r>
    </w:p>
    <w:p w:rsidR="002E6C01" w:rsidRPr="00274DB0" w:rsidRDefault="002E6C01" w:rsidP="00EE6650">
      <w:pPr>
        <w:numPr>
          <w:ilvl w:val="0"/>
          <w:numId w:val="4"/>
        </w:numPr>
        <w:tabs>
          <w:tab w:val="left" w:pos="851"/>
        </w:tabs>
        <w:spacing w:before="60" w:after="60"/>
        <w:ind w:left="0" w:firstLine="567"/>
        <w:rPr>
          <w:iCs/>
          <w:sz w:val="26"/>
          <w:szCs w:val="26"/>
          <w:lang w:val="it-IT"/>
        </w:rPr>
      </w:pPr>
      <w:r w:rsidRPr="00274DB0">
        <w:rPr>
          <w:iCs/>
          <w:sz w:val="26"/>
          <w:szCs w:val="26"/>
          <w:lang w:val="it-IT"/>
        </w:rPr>
        <w:t>Thời gian thực hiện hợp đồng: 30 ngày.</w:t>
      </w:r>
    </w:p>
    <w:p w:rsidR="002E6C01" w:rsidRPr="00274DB0" w:rsidRDefault="002E6C01" w:rsidP="00C5542D">
      <w:pPr>
        <w:spacing w:before="60" w:after="60"/>
        <w:ind w:firstLine="284"/>
        <w:rPr>
          <w:b/>
          <w:sz w:val="26"/>
          <w:szCs w:val="26"/>
          <w:lang w:val="it-IT"/>
        </w:rPr>
      </w:pPr>
      <w:r w:rsidRPr="00274DB0">
        <w:rPr>
          <w:b/>
          <w:sz w:val="26"/>
          <w:szCs w:val="26"/>
          <w:lang w:val="it-IT"/>
        </w:rPr>
        <w:t>IV. Kinh nghiệm và nhân sự của nhà thầu:</w:t>
      </w:r>
    </w:p>
    <w:p w:rsidR="002E6C01" w:rsidRPr="00274DB0" w:rsidRDefault="002E6C01" w:rsidP="00C5542D">
      <w:pPr>
        <w:numPr>
          <w:ilvl w:val="0"/>
          <w:numId w:val="4"/>
        </w:numPr>
        <w:spacing w:before="60" w:after="60"/>
        <w:ind w:left="0" w:firstLine="567"/>
        <w:rPr>
          <w:iCs/>
          <w:sz w:val="26"/>
          <w:szCs w:val="26"/>
          <w:lang w:val="it-IT"/>
        </w:rPr>
      </w:pPr>
      <w:r w:rsidRPr="00274DB0">
        <w:rPr>
          <w:iCs/>
          <w:sz w:val="26"/>
          <w:szCs w:val="26"/>
          <w:lang w:val="it-IT"/>
        </w:rPr>
        <w:t>Nêu rõ tất cả các thành viên tham gia dự án kể cả các thành viên thực hiện kiểm tra, soát xét. Năng lực các Nhân sự tham gia phải đảm bảo yêu cầu trong hồ sơ mời thầu và Hồ sơ dự thầu.</w:t>
      </w:r>
    </w:p>
    <w:p w:rsidR="002E6C01" w:rsidRPr="00274DB0" w:rsidRDefault="002E6C01" w:rsidP="00C5542D">
      <w:pPr>
        <w:numPr>
          <w:ilvl w:val="0"/>
          <w:numId w:val="4"/>
        </w:numPr>
        <w:spacing w:before="60" w:after="60"/>
        <w:ind w:left="0" w:firstLine="567"/>
        <w:rPr>
          <w:iCs/>
          <w:sz w:val="26"/>
          <w:szCs w:val="26"/>
          <w:lang w:val="it-IT"/>
        </w:rPr>
      </w:pPr>
      <w:r w:rsidRPr="00274DB0">
        <w:rPr>
          <w:iCs/>
          <w:sz w:val="26"/>
          <w:szCs w:val="26"/>
          <w:lang w:val="it-IT"/>
        </w:rPr>
        <w:t>Kinh nghiệm phải nêu rõ các thành viên này tham gia thực hiện công đoạn nào trong quá trình kiểm toán (Trường hợp Nhân sự tham gia không đúng hồ sơ mời thầu hoặc khi triển khai thực tế không đúng Nhân sự trong hợp đồng thì nhà thầu vi phạm hợp đồng).</w:t>
      </w:r>
    </w:p>
    <w:p w:rsidR="00855456" w:rsidRPr="00274DB0" w:rsidRDefault="00855456" w:rsidP="00855456">
      <w:pPr>
        <w:spacing w:before="60" w:after="60"/>
        <w:ind w:firstLine="284"/>
        <w:rPr>
          <w:b/>
          <w:bCs/>
          <w:sz w:val="26"/>
          <w:szCs w:val="26"/>
          <w:lang w:val="it-IT"/>
        </w:rPr>
      </w:pPr>
      <w:r w:rsidRPr="00274DB0">
        <w:rPr>
          <w:b/>
          <w:sz w:val="26"/>
          <w:szCs w:val="26"/>
          <w:lang w:val="it-IT"/>
        </w:rPr>
        <w:t>V. Trách nhiệm của chủ đầu tư:</w:t>
      </w:r>
    </w:p>
    <w:p w:rsidR="00855456" w:rsidRPr="00274DB0" w:rsidRDefault="00855456" w:rsidP="00855456">
      <w:pPr>
        <w:ind w:firstLine="426"/>
        <w:rPr>
          <w:sz w:val="26"/>
          <w:szCs w:val="26"/>
          <w:lang w:val="it-IT"/>
        </w:rPr>
      </w:pPr>
      <w:r w:rsidRPr="00274DB0">
        <w:rPr>
          <w:sz w:val="26"/>
          <w:szCs w:val="26"/>
          <w:lang w:val="it-IT"/>
        </w:rPr>
        <w:t>- Cung cấp đầy đủ tài liệu cần thiết có liên quan, phối hợp và tạo điều kiện thuận lợi cho Nhà thầu thực hiện công việc kiểm toán;</w:t>
      </w:r>
    </w:p>
    <w:p w:rsidR="00855456" w:rsidRPr="00274DB0" w:rsidRDefault="00855456" w:rsidP="00855456">
      <w:pPr>
        <w:spacing w:before="60"/>
        <w:ind w:firstLine="425"/>
        <w:rPr>
          <w:sz w:val="26"/>
          <w:szCs w:val="26"/>
          <w:lang w:val="it-IT"/>
        </w:rPr>
      </w:pPr>
      <w:r w:rsidRPr="00274DB0">
        <w:rPr>
          <w:sz w:val="26"/>
          <w:szCs w:val="26"/>
          <w:lang w:val="it-IT"/>
        </w:rPr>
        <w:t>- Bố trí những người có trách nhiệm và chuyên môn làm việc với Nhà thầu kiểm toán.</w:t>
      </w:r>
    </w:p>
    <w:p w:rsidR="00855456" w:rsidRPr="00274DB0" w:rsidRDefault="00855456" w:rsidP="00855456">
      <w:pPr>
        <w:spacing w:before="60"/>
        <w:ind w:firstLine="425"/>
        <w:rPr>
          <w:sz w:val="26"/>
          <w:szCs w:val="26"/>
          <w:lang w:val="it-IT"/>
        </w:rPr>
      </w:pPr>
      <w:r w:rsidRPr="00274DB0">
        <w:rPr>
          <w:sz w:val="26"/>
          <w:szCs w:val="26"/>
          <w:lang w:val="it-IT"/>
        </w:rPr>
        <w:t>- Cùng hợp tác với Nhà thầu và tạo điều kiện đến mức tối đa cho Nhà thầu trong quá trình thực hiện hợp đồng.</w:t>
      </w:r>
    </w:p>
    <w:p w:rsidR="00855456" w:rsidRPr="00274DB0" w:rsidRDefault="00855456" w:rsidP="00855456">
      <w:pPr>
        <w:spacing w:before="60"/>
        <w:ind w:firstLine="425"/>
        <w:rPr>
          <w:sz w:val="26"/>
          <w:szCs w:val="26"/>
          <w:lang w:val="it-IT"/>
        </w:rPr>
      </w:pPr>
      <w:r w:rsidRPr="00274DB0">
        <w:rPr>
          <w:sz w:val="26"/>
          <w:szCs w:val="26"/>
          <w:lang w:val="it-IT"/>
        </w:rPr>
        <w:t>- Phối hợp với các đơn vị liên quan nhằm tạo điều kiện thuận lợi để Nhà thầu tư vấn thực hiện hợp đồng đạt kết quả yêu cầu.</w:t>
      </w:r>
    </w:p>
    <w:p w:rsidR="00855456" w:rsidRPr="00274DB0" w:rsidRDefault="00855456" w:rsidP="00855456">
      <w:pPr>
        <w:spacing w:before="60"/>
        <w:ind w:firstLine="425"/>
        <w:rPr>
          <w:sz w:val="26"/>
          <w:szCs w:val="26"/>
          <w:lang w:val="it-IT"/>
        </w:rPr>
      </w:pPr>
      <w:r w:rsidRPr="00274DB0">
        <w:rPr>
          <w:sz w:val="26"/>
          <w:szCs w:val="26"/>
          <w:lang w:val="it-IT"/>
        </w:rPr>
        <w:t>- Tổ chức đi thực địa vùng xây dựng dự án khi có yêu cầu của Nhà thầu.</w:t>
      </w:r>
    </w:p>
    <w:p w:rsidR="00855456" w:rsidRPr="00274DB0" w:rsidRDefault="00855456" w:rsidP="00855456">
      <w:pPr>
        <w:spacing w:before="60"/>
        <w:ind w:firstLine="425"/>
        <w:rPr>
          <w:sz w:val="26"/>
          <w:szCs w:val="26"/>
          <w:lang w:val="it-IT"/>
        </w:rPr>
      </w:pPr>
      <w:r w:rsidRPr="00274DB0">
        <w:rPr>
          <w:sz w:val="26"/>
          <w:szCs w:val="26"/>
          <w:lang w:val="it-IT"/>
        </w:rPr>
        <w:t>- Thông báo cho Nhà thầu tư vấn để giải trình kết quả thực hiện gói thầu trong quá trình thẩm định và phê duyệt.</w:t>
      </w:r>
    </w:p>
    <w:p w:rsidR="00855456" w:rsidRPr="00274DB0" w:rsidRDefault="00855456" w:rsidP="00855456">
      <w:pPr>
        <w:spacing w:before="60"/>
        <w:ind w:firstLine="425"/>
        <w:rPr>
          <w:sz w:val="26"/>
          <w:szCs w:val="26"/>
          <w:lang w:val="it-IT"/>
        </w:rPr>
      </w:pPr>
      <w:r w:rsidRPr="00274DB0">
        <w:rPr>
          <w:sz w:val="26"/>
          <w:szCs w:val="26"/>
          <w:lang w:val="it-IT"/>
        </w:rPr>
        <w:lastRenderedPageBreak/>
        <w:t>- Khi có đầy đủ hồ sơ kiểm toán tổ chức nghiệm thu và thanh toán theo quy định hiện hành.</w:t>
      </w:r>
    </w:p>
    <w:p w:rsidR="00855456" w:rsidRPr="00274DB0" w:rsidRDefault="00855456" w:rsidP="00855456">
      <w:pPr>
        <w:spacing w:before="60"/>
        <w:ind w:firstLine="425"/>
        <w:rPr>
          <w:sz w:val="26"/>
          <w:szCs w:val="26"/>
          <w:lang w:val="it-IT"/>
        </w:rPr>
      </w:pPr>
      <w:r w:rsidRPr="00274DB0">
        <w:rPr>
          <w:sz w:val="26"/>
          <w:szCs w:val="26"/>
          <w:lang w:val="it-IT"/>
        </w:rPr>
        <w:t>- Cùng bàn bạc và đi đến thống nhất trước khi quyết định các vấn đề quan trọng liên quan đến phạm vi công việc của Nhà thầu.</w:t>
      </w:r>
    </w:p>
    <w:p w:rsidR="00855456" w:rsidRPr="00274DB0" w:rsidRDefault="00855456" w:rsidP="00855456">
      <w:pPr>
        <w:spacing w:before="60"/>
        <w:ind w:firstLine="425"/>
        <w:rPr>
          <w:sz w:val="26"/>
          <w:szCs w:val="26"/>
          <w:lang w:val="it-IT"/>
        </w:rPr>
      </w:pPr>
      <w:r w:rsidRPr="00274DB0">
        <w:rPr>
          <w:sz w:val="26"/>
          <w:szCs w:val="26"/>
          <w:lang w:val="it-IT"/>
        </w:rPr>
        <w:t>- Thực hiện biện pháp khắc phục các tồn tại được phát hiện trong quá trình kiểm toán.</w:t>
      </w:r>
    </w:p>
    <w:p w:rsidR="00855456" w:rsidRPr="00274DB0" w:rsidRDefault="00855456" w:rsidP="00855456">
      <w:pPr>
        <w:spacing w:before="60"/>
        <w:ind w:firstLine="425"/>
        <w:rPr>
          <w:sz w:val="26"/>
          <w:szCs w:val="26"/>
          <w:lang w:val="it-IT"/>
        </w:rPr>
      </w:pPr>
      <w:r w:rsidRPr="00274DB0">
        <w:rPr>
          <w:sz w:val="26"/>
          <w:szCs w:val="26"/>
          <w:lang w:val="it-IT"/>
        </w:rPr>
        <w:t>- Sau khi hồ sơ kiểm toán được nghiệm thu, Bên mời thầu soát xét và trình Chủ đầu tư phê duyệt Báo cáo quyết toán vốn đầu tư dự án hoàn thành.</w:t>
      </w:r>
    </w:p>
    <w:p w:rsidR="00855456" w:rsidRPr="00274DB0" w:rsidRDefault="00855456" w:rsidP="00855456">
      <w:pPr>
        <w:spacing w:before="120" w:after="60"/>
        <w:rPr>
          <w:b/>
          <w:sz w:val="26"/>
          <w:szCs w:val="26"/>
          <w:lang w:val="it-IT"/>
        </w:rPr>
      </w:pPr>
      <w:r w:rsidRPr="00274DB0">
        <w:rPr>
          <w:b/>
          <w:sz w:val="26"/>
          <w:szCs w:val="26"/>
          <w:lang w:val="it-IT"/>
        </w:rPr>
        <w:t>VI. Trách nhiệm và nghĩa vụ của nhà thầu kiểm toán</w:t>
      </w:r>
    </w:p>
    <w:p w:rsidR="00855456" w:rsidRPr="00274DB0" w:rsidRDefault="00855456" w:rsidP="00855456">
      <w:pPr>
        <w:numPr>
          <w:ilvl w:val="0"/>
          <w:numId w:val="9"/>
        </w:numPr>
        <w:spacing w:before="120" w:line="360" w:lineRule="exact"/>
        <w:ind w:left="567" w:hanging="283"/>
        <w:rPr>
          <w:b/>
          <w:i/>
          <w:sz w:val="26"/>
          <w:szCs w:val="26"/>
          <w:lang w:val="it-IT"/>
        </w:rPr>
      </w:pPr>
      <w:r w:rsidRPr="00274DB0">
        <w:rPr>
          <w:b/>
          <w:i/>
          <w:sz w:val="26"/>
          <w:szCs w:val="26"/>
          <w:lang w:val="it-IT"/>
        </w:rPr>
        <w:t>Trách nhiệm của nhà thầu kiểm toán</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Nhà thầu kiểm toán, kế toán viên khi thực hiện kiểm toán quyết toán dự án hoàn thành phải chấp hành nguyên tắc hoạt động kiểm toán độc lập, có quyền hạn, nghĩa vụ và chịu trách nhiệm theo quy định của pháp luật về kiểm toán độc lập;</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Chịu trách nhiệm trước pháp luật, khách hàng và người sử dụng kết quả kiểm toán báo cáo quyết toán về nội dung và kết quả kiểm toán trong Báo cáo kiểm toán độc lập về báo cáo quyết toán dự án hoàn thành.</w:t>
      </w:r>
    </w:p>
    <w:p w:rsidR="00855456" w:rsidRPr="00274DB0" w:rsidRDefault="00855456" w:rsidP="00855456">
      <w:pPr>
        <w:numPr>
          <w:ilvl w:val="0"/>
          <w:numId w:val="10"/>
        </w:numPr>
        <w:spacing w:line="360" w:lineRule="exact"/>
        <w:ind w:left="0" w:firstLine="360"/>
        <w:rPr>
          <w:b/>
          <w:i/>
          <w:sz w:val="26"/>
          <w:szCs w:val="26"/>
          <w:lang w:val="it-IT"/>
        </w:rPr>
      </w:pPr>
      <w:r w:rsidRPr="00274DB0">
        <w:rPr>
          <w:b/>
          <w:i/>
          <w:sz w:val="26"/>
          <w:szCs w:val="26"/>
          <w:lang w:val="it-IT"/>
        </w:rPr>
        <w:t>Nghĩa vụ của nhà thầu kiểm toán</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 xml:space="preserve">Nội dung công việc nêu tại Mục II được tiến hành theo đúng các nguyên tắc, chuẩn mực kế toán và chuẩn mực kiểm toán độc lập hiện hành tại Việt Nam, phù hợp với các văn bản pháp luật của Nhà nước ban hành trong lĩnh vực xây dựng cơ bản, theo tình hình thực tế của Chủ đầu tư/Đại diện chủ đầu tư và theo những thỏa thuận được thống nhất bằng văn bản trong quá trình thực hiện. Kết quả dịch vụ đảm bảo khách quan, sát thực tế, bí mật số liệu. </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 xml:space="preserve">Thực hiện kiểm tra, đánh giá tính đúng đắn, phù hợp của giá trị TMĐT dự án, dự toán các gói thầu được duyệt... có ý kiến về kết quả kiểm toán bằng văn bản cho Chủ đầu tư/Đại diện chủ đầu tư. </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Thực hiện Kiểm toán tối thiểu, nhưng không giới hạn toàn bộ dự toán các gói thầu Xây dựng, Mua sắm VTTB. Kiểm toán tối thiểu, nhưng không giới hạn việc ký kết, nghiệm thu, thanh quyết toán với Nhà thầu toàn bộ các hợp đồng mua sắm thiết bị, hợp đồng xây dựng, hợp đồng tư vấn khảo sát và chi phí bồi thường, hỗ trợ và tái định cư. Nêu rõ kết quả kiểm toán trong Báo cáo kiểm toán.</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 xml:space="preserve">Khi Chủ đầu tư/Đại diện chủ đầu tư yêu cầu kiểm toán giá trị quyết toán với Nhà thầu theo từng gói thầu ngay sau khi hoàn thành quyết toán với Nhà thầu để làm căn cứ thanh toán và làm cơ sở lập quyết toán khi dự án hoàn thành. Nhà thầu phải bố trí nhân sự thực hiện kiểm toán kịp thời và thông báo kết quả cho Chủ đầu tư/Đại diện chủ đầu tư bằng văn bản sau khi có kết quả kiểm toán. </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Nhà thầu chỉ được ngoại trừ đối với các Nội dung công việc Chủ đầu tư/Đại diện chủ đầu tư không cung cấp đủ Hồ sơ cho Nhà thầu. Các trường hợp còn lại Nhà thầu có nghĩa vụ thực hiện kiểm toán và xác định kết quả cuối cùng phù hợp với quy định của pháp luật.</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lastRenderedPageBreak/>
        <w:t>Nhà thầu phải tiến hành việc khảo sát nhằm xem xét đánh giá toàn bộ công tác tổ chức, thực hiện dự án cũng như tiến độ thi công của các gói thầu và tình hình chuẩn bị toàn bộ hồ sơ dự án để nhận biết được sự kiện, nghiệp vụ và các vấn đề ảnh hưởng trọng yếu đến công tác kiểm toán và khả năng hoàn thành công việc theo kế hoạch nêu ra.</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Nhà thầu bảo đảm tuân thủ các chuẩn mực kiểm toán hiện hành.</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Thực hiện đúng chương trình kiểm toán theo nguyên tắc độc lập, khách quan, trung thực và bí mật số liệu.</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Chịu trách nhiệm về tính trung thực, khách quan, hợp lý của thông tin đưa ra trong Báo cáo kiểm toán.</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Trong vòng 05 ngày làm việc kể từ ngày nhận được thông báo nhận tài liệu dự án và thực hiện kiểm toán từ Chủ đầu tư/Đại diện chủ đầu tư, Nhà thầu phải gửi cho Chủ đầu tư/Đại diện chủ đầu tư Kế hoạch làm việc theo quy định, nêu rõ danh sách các kiểm toán viên thực hiện kiểm toán kể cả làm việc tại trụ sở Đại diện chủ đầu tư và tại trụ sở của Nhà thầu phù hợp với phần nhân sự trong Kế hoạch Kiểm toán tổng thể của Nhà thầu. Kế hoạch làm việc phải đủ thời gian cần thiết để các kiểm toán viên thực hiện kiểm toán đảm bảo chất lượng theo quy định.</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 xml:space="preserve">“Nhà thầu phải mở sổ nhật ký kiểm toán để các kiểm toán viên ghi lại các nội dung chính kiểm toán đã thực hiện trong ngày, các yêu cầu bổ sung trong ngày đối với Chủ đầu tư/Đại diện chủ đầu tư (nếu có), Nội dung ghi chép vào nhật ký kiểm toán cần ghi rõ những thông tin tối thiểu sau: Công việc thực hiện trong ngày (Kiểm tra gói thầu nào/ Thu thập tài liệu/ Họp với Chủ đầu tư/Đại diện chủ đầu tư/ Họp nội bộ/Soát xét báo cáo ...), Họ tên và số điện thoại KTV thực hiện,  Địa điểm thực hiện . . . .Trường hợp làm việc tại trụ sở Đại diện chủ đầu tư ghi rõ Họ tên cán bộ, nhân viên được Đại diện chủ đầu tư cử làm việc với kiểm toán viên và yêu cầu cán bộ Đại diện chủ đầu tư ký xác nhận “KTV có làm việc tại trụ sở Đại diện chủ đầu tư” vào sổ nhật ký. Nhật ký kiểm toán sẽ là cơ sở để kiểm tra việc thực hiện Kế hoạch làm việc của Nhà thầu, Chủ đầu tư/Đại diện chủ đầu tư nắm rõ số gói thầu kiểm toán đã kiểm tra hoặc chưa kiểm tra và là cơ sở để hai bên kiểm điểm trách nhiệm trong việc thực hiện hợp đồng khi thanh, quyết toán hợp đồng. Sổ nhật ký kiểm toán được giao lại cho Đại diện chủ đầu tư quản lý khi hoàn thành báo cáo kiểm toán. </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Hoàn thành công việc theo đúng tiến độ, nộp báo cáo cho Đại diện chủ đầu tư trong thời hạn và theo các hình thức được nêu trong Phụ lục C “Trách nhiệm báo cáo của Nhà thầu”.</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Chịu trách nhiệm trước pháp luật, trước Chủ đầu tư/Đại diện chủ đầu tư và cơ quan có thẩm quyền phê duyệt quyết toán về kết quả kiểm toán việc lập, thẩm định và phê duyệt TMĐT dự án; phê duyệt Dự toán gói thầu; nghiệm thu, thanh toán các Hợp đồng với Nhà thầu; kiểm toán báo cáo quyết toán dự án.</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Giải trình bằng văn bản các nội dung ngoại trừ trong báo cáo kiểm toán (nếu có) cho Chủ đầu tư/Đại diện chủ đầu tư và EVNNPT.</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lastRenderedPageBreak/>
        <w:t>Trong quá trình Kiểm toán nếu phát hiện trong hồ sơ quyết toán Chủ đầu tư/Đại diện chủ đầu tư có sai sót, Nhà thầu đưa ra các kiến nghị với Chủ đầu tư/Đại diện chủ đầu tư phương án xử lý đảm bảo lợi ích tối đa cho Chủ đầu tư/Đại diện chủ đầu tư phù hợp với quy định của Pháp luật.</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Tham gia cùng với Chủ đầu tư/Đại diện chủ đầu tư để giải trình, bảo vệ báo cáo kiểm toán trước cơ quan có thẩm quyền thẩm tra phê duyệt quyết toán tại các địa điểm thẩm tra mà cơ quan có thẩm quyền thẩm tra phê duyệt quyết toán chỉ định.</w:t>
      </w:r>
    </w:p>
    <w:p w:rsidR="00855456" w:rsidRPr="00274DB0" w:rsidRDefault="00855456" w:rsidP="00855456">
      <w:pPr>
        <w:numPr>
          <w:ilvl w:val="0"/>
          <w:numId w:val="4"/>
        </w:numPr>
        <w:spacing w:line="360" w:lineRule="exact"/>
        <w:ind w:left="0" w:firstLine="567"/>
        <w:rPr>
          <w:sz w:val="26"/>
          <w:szCs w:val="26"/>
          <w:lang w:val="it-IT"/>
        </w:rPr>
      </w:pPr>
      <w:r w:rsidRPr="00274DB0">
        <w:rPr>
          <w:sz w:val="26"/>
          <w:szCs w:val="26"/>
          <w:lang w:val="it-IT"/>
        </w:rPr>
        <w:t>Bồi thường thiệt hại và các chi phí phát sinh nếu việc cung cấp dịch vụ kiểm toán của Nhà thầu không chính xác, gây thiệt hại cho Chủ đầu tư/Đại diện chủ đầu tư và các chủ thể có liên quan.</w:t>
      </w:r>
    </w:p>
    <w:p w:rsidR="003E1B80" w:rsidRPr="00274DB0" w:rsidRDefault="00855456" w:rsidP="00855456">
      <w:pPr>
        <w:spacing w:before="60" w:after="60"/>
        <w:ind w:firstLine="720"/>
        <w:rPr>
          <w:b/>
          <w:sz w:val="26"/>
          <w:szCs w:val="26"/>
          <w:lang w:val="it-IT"/>
        </w:rPr>
      </w:pPr>
      <w:r w:rsidRPr="00274DB0">
        <w:rPr>
          <w:sz w:val="26"/>
          <w:szCs w:val="26"/>
          <w:lang w:val="it-IT"/>
        </w:rPr>
        <w:t>Các nghĩa vụ khác được nêu tại Mục 15. Quyền và nghĩa vụ của nhà thầu thuộc Chương VI. Điều kiện chung của Hợp đồng, và các quy định của pháp luật hiện hành.</w:t>
      </w:r>
    </w:p>
    <w:sectPr w:rsidR="003E1B80" w:rsidRPr="00274DB0" w:rsidSect="002E6C0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498F"/>
    <w:multiLevelType w:val="hybridMultilevel"/>
    <w:tmpl w:val="4E5EB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E368F"/>
    <w:multiLevelType w:val="hybridMultilevel"/>
    <w:tmpl w:val="760E8CFA"/>
    <w:lvl w:ilvl="0" w:tplc="6344A69C">
      <w:numFmt w:val="bullet"/>
      <w:lvlText w:val="-"/>
      <w:lvlJc w:val="left"/>
      <w:pPr>
        <w:ind w:left="2431" w:hanging="360"/>
      </w:pPr>
      <w:rPr>
        <w:rFonts w:ascii="Times New Roman" w:eastAsia="Times New Roman" w:hAnsi="Times New Roman" w:cs="Times New Roman" w:hint="default"/>
      </w:rPr>
    </w:lvl>
    <w:lvl w:ilvl="1" w:tplc="042A0003" w:tentative="1">
      <w:start w:val="1"/>
      <w:numFmt w:val="bullet"/>
      <w:lvlText w:val="o"/>
      <w:lvlJc w:val="left"/>
      <w:pPr>
        <w:ind w:left="3510" w:hanging="360"/>
      </w:pPr>
      <w:rPr>
        <w:rFonts w:ascii="Courier New" w:hAnsi="Courier New" w:cs="Courier New" w:hint="default"/>
      </w:rPr>
    </w:lvl>
    <w:lvl w:ilvl="2" w:tplc="042A0005" w:tentative="1">
      <w:start w:val="1"/>
      <w:numFmt w:val="bullet"/>
      <w:lvlText w:val=""/>
      <w:lvlJc w:val="left"/>
      <w:pPr>
        <w:ind w:left="4230" w:hanging="360"/>
      </w:pPr>
      <w:rPr>
        <w:rFonts w:ascii="Wingdings" w:hAnsi="Wingdings" w:hint="default"/>
      </w:rPr>
    </w:lvl>
    <w:lvl w:ilvl="3" w:tplc="042A0001" w:tentative="1">
      <w:start w:val="1"/>
      <w:numFmt w:val="bullet"/>
      <w:lvlText w:val=""/>
      <w:lvlJc w:val="left"/>
      <w:pPr>
        <w:ind w:left="4950" w:hanging="360"/>
      </w:pPr>
      <w:rPr>
        <w:rFonts w:ascii="Symbol" w:hAnsi="Symbol" w:hint="default"/>
      </w:rPr>
    </w:lvl>
    <w:lvl w:ilvl="4" w:tplc="042A0003" w:tentative="1">
      <w:start w:val="1"/>
      <w:numFmt w:val="bullet"/>
      <w:lvlText w:val="o"/>
      <w:lvlJc w:val="left"/>
      <w:pPr>
        <w:ind w:left="5670" w:hanging="360"/>
      </w:pPr>
      <w:rPr>
        <w:rFonts w:ascii="Courier New" w:hAnsi="Courier New" w:cs="Courier New" w:hint="default"/>
      </w:rPr>
    </w:lvl>
    <w:lvl w:ilvl="5" w:tplc="042A0005" w:tentative="1">
      <w:start w:val="1"/>
      <w:numFmt w:val="bullet"/>
      <w:lvlText w:val=""/>
      <w:lvlJc w:val="left"/>
      <w:pPr>
        <w:ind w:left="6390" w:hanging="360"/>
      </w:pPr>
      <w:rPr>
        <w:rFonts w:ascii="Wingdings" w:hAnsi="Wingdings" w:hint="default"/>
      </w:rPr>
    </w:lvl>
    <w:lvl w:ilvl="6" w:tplc="042A0001" w:tentative="1">
      <w:start w:val="1"/>
      <w:numFmt w:val="bullet"/>
      <w:lvlText w:val=""/>
      <w:lvlJc w:val="left"/>
      <w:pPr>
        <w:ind w:left="7110" w:hanging="360"/>
      </w:pPr>
      <w:rPr>
        <w:rFonts w:ascii="Symbol" w:hAnsi="Symbol" w:hint="default"/>
      </w:rPr>
    </w:lvl>
    <w:lvl w:ilvl="7" w:tplc="042A0003" w:tentative="1">
      <w:start w:val="1"/>
      <w:numFmt w:val="bullet"/>
      <w:lvlText w:val="o"/>
      <w:lvlJc w:val="left"/>
      <w:pPr>
        <w:ind w:left="7830" w:hanging="360"/>
      </w:pPr>
      <w:rPr>
        <w:rFonts w:ascii="Courier New" w:hAnsi="Courier New" w:cs="Courier New" w:hint="default"/>
      </w:rPr>
    </w:lvl>
    <w:lvl w:ilvl="8" w:tplc="042A0005" w:tentative="1">
      <w:start w:val="1"/>
      <w:numFmt w:val="bullet"/>
      <w:lvlText w:val=""/>
      <w:lvlJc w:val="left"/>
      <w:pPr>
        <w:ind w:left="8550" w:hanging="360"/>
      </w:pPr>
      <w:rPr>
        <w:rFonts w:ascii="Wingdings" w:hAnsi="Wingdings" w:hint="default"/>
      </w:rPr>
    </w:lvl>
  </w:abstractNum>
  <w:abstractNum w:abstractNumId="2" w15:restartNumberingAfterBreak="0">
    <w:nsid w:val="17387088"/>
    <w:multiLevelType w:val="hybridMultilevel"/>
    <w:tmpl w:val="1D6C3E20"/>
    <w:lvl w:ilvl="0" w:tplc="042A0019">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AD75916"/>
    <w:multiLevelType w:val="hybridMultilevel"/>
    <w:tmpl w:val="B9BCEC62"/>
    <w:lvl w:ilvl="0" w:tplc="042A000F">
      <w:start w:val="1"/>
      <w:numFmt w:val="decimal"/>
      <w:lvlText w:val="%1."/>
      <w:lvlJc w:val="left"/>
      <w:pPr>
        <w:ind w:left="1146" w:hanging="360"/>
      </w:p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4" w15:restartNumberingAfterBreak="0">
    <w:nsid w:val="37D63DD3"/>
    <w:multiLevelType w:val="hybridMultilevel"/>
    <w:tmpl w:val="86B0B412"/>
    <w:lvl w:ilvl="0" w:tplc="A79E04E8">
      <w:start w:val="1"/>
      <w:numFmt w:val="decimal"/>
      <w:lvlText w:val="%1."/>
      <w:lvlJc w:val="left"/>
      <w:pPr>
        <w:ind w:left="1287" w:hanging="360"/>
      </w:pPr>
      <w:rPr>
        <w:sz w:val="26"/>
        <w:szCs w:val="26"/>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3DD42735"/>
    <w:multiLevelType w:val="multilevel"/>
    <w:tmpl w:val="80443344"/>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FD63E39"/>
    <w:multiLevelType w:val="hybridMultilevel"/>
    <w:tmpl w:val="A4A6E356"/>
    <w:lvl w:ilvl="0" w:tplc="FFFFFFFF">
      <w:start w:val="1"/>
      <w:numFmt w:val="bullet"/>
      <w:lvlText w:val="+"/>
      <w:lvlJc w:val="left"/>
      <w:pPr>
        <w:tabs>
          <w:tab w:val="num" w:pos="3720"/>
        </w:tabs>
        <w:ind w:left="3720" w:hanging="360"/>
      </w:pPr>
      <w:rPr>
        <w:rFonts w:ascii="Courier New" w:hAnsi="Courier New" w:cs="Times New Roman" w:hint="default"/>
        <w:b w:val="0"/>
        <w:i w:val="0"/>
        <w:strike w:val="0"/>
        <w:dstrike w:val="0"/>
        <w:color w:val="auto"/>
        <w:sz w:val="26"/>
        <w:szCs w:val="26"/>
        <w:u w:val="none"/>
        <w:effect w:val="none"/>
      </w:rPr>
    </w:lvl>
    <w:lvl w:ilvl="1" w:tplc="FFFFFFFF">
      <w:start w:val="1"/>
      <w:numFmt w:val="bullet"/>
      <w:lvlText w:val="o"/>
      <w:lvlJc w:val="left"/>
      <w:pPr>
        <w:tabs>
          <w:tab w:val="num" w:pos="3375"/>
        </w:tabs>
        <w:ind w:left="3375" w:hanging="360"/>
      </w:pPr>
      <w:rPr>
        <w:rFonts w:ascii="Courier New" w:hAnsi="Courier New" w:cs="Courier New" w:hint="default"/>
      </w:rPr>
    </w:lvl>
    <w:lvl w:ilvl="2" w:tplc="FFFFFFFF">
      <w:start w:val="1"/>
      <w:numFmt w:val="bullet"/>
      <w:lvlText w:val="+"/>
      <w:lvlJc w:val="left"/>
      <w:pPr>
        <w:tabs>
          <w:tab w:val="num" w:pos="4095"/>
        </w:tabs>
        <w:ind w:left="4095" w:hanging="360"/>
      </w:pPr>
      <w:rPr>
        <w:rFonts w:ascii="Courier New" w:hAnsi="Courier New" w:cs="Times New Roman" w:hint="default"/>
        <w:b w:val="0"/>
        <w:i w:val="0"/>
        <w:strike w:val="0"/>
        <w:dstrike w:val="0"/>
        <w:color w:val="auto"/>
        <w:sz w:val="26"/>
        <w:szCs w:val="26"/>
        <w:u w:val="none"/>
        <w:effect w:val="none"/>
      </w:rPr>
    </w:lvl>
    <w:lvl w:ilvl="3" w:tplc="FFFFFFFF">
      <w:start w:val="1"/>
      <w:numFmt w:val="bullet"/>
      <w:lvlText w:val=""/>
      <w:lvlJc w:val="left"/>
      <w:pPr>
        <w:tabs>
          <w:tab w:val="num" w:pos="4815"/>
        </w:tabs>
        <w:ind w:left="4815" w:hanging="360"/>
      </w:pPr>
      <w:rPr>
        <w:rFonts w:ascii="Symbol" w:hAnsi="Symbol" w:hint="default"/>
      </w:rPr>
    </w:lvl>
    <w:lvl w:ilvl="4" w:tplc="FFFFFFFF">
      <w:start w:val="1"/>
      <w:numFmt w:val="bullet"/>
      <w:lvlText w:val="o"/>
      <w:lvlJc w:val="left"/>
      <w:pPr>
        <w:tabs>
          <w:tab w:val="num" w:pos="5535"/>
        </w:tabs>
        <w:ind w:left="5535" w:hanging="360"/>
      </w:pPr>
      <w:rPr>
        <w:rFonts w:ascii="Courier New" w:hAnsi="Courier New" w:cs="Courier New" w:hint="default"/>
      </w:rPr>
    </w:lvl>
    <w:lvl w:ilvl="5" w:tplc="FFFFFFFF">
      <w:start w:val="1"/>
      <w:numFmt w:val="bullet"/>
      <w:lvlText w:val=""/>
      <w:lvlJc w:val="left"/>
      <w:pPr>
        <w:tabs>
          <w:tab w:val="num" w:pos="6255"/>
        </w:tabs>
        <w:ind w:left="6255" w:hanging="360"/>
      </w:pPr>
      <w:rPr>
        <w:rFonts w:ascii="Wingdings" w:hAnsi="Wingdings" w:hint="default"/>
      </w:rPr>
    </w:lvl>
    <w:lvl w:ilvl="6" w:tplc="FFFFFFFF">
      <w:start w:val="1"/>
      <w:numFmt w:val="bullet"/>
      <w:lvlText w:val=""/>
      <w:lvlJc w:val="left"/>
      <w:pPr>
        <w:tabs>
          <w:tab w:val="num" w:pos="6975"/>
        </w:tabs>
        <w:ind w:left="6975" w:hanging="360"/>
      </w:pPr>
      <w:rPr>
        <w:rFonts w:ascii="Symbol" w:hAnsi="Symbol" w:hint="default"/>
      </w:rPr>
    </w:lvl>
    <w:lvl w:ilvl="7" w:tplc="FFFFFFFF">
      <w:start w:val="1"/>
      <w:numFmt w:val="bullet"/>
      <w:lvlText w:val="o"/>
      <w:lvlJc w:val="left"/>
      <w:pPr>
        <w:tabs>
          <w:tab w:val="num" w:pos="7695"/>
        </w:tabs>
        <w:ind w:left="7695" w:hanging="360"/>
      </w:pPr>
      <w:rPr>
        <w:rFonts w:ascii="Courier New" w:hAnsi="Courier New" w:cs="Courier New" w:hint="default"/>
      </w:rPr>
    </w:lvl>
    <w:lvl w:ilvl="8" w:tplc="FFFFFFFF">
      <w:start w:val="1"/>
      <w:numFmt w:val="bullet"/>
      <w:lvlText w:val=""/>
      <w:lvlJc w:val="left"/>
      <w:pPr>
        <w:tabs>
          <w:tab w:val="num" w:pos="8415"/>
        </w:tabs>
        <w:ind w:left="8415" w:hanging="360"/>
      </w:pPr>
      <w:rPr>
        <w:rFonts w:ascii="Wingdings" w:hAnsi="Wingdings" w:hint="default"/>
      </w:rPr>
    </w:lvl>
  </w:abstractNum>
  <w:abstractNum w:abstractNumId="7" w15:restartNumberingAfterBreak="0">
    <w:nsid w:val="5E4F42E8"/>
    <w:multiLevelType w:val="hybridMultilevel"/>
    <w:tmpl w:val="94B6737A"/>
    <w:lvl w:ilvl="0" w:tplc="C29C5A36">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2FB7A5A"/>
    <w:multiLevelType w:val="hybridMultilevel"/>
    <w:tmpl w:val="67EE757A"/>
    <w:lvl w:ilvl="0" w:tplc="1E4CA8CA">
      <w:start w:val="1"/>
      <w:numFmt w:val="bullet"/>
      <w:lvlText w:val="-"/>
      <w:lvlJc w:val="left"/>
      <w:pPr>
        <w:ind w:left="720" w:hanging="360"/>
      </w:pPr>
      <w:rPr>
        <w:rFonts w:ascii="Times New Roman" w:eastAsia="Calibri" w:hAnsi="Times New Roman" w:cs="Times New Roman" w:hint="default"/>
      </w:rPr>
    </w:lvl>
    <w:lvl w:ilvl="1" w:tplc="04090019">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25052"/>
    <w:multiLevelType w:val="multilevel"/>
    <w:tmpl w:val="1B32C080"/>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9"/>
  </w:num>
  <w:num w:numId="3">
    <w:abstractNumId w:val="6"/>
  </w:num>
  <w:num w:numId="4">
    <w:abstractNumId w:val="8"/>
  </w:num>
  <w:num w:numId="5">
    <w:abstractNumId w:val="4"/>
  </w:num>
  <w:num w:numId="6">
    <w:abstractNumId w:val="3"/>
  </w:num>
  <w:num w:numId="7">
    <w:abstractNumId w:val="2"/>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01"/>
    <w:rsid w:val="00016D08"/>
    <w:rsid w:val="001B2723"/>
    <w:rsid w:val="00274DB0"/>
    <w:rsid w:val="002E6C01"/>
    <w:rsid w:val="00314992"/>
    <w:rsid w:val="00353461"/>
    <w:rsid w:val="003D028B"/>
    <w:rsid w:val="004A259A"/>
    <w:rsid w:val="00574C2E"/>
    <w:rsid w:val="00596EA3"/>
    <w:rsid w:val="005D1639"/>
    <w:rsid w:val="005D1F30"/>
    <w:rsid w:val="005E7D67"/>
    <w:rsid w:val="0065377A"/>
    <w:rsid w:val="006E531D"/>
    <w:rsid w:val="00855456"/>
    <w:rsid w:val="00A96012"/>
    <w:rsid w:val="00C41650"/>
    <w:rsid w:val="00C5542D"/>
    <w:rsid w:val="00EE6650"/>
    <w:rsid w:val="00F019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F490E-2613-42A7-B622-84B20AF6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C01"/>
    <w:pPr>
      <w:spacing w:after="0" w:line="240" w:lineRule="auto"/>
      <w:jc w:val="both"/>
    </w:pPr>
    <w:rPr>
      <w:rFonts w:eastAsia="Times New Roman" w:cs="Times New Roman"/>
      <w:sz w:val="24"/>
      <w:szCs w:val="20"/>
      <w:lang w:val="en-US"/>
    </w:rPr>
  </w:style>
  <w:style w:type="paragraph" w:styleId="Heading1">
    <w:name w:val="heading 1"/>
    <w:aliases w:val="level 1"/>
    <w:basedOn w:val="Normal"/>
    <w:next w:val="Normal"/>
    <w:link w:val="Heading1Char"/>
    <w:uiPriority w:val="9"/>
    <w:qFormat/>
    <w:rsid w:val="002E6C01"/>
    <w:pPr>
      <w:suppressAutoHyphens/>
      <w:spacing w:before="60" w:after="60" w:line="288" w:lineRule="auto"/>
      <w:jc w:val="center"/>
      <w:outlineLvl w:val="0"/>
    </w:pPr>
    <w:rPr>
      <w:rFonts w:ascii="Times New Roman Bold" w:hAnsi="Times New Roman Bold"/>
      <w:b/>
      <w:sz w:val="28"/>
    </w:rPr>
  </w:style>
  <w:style w:type="paragraph" w:styleId="Heading2">
    <w:name w:val="heading 2"/>
    <w:basedOn w:val="Normal"/>
    <w:next w:val="Normal"/>
    <w:link w:val="Heading2Char"/>
    <w:uiPriority w:val="9"/>
    <w:semiHidden/>
    <w:unhideWhenUsed/>
    <w:qFormat/>
    <w:rsid w:val="003149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uiPriority w:val="9"/>
    <w:rsid w:val="002E6C01"/>
    <w:rPr>
      <w:rFonts w:ascii="Times New Roman Bold" w:eastAsia="Times New Roman" w:hAnsi="Times New Roman Bold" w:cs="Times New Roman"/>
      <w:b/>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99"/>
    <w:qFormat/>
    <w:rsid w:val="002E6C0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2E6C01"/>
    <w:rPr>
      <w:rFonts w:eastAsia="Times New Roman" w:cs="Times New Roman"/>
      <w:sz w:val="24"/>
      <w:szCs w:val="20"/>
      <w:lang w:val="en-US"/>
    </w:rPr>
  </w:style>
  <w:style w:type="character" w:customStyle="1" w:styleId="Heading2Char">
    <w:name w:val="Heading 2 Char"/>
    <w:basedOn w:val="DefaultParagraphFont"/>
    <w:link w:val="Heading2"/>
    <w:rsid w:val="00314992"/>
    <w:rPr>
      <w:rFonts w:asciiTheme="majorHAnsi" w:eastAsiaTheme="majorEastAsia" w:hAnsiTheme="majorHAnsi" w:cstheme="majorBidi"/>
      <w:color w:val="2E74B5" w:themeColor="accent1" w:themeShade="BF"/>
      <w:sz w:val="26"/>
      <w:szCs w:val="26"/>
      <w:lang w:val="en-US"/>
    </w:rPr>
  </w:style>
  <w:style w:type="paragraph" w:styleId="NoSpacing">
    <w:name w:val="No Spacing"/>
    <w:uiPriority w:val="1"/>
    <w:qFormat/>
    <w:rsid w:val="00314992"/>
    <w:pPr>
      <w:spacing w:after="0" w:line="240" w:lineRule="auto"/>
      <w:ind w:firstLine="720"/>
      <w:jc w:val="both"/>
    </w:pPr>
    <w:rPr>
      <w:rFonts w:ascii=".VnTime" w:eastAsia="Times New Roman" w:hAnsi=".VnTime" w:cs="Times New Roman"/>
      <w:sz w:val="26"/>
      <w:szCs w:val="20"/>
      <w:lang w:val="en-US"/>
    </w:rPr>
  </w:style>
  <w:style w:type="paragraph" w:styleId="BodyText3">
    <w:name w:val="Body Text 3"/>
    <w:basedOn w:val="Normal"/>
    <w:link w:val="BodyText3Char"/>
    <w:rsid w:val="00314992"/>
    <w:pPr>
      <w:suppressAutoHyphens/>
      <w:spacing w:after="140"/>
      <w:jc w:val="left"/>
    </w:pPr>
    <w:rPr>
      <w:i/>
      <w:iCs/>
      <w:color w:val="000000"/>
      <w:szCs w:val="24"/>
    </w:rPr>
  </w:style>
  <w:style w:type="character" w:customStyle="1" w:styleId="BodyText3Char">
    <w:name w:val="Body Text 3 Char"/>
    <w:basedOn w:val="DefaultParagraphFont"/>
    <w:link w:val="BodyText3"/>
    <w:rsid w:val="00314992"/>
    <w:rPr>
      <w:rFonts w:eastAsia="Times New Roman" w:cs="Times New Roman"/>
      <w:i/>
      <w:i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15</cp:revision>
  <dcterms:created xsi:type="dcterms:W3CDTF">2026-06-26T02:42:00Z</dcterms:created>
  <dcterms:modified xsi:type="dcterms:W3CDTF">2026-06-30T07:33:00Z</dcterms:modified>
</cp:coreProperties>
</file>