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0276" w14:textId="77777777" w:rsidR="00E55C39" w:rsidRPr="00914734" w:rsidRDefault="00E55C39" w:rsidP="00E55C39">
      <w:pPr>
        <w:spacing w:before="80" w:after="80" w:line="264" w:lineRule="auto"/>
        <w:ind w:firstLine="709"/>
        <w:rPr>
          <w:rFonts w:asciiTheme="majorHAnsi" w:hAnsiTheme="majorHAnsi" w:cstheme="majorHAnsi"/>
          <w:sz w:val="26"/>
          <w:szCs w:val="26"/>
          <w:lang w:val="es-ES"/>
        </w:rPr>
      </w:pP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Căn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cứ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quy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mô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tính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chất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của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gói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thầu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mà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xác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định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mức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độ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yêu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cầu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đối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với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từng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nội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dung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.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Đối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với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chỉ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sử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dụng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.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Đối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với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chi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tiết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bản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trong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chỉ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sử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dụng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;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đối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với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chi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tiết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bản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trong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ngoài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,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áp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dụng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thêm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chấp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nhận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nhưng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vượt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30%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số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chi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tiết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trong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đó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. </w:t>
      </w:r>
    </w:p>
    <w:p w14:paraId="4E6D2D20" w14:textId="77777777" w:rsidR="00E55C39" w:rsidRPr="00914734" w:rsidRDefault="00E55C39" w:rsidP="00E55C39">
      <w:pPr>
        <w:spacing w:before="80" w:after="80" w:line="264" w:lineRule="auto"/>
        <w:ind w:firstLine="709"/>
        <w:rPr>
          <w:rFonts w:asciiTheme="majorHAnsi" w:hAnsiTheme="majorHAnsi" w:cstheme="majorHAnsi"/>
          <w:sz w:val="26"/>
          <w:szCs w:val="26"/>
          <w:lang w:val="es-ES"/>
        </w:rPr>
      </w:pP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là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tất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cả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chi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tiết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bản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là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chi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tiết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không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bản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là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hoặc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chấp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nhận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>.</w:t>
      </w:r>
    </w:p>
    <w:p w14:paraId="4D6910AC" w14:textId="77777777" w:rsidR="00E55C39" w:rsidRPr="00914734" w:rsidRDefault="00E55C39" w:rsidP="00E55C39">
      <w:pPr>
        <w:spacing w:before="80" w:after="80" w:line="264" w:lineRule="auto"/>
        <w:ind w:firstLine="709"/>
        <w:rPr>
          <w:rFonts w:asciiTheme="majorHAnsi" w:hAnsiTheme="majorHAnsi" w:cstheme="majorHAnsi"/>
          <w:sz w:val="26"/>
          <w:szCs w:val="26"/>
          <w:lang w:val="es-ES"/>
        </w:rPr>
      </w:pPr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E-HSDT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là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đáp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ứng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yêu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cầu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về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kỹ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thuật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khi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có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tất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cả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các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tiêu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chí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tổng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quát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đều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được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đánh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giá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là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 </w:t>
      </w:r>
      <w:proofErr w:type="spellStart"/>
      <w:r w:rsidRPr="00914734">
        <w:rPr>
          <w:rFonts w:asciiTheme="majorHAnsi" w:hAnsiTheme="majorHAnsi" w:cstheme="majorHAnsi"/>
          <w:sz w:val="26"/>
          <w:szCs w:val="26"/>
          <w:lang w:val="es-ES"/>
        </w:rPr>
        <w:t>đạt</w:t>
      </w:r>
      <w:proofErr w:type="spellEnd"/>
      <w:r w:rsidRPr="00914734">
        <w:rPr>
          <w:rFonts w:asciiTheme="majorHAnsi" w:hAnsiTheme="majorHAnsi" w:cstheme="majorHAnsi"/>
          <w:sz w:val="26"/>
          <w:szCs w:val="26"/>
          <w:lang w:val="es-ES"/>
        </w:rPr>
        <w:t xml:space="preserve">.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271"/>
        <w:gridCol w:w="1958"/>
      </w:tblGrid>
      <w:tr w:rsidR="00E55C39" w:rsidRPr="00914734" w14:paraId="518C4D32" w14:textId="77777777" w:rsidTr="00F14814">
        <w:trPr>
          <w:trHeight w:val="664"/>
        </w:trPr>
        <w:tc>
          <w:tcPr>
            <w:tcW w:w="7681" w:type="dxa"/>
            <w:gridSpan w:val="2"/>
            <w:vAlign w:val="center"/>
          </w:tcPr>
          <w:p w14:paraId="52B16D7A" w14:textId="77777777" w:rsidR="00E55C39" w:rsidRPr="00914734" w:rsidRDefault="00E55C39" w:rsidP="002D79B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đánh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958" w:type="dxa"/>
            <w:vAlign w:val="center"/>
          </w:tcPr>
          <w:p w14:paraId="7BC1B6BC" w14:textId="77777777" w:rsidR="00E55C39" w:rsidRPr="00914734" w:rsidRDefault="00E55C39" w:rsidP="002D79B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Sử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tiêu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chí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55C39" w:rsidRPr="00914734" w14:paraId="07654F50" w14:textId="77777777" w:rsidTr="00F14814">
        <w:trPr>
          <w:trHeight w:val="627"/>
        </w:trPr>
        <w:tc>
          <w:tcPr>
            <w:tcW w:w="9639" w:type="dxa"/>
            <w:gridSpan w:val="3"/>
            <w:vAlign w:val="center"/>
          </w:tcPr>
          <w:p w14:paraId="0E7A5D98" w14:textId="77777777" w:rsidR="00E55C39" w:rsidRPr="00914734" w:rsidRDefault="00E55C39" w:rsidP="00F7460D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1.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Đặc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tính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kỹ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thuật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E55C39" w:rsidRPr="00914734" w14:paraId="6ADF9736" w14:textId="77777777" w:rsidTr="00DB3702">
        <w:trPr>
          <w:trHeight w:val="4553"/>
        </w:trPr>
        <w:tc>
          <w:tcPr>
            <w:tcW w:w="2410" w:type="dxa"/>
            <w:vMerge w:val="restart"/>
            <w:vAlign w:val="center"/>
          </w:tcPr>
          <w:p w14:paraId="54A0614A" w14:textId="77777777" w:rsidR="00E55C39" w:rsidRPr="00914734" w:rsidRDefault="00E55C39" w:rsidP="007B2336">
            <w:pPr>
              <w:ind w:left="38" w:right="45"/>
              <w:rPr>
                <w:rFonts w:asciiTheme="majorHAnsi" w:hAnsiTheme="majorHAnsi" w:cstheme="majorHAnsi"/>
                <w:sz w:val="26"/>
                <w:szCs w:val="26"/>
              </w:rPr>
            </w:pP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1.1.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chuẩn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chuẩn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chế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nghệ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271" w:type="dxa"/>
            <w:vAlign w:val="center"/>
          </w:tcPr>
          <w:p w14:paraId="2B5F38AE" w14:textId="77777777" w:rsidR="00DB3702" w:rsidRDefault="00DB3702" w:rsidP="00DB3702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bảng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sánh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chào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E-HSMT.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xác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đương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tốt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hơn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E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HSMT,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“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đương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”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tốt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hơn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đó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B0338FC" w14:textId="77777777" w:rsidR="00DB3702" w:rsidRDefault="00DB3702" w:rsidP="00DB3702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đầy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đủ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2 -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Chương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V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E-HSMT. </w:t>
            </w:r>
          </w:p>
          <w:p w14:paraId="27C13AB0" w14:textId="7F1D884F" w:rsidR="00E55C39" w:rsidRPr="00DB3702" w:rsidRDefault="00DB3702" w:rsidP="00DB3702">
            <w:pPr>
              <w:ind w:left="147" w:right="162"/>
            </w:pP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đầy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đủ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tin: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/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hãng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xứ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ký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mã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nếu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B3702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958" w:type="dxa"/>
            <w:vAlign w:val="center"/>
          </w:tcPr>
          <w:p w14:paraId="3AF52D82" w14:textId="77777777" w:rsidR="00E55C39" w:rsidRPr="00914734" w:rsidRDefault="00E55C39" w:rsidP="007B2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55C39" w:rsidRPr="00914734" w14:paraId="4B4013EC" w14:textId="77777777" w:rsidTr="00A336F5">
        <w:trPr>
          <w:trHeight w:val="3696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1EB8DB4B" w14:textId="77777777" w:rsidR="00E55C39" w:rsidRPr="00914734" w:rsidRDefault="00E55C39" w:rsidP="007B2336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308163F9" w14:textId="77777777" w:rsidR="00663012" w:rsidRPr="00663012" w:rsidRDefault="00663012" w:rsidP="00663012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bảng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sánh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chào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63012">
              <w:rPr>
                <w:rFonts w:asciiTheme="majorHAnsi" w:hAnsiTheme="majorHAnsi" w:cstheme="majorHAnsi"/>
                <w:sz w:val="26"/>
                <w:szCs w:val="26"/>
              </w:rPr>
              <w:t xml:space="preserve"> E-HSMT</w:t>
            </w:r>
          </w:p>
          <w:p w14:paraId="65B613C7" w14:textId="77777777" w:rsidR="00E55C39" w:rsidRDefault="00663012" w:rsidP="00663012">
            <w:pPr>
              <w:ind w:left="147" w:right="14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01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chuẩn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“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Mục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276F67" w:rsidRPr="00914734"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Chương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V.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="00E55C39"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E-HSMT”.</w:t>
            </w:r>
          </w:p>
          <w:p w14:paraId="34C19CA5" w14:textId="0A8AC693" w:rsidR="00A336F5" w:rsidRPr="00A336F5" w:rsidRDefault="00A336F5" w:rsidP="00A336F5">
            <w:pPr>
              <w:ind w:left="147" w:right="162"/>
            </w:pPr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“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đương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”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tốt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hơn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A336F5">
              <w:rPr>
                <w:rFonts w:asciiTheme="majorHAnsi" w:hAnsiTheme="majorHAnsi" w:cstheme="majorHAnsi"/>
                <w:sz w:val="26"/>
                <w:szCs w:val="26"/>
              </w:rPr>
              <w:t xml:space="preserve"> E-HSMT.</w:t>
            </w:r>
          </w:p>
        </w:tc>
        <w:tc>
          <w:tcPr>
            <w:tcW w:w="1958" w:type="dxa"/>
            <w:vAlign w:val="center"/>
          </w:tcPr>
          <w:p w14:paraId="02A33BF7" w14:textId="77777777" w:rsidR="00E55C39" w:rsidRPr="00914734" w:rsidRDefault="00E55C39" w:rsidP="007B2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55C39" w:rsidRPr="00914734" w14:paraId="2556895E" w14:textId="77777777" w:rsidTr="00F14814">
        <w:trPr>
          <w:trHeight w:val="1273"/>
        </w:trPr>
        <w:tc>
          <w:tcPr>
            <w:tcW w:w="2410" w:type="dxa"/>
            <w:vMerge w:val="restart"/>
            <w:vAlign w:val="center"/>
          </w:tcPr>
          <w:p w14:paraId="7449307B" w14:textId="77777777" w:rsidR="00E55C39" w:rsidRPr="00914734" w:rsidRDefault="00E55C39" w:rsidP="007B2336">
            <w:pPr>
              <w:ind w:left="38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1.2.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5271" w:type="dxa"/>
            <w:vAlign w:val="center"/>
          </w:tcPr>
          <w:p w14:paraId="36D5D72B" w14:textId="30B847C5" w:rsidR="00E55C39" w:rsidRPr="00914734" w:rsidRDefault="00E55C39" w:rsidP="00CF2F7F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tất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100%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chưa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qua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dung,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F66D6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202</w:t>
            </w:r>
            <w:r w:rsidR="00F66D6C">
              <w:rPr>
                <w:rFonts w:asciiTheme="majorHAnsi" w:hAnsiTheme="majorHAnsi" w:cstheme="majorHAnsi"/>
                <w:sz w:val="26"/>
                <w:szCs w:val="26"/>
              </w:rPr>
              <w:t xml:space="preserve">5 </w:t>
            </w:r>
            <w:proofErr w:type="spellStart"/>
            <w:r w:rsidR="00F66D6C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="00F66D6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F66D6C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="00F66D6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F66D6C">
              <w:rPr>
                <w:rFonts w:asciiTheme="majorHAnsi" w:hAnsiTheme="majorHAnsi" w:cstheme="majorHAnsi"/>
                <w:sz w:val="26"/>
                <w:szCs w:val="26"/>
              </w:rPr>
              <w:t>sau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958" w:type="dxa"/>
            <w:vAlign w:val="center"/>
          </w:tcPr>
          <w:p w14:paraId="44AC6975" w14:textId="77777777" w:rsidR="00E55C39" w:rsidRPr="00914734" w:rsidRDefault="00E55C39" w:rsidP="007B2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E55C39" w:rsidRPr="00914734" w14:paraId="7663EC80" w14:textId="77777777" w:rsidTr="00F14814">
        <w:trPr>
          <w:trHeight w:val="1121"/>
        </w:trPr>
        <w:tc>
          <w:tcPr>
            <w:tcW w:w="2410" w:type="dxa"/>
            <w:vMerge/>
            <w:tcBorders>
              <w:top w:val="nil"/>
            </w:tcBorders>
          </w:tcPr>
          <w:p w14:paraId="03E0A927" w14:textId="77777777" w:rsidR="00E55C39" w:rsidRPr="00914734" w:rsidRDefault="00E55C39" w:rsidP="007B233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5CC5F404" w14:textId="77777777" w:rsidR="00E55C39" w:rsidRPr="00914734" w:rsidRDefault="00E55C39" w:rsidP="000A4B66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0A4B66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="000A4B66">
              <w:rPr>
                <w:rFonts w:asciiTheme="majorHAnsi" w:hAnsiTheme="majorHAnsi" w:cstheme="majorHAnsi"/>
                <w:sz w:val="26"/>
                <w:szCs w:val="26"/>
              </w:rPr>
              <w:t xml:space="preserve"> HSMT</w:t>
            </w:r>
          </w:p>
        </w:tc>
        <w:tc>
          <w:tcPr>
            <w:tcW w:w="1958" w:type="dxa"/>
            <w:vAlign w:val="center"/>
          </w:tcPr>
          <w:p w14:paraId="312F15CB" w14:textId="77777777" w:rsidR="00E55C39" w:rsidRPr="00914734" w:rsidRDefault="00E55C39" w:rsidP="007B233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996A99" w:rsidRPr="00914734" w14:paraId="799043A2" w14:textId="77777777" w:rsidTr="00996A99">
        <w:trPr>
          <w:trHeight w:val="449"/>
        </w:trPr>
        <w:tc>
          <w:tcPr>
            <w:tcW w:w="9639" w:type="dxa"/>
            <w:gridSpan w:val="3"/>
            <w:tcBorders>
              <w:top w:val="nil"/>
            </w:tcBorders>
            <w:vAlign w:val="center"/>
          </w:tcPr>
          <w:p w14:paraId="4B5E3E7E" w14:textId="6674B4E6" w:rsidR="00996A99" w:rsidRPr="00914734" w:rsidRDefault="00996A99" w:rsidP="00996A99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pháp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thuật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biện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pháp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cung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cấp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hàng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996A99" w:rsidRPr="00914734" w14:paraId="7D928230" w14:textId="77777777" w:rsidTr="00996A99">
        <w:trPr>
          <w:trHeight w:val="1121"/>
        </w:trPr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44DD2BBA" w14:textId="362C51AE" w:rsidR="00996A99" w:rsidRPr="00996A99" w:rsidRDefault="00996A99" w:rsidP="00996A99">
            <w:pPr>
              <w:ind w:right="137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2.1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Giải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kỹ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thuật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biện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tổ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chức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cung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cấp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hàng</w:t>
            </w:r>
            <w:proofErr w:type="spellEnd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271" w:type="dxa"/>
            <w:vAlign w:val="center"/>
          </w:tcPr>
          <w:p w14:paraId="73E35E07" w14:textId="44041836" w:rsidR="00996A99" w:rsidRPr="00914734" w:rsidRDefault="00996A99" w:rsidP="00996A99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thuyết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biện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tổ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chức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khả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gói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1958" w:type="dxa"/>
            <w:vAlign w:val="center"/>
          </w:tcPr>
          <w:p w14:paraId="749B1C1D" w14:textId="6BC2A358" w:rsidR="00996A99" w:rsidRPr="00914734" w:rsidRDefault="00996A99" w:rsidP="00996A9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996A99" w:rsidRPr="00914734" w14:paraId="1F022F1A" w14:textId="77777777" w:rsidTr="00996A99">
        <w:trPr>
          <w:trHeight w:val="1408"/>
        </w:trPr>
        <w:tc>
          <w:tcPr>
            <w:tcW w:w="2410" w:type="dxa"/>
            <w:vMerge/>
            <w:vAlign w:val="center"/>
          </w:tcPr>
          <w:p w14:paraId="555BBBB6" w14:textId="77777777" w:rsidR="00996A99" w:rsidRPr="00996A99" w:rsidRDefault="00996A99" w:rsidP="00996A99">
            <w:pPr>
              <w:ind w:right="137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3B3D1C38" w14:textId="611A469C" w:rsidR="00996A99" w:rsidRPr="00996A99" w:rsidRDefault="00996A99" w:rsidP="00996A99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thuyết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minh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biện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pháp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tổ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chức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sài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khả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phù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gói</w:t>
            </w:r>
            <w:proofErr w:type="spellEnd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96A99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1958" w:type="dxa"/>
            <w:vAlign w:val="center"/>
          </w:tcPr>
          <w:p w14:paraId="32707340" w14:textId="25016513" w:rsidR="00996A99" w:rsidRPr="00914734" w:rsidRDefault="00996A99" w:rsidP="00996A9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996A99" w:rsidRPr="00914734" w14:paraId="0B260417" w14:textId="77777777" w:rsidTr="00F14814">
        <w:trPr>
          <w:trHeight w:val="571"/>
        </w:trPr>
        <w:tc>
          <w:tcPr>
            <w:tcW w:w="9639" w:type="dxa"/>
            <w:gridSpan w:val="3"/>
            <w:vAlign w:val="center"/>
          </w:tcPr>
          <w:p w14:paraId="7274EFF2" w14:textId="333D555B" w:rsidR="00996A99" w:rsidRPr="00914734" w:rsidRDefault="00996A99" w:rsidP="00996A99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Tiến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độ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cung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cấp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996A99" w:rsidRPr="00914734" w14:paraId="4030E0AB" w14:textId="77777777" w:rsidTr="007B011A">
        <w:trPr>
          <w:trHeight w:val="1658"/>
        </w:trPr>
        <w:tc>
          <w:tcPr>
            <w:tcW w:w="2410" w:type="dxa"/>
            <w:vMerge w:val="restart"/>
            <w:vAlign w:val="center"/>
          </w:tcPr>
          <w:p w14:paraId="4C778C7E" w14:textId="4C30FF7D" w:rsidR="00996A99" w:rsidRPr="00914734" w:rsidRDefault="00996A99" w:rsidP="00996A99">
            <w:pPr>
              <w:ind w:left="38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.1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Tiến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271" w:type="dxa"/>
            <w:vAlign w:val="center"/>
          </w:tcPr>
          <w:p w14:paraId="2155A913" w14:textId="0E7BDD31" w:rsidR="00996A99" w:rsidRPr="007B011A" w:rsidRDefault="007B011A" w:rsidP="007B011A">
            <w:pPr>
              <w:ind w:left="147" w:right="162"/>
            </w:pPr>
            <w:proofErr w:type="spellStart"/>
            <w:r>
              <w:rPr>
                <w:rStyle w:val="fontstyle01"/>
              </w:rPr>
              <w:t>Nhà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thầu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có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bảng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tiến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độ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cung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cấp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lắp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đặt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hàng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hóa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trong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vòng</w:t>
            </w:r>
            <w:proofErr w:type="spellEnd"/>
            <w:r>
              <w:rPr>
                <w:rStyle w:val="fontstyle01"/>
              </w:rPr>
              <w:t xml:space="preserve"> ≤ </w:t>
            </w:r>
            <w:r w:rsidR="00051A22">
              <w:rPr>
                <w:rStyle w:val="fontstyle01"/>
              </w:rPr>
              <w:t>1</w:t>
            </w:r>
            <w:r>
              <w:rPr>
                <w:rStyle w:val="fontstyle01"/>
              </w:rPr>
              <w:t xml:space="preserve">0 </w:t>
            </w:r>
            <w:proofErr w:type="spellStart"/>
            <w:r>
              <w:rPr>
                <w:rStyle w:val="fontstyle01"/>
              </w:rPr>
              <w:t>ngày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kể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từ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ngày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hợp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đồng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có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hiệu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lực</w:t>
            </w:r>
            <w:proofErr w:type="spellEnd"/>
            <w:r>
              <w:rPr>
                <w:rStyle w:val="fontstyle01"/>
              </w:rPr>
              <w:t xml:space="preserve">, cam </w:t>
            </w:r>
            <w:proofErr w:type="spellStart"/>
            <w:r>
              <w:rPr>
                <w:rStyle w:val="fontstyle01"/>
              </w:rPr>
              <w:t>kết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cung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cấp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lắp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đặt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hàng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hóa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trong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vòng</w:t>
            </w:r>
            <w:proofErr w:type="spellEnd"/>
            <w:r>
              <w:rPr>
                <w:rStyle w:val="fontstyle01"/>
              </w:rPr>
              <w:t xml:space="preserve"> 3 </w:t>
            </w:r>
            <w:proofErr w:type="spellStart"/>
            <w:r>
              <w:rPr>
                <w:rStyle w:val="fontstyle01"/>
              </w:rPr>
              <w:t>ngày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khi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có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yêu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cầu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của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chủ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đầu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tư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1958" w:type="dxa"/>
            <w:vAlign w:val="center"/>
          </w:tcPr>
          <w:p w14:paraId="6E43F592" w14:textId="77777777" w:rsidR="00996A99" w:rsidRPr="00914734" w:rsidRDefault="00996A99" w:rsidP="00996A9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996A99" w:rsidRPr="00914734" w14:paraId="656AEAF8" w14:textId="77777777" w:rsidTr="00F14814">
        <w:trPr>
          <w:trHeight w:val="841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E27D910" w14:textId="77777777" w:rsidR="00996A99" w:rsidRPr="00914734" w:rsidRDefault="00996A99" w:rsidP="00996A99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vAlign w:val="center"/>
          </w:tcPr>
          <w:p w14:paraId="49BF0597" w14:textId="77777777" w:rsidR="00996A99" w:rsidRPr="00914734" w:rsidRDefault="00996A99" w:rsidP="00996A99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HSMT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40465656" w14:textId="77777777" w:rsidR="00996A99" w:rsidRPr="00914734" w:rsidRDefault="00996A99" w:rsidP="00996A9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7B011A" w14:paraId="0EB3CA58" w14:textId="77777777" w:rsidTr="007B011A">
        <w:trPr>
          <w:trHeight w:val="2956"/>
        </w:trPr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6D0ECAE4" w14:textId="697E40DF" w:rsidR="007B011A" w:rsidRPr="007B011A" w:rsidRDefault="007B011A" w:rsidP="007B011A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3.2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Tiến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hà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271" w:type="dxa"/>
            <w:tcBorders>
              <w:bottom w:val="single" w:sz="4" w:space="0" w:color="auto"/>
            </w:tcBorders>
            <w:vAlign w:val="center"/>
          </w:tcPr>
          <w:p w14:paraId="64D73B77" w14:textId="77777777" w:rsidR="007B011A" w:rsidRDefault="007B011A" w:rsidP="007B011A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bảng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tiến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chi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đó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rõ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mốc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bắt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thúc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từng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tuy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nhiên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tiến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vượt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E-HSMT.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Cụ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14:paraId="1EA6C897" w14:textId="77777777" w:rsidR="007B011A" w:rsidRDefault="007B011A" w:rsidP="007B011A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xuất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05856AC" w14:textId="77777777" w:rsidR="007B011A" w:rsidRDefault="007B011A" w:rsidP="007B011A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cài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đặt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hoàn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thiện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thuộc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gói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7961F757" w14:textId="77777777" w:rsidR="007B011A" w:rsidRDefault="007B011A" w:rsidP="007B011A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bàn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6B8A7B0C" w14:textId="7801D554" w:rsidR="007B011A" w:rsidRPr="007B011A" w:rsidRDefault="007B011A" w:rsidP="007B011A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đưa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 xml:space="preserve"> sử </w:t>
            </w:r>
            <w:proofErr w:type="spellStart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7B011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3A9F5CB1" w14:textId="6BAF88BC" w:rsidR="007B011A" w:rsidRPr="007B011A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7B011A" w14:paraId="5736D234" w14:textId="77777777" w:rsidTr="00232E6E">
        <w:trPr>
          <w:trHeight w:val="841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FAC433B" w14:textId="77777777" w:rsidR="007B011A" w:rsidRPr="007B011A" w:rsidRDefault="007B011A" w:rsidP="007B011A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vAlign w:val="center"/>
          </w:tcPr>
          <w:p w14:paraId="1E9C1C95" w14:textId="0DE3966B" w:rsidR="007B011A" w:rsidRPr="007B011A" w:rsidRDefault="007B011A" w:rsidP="007B011A">
            <w:r>
              <w:rPr>
                <w:rStyle w:val="fontstyle01"/>
              </w:rPr>
              <w:t xml:space="preserve"> 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nêu</w:t>
            </w:r>
            <w:proofErr w:type="spellEnd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0A3049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6601340D" w14:textId="481D73AE" w:rsidR="007B011A" w:rsidRPr="007B011A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914734" w14:paraId="12BA42DF" w14:textId="77777777" w:rsidTr="00F14814">
        <w:trPr>
          <w:trHeight w:val="74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21B" w14:textId="6F83702F" w:rsidR="007B011A" w:rsidRPr="00914734" w:rsidRDefault="007B011A" w:rsidP="007B011A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Khả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năng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đáp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ứng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điều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kiện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môi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trường</w:t>
            </w:r>
            <w:proofErr w:type="spellEnd"/>
          </w:p>
        </w:tc>
      </w:tr>
      <w:tr w:rsidR="007B011A" w:rsidRPr="00914734" w14:paraId="4EC23C16" w14:textId="77777777" w:rsidTr="00F14814">
        <w:trPr>
          <w:trHeight w:val="7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42F6B" w14:textId="11ED2FAA" w:rsidR="007B011A" w:rsidRPr="00914734" w:rsidRDefault="007B011A" w:rsidP="0080627A">
            <w:pPr>
              <w:ind w:left="142" w:right="137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.1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Khả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năng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kiện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D82" w14:textId="77777777" w:rsidR="007B011A" w:rsidRPr="00914734" w:rsidRDefault="007B011A" w:rsidP="007B011A">
            <w:pPr>
              <w:widowControl w:val="0"/>
              <w:tabs>
                <w:tab w:val="left" w:pos="851"/>
              </w:tabs>
              <w:spacing w:before="80" w:after="80" w:line="264" w:lineRule="auto"/>
              <w:ind w:left="77" w:right="162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</w:t>
            </w:r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hả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năng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mặt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địa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ác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xấu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môi</w:t>
            </w:r>
            <w:proofErr w:type="spellEnd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6321B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291" w14:textId="77777777" w:rsidR="007B011A" w:rsidRPr="00914734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914734" w14:paraId="1546BE67" w14:textId="77777777" w:rsidTr="00F14814">
        <w:trPr>
          <w:trHeight w:val="74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06AA" w14:textId="77777777" w:rsidR="007B011A" w:rsidRPr="00914734" w:rsidRDefault="007B011A" w:rsidP="007B011A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190" w14:textId="77777777" w:rsidR="007B011A" w:rsidRPr="00914734" w:rsidRDefault="007B011A" w:rsidP="007B011A">
            <w:pPr>
              <w:ind w:left="77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77EE" w14:textId="77777777" w:rsidR="007B011A" w:rsidRPr="00914734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914734" w14:paraId="55C2A2A4" w14:textId="77777777" w:rsidTr="00F14814">
        <w:trPr>
          <w:trHeight w:val="347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14:paraId="56034032" w14:textId="28CD9353" w:rsidR="007B011A" w:rsidRPr="00914734" w:rsidRDefault="007B011A" w:rsidP="007B011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5</w:t>
            </w:r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Bảo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hành</w:t>
            </w:r>
            <w:proofErr w:type="spellEnd"/>
            <w:r w:rsidR="000174A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="000174A8">
              <w:rPr>
                <w:rFonts w:asciiTheme="majorHAnsi" w:hAnsiTheme="majorHAnsi" w:cstheme="majorHAnsi"/>
                <w:b/>
                <w:sz w:val="26"/>
                <w:szCs w:val="26"/>
              </w:rPr>
              <w:t>bảo</w:t>
            </w:r>
            <w:proofErr w:type="spellEnd"/>
            <w:r w:rsidR="000174A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="000174A8">
              <w:rPr>
                <w:rFonts w:asciiTheme="majorHAnsi" w:hAnsiTheme="majorHAnsi" w:cstheme="majorHAnsi"/>
                <w:b/>
                <w:sz w:val="26"/>
                <w:szCs w:val="26"/>
              </w:rPr>
              <w:t>trì</w:t>
            </w:r>
            <w:proofErr w:type="spellEnd"/>
          </w:p>
        </w:tc>
      </w:tr>
      <w:tr w:rsidR="007B011A" w:rsidRPr="00914734" w14:paraId="64904662" w14:textId="77777777" w:rsidTr="008A56EF">
        <w:trPr>
          <w:trHeight w:val="1908"/>
        </w:trPr>
        <w:tc>
          <w:tcPr>
            <w:tcW w:w="2410" w:type="dxa"/>
            <w:vMerge w:val="restart"/>
            <w:vAlign w:val="center"/>
          </w:tcPr>
          <w:p w14:paraId="26E65DAC" w14:textId="384D30DE" w:rsidR="007B011A" w:rsidRPr="0080627A" w:rsidRDefault="007B011A" w:rsidP="008A56EF">
            <w:pPr>
              <w:ind w:left="142" w:right="137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.1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0627A" w:rsidRPr="0080627A">
              <w:rPr>
                <w:rFonts w:asciiTheme="majorHAnsi" w:hAnsiTheme="majorHAnsi" w:cstheme="majorHAnsi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5271" w:type="dxa"/>
            <w:vAlign w:val="center"/>
          </w:tcPr>
          <w:p w14:paraId="16A2C8C0" w14:textId="77777777" w:rsidR="008A56EF" w:rsidRPr="002820BC" w:rsidRDefault="008A56EF" w:rsidP="008A56EF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chương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V, E-HSMT</w:t>
            </w:r>
          </w:p>
          <w:p w14:paraId="32E2786A" w14:textId="6FC5E9AF" w:rsidR="007B011A" w:rsidRPr="002820BC" w:rsidRDefault="008A56EF" w:rsidP="008A56EF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+ Cam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12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bên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ký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biên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bàn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thì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sẽ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02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lần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dưỡng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mà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gói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1958" w:type="dxa"/>
            <w:vAlign w:val="center"/>
          </w:tcPr>
          <w:p w14:paraId="35324510" w14:textId="77777777" w:rsidR="007B011A" w:rsidRPr="00914734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B011A" w:rsidRPr="00914734" w14:paraId="4EE6167C" w14:textId="77777777" w:rsidTr="007835F6">
        <w:trPr>
          <w:trHeight w:val="1123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0DE91A10" w14:textId="77777777" w:rsidR="007B011A" w:rsidRPr="00914734" w:rsidRDefault="007B011A" w:rsidP="007B011A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42997FF9" w14:textId="6DA7584D" w:rsidR="007B011A" w:rsidRPr="002820BC" w:rsidRDefault="008A56EF" w:rsidP="008A56EF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trì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ít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hơn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chương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V, E-HSMT</w:t>
            </w:r>
          </w:p>
        </w:tc>
        <w:tc>
          <w:tcPr>
            <w:tcW w:w="1958" w:type="dxa"/>
            <w:vAlign w:val="center"/>
          </w:tcPr>
          <w:p w14:paraId="15CF5B16" w14:textId="77777777" w:rsidR="007B011A" w:rsidRPr="00914734" w:rsidRDefault="007B011A" w:rsidP="007B01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2820BC" w:rsidRPr="00914734" w14:paraId="3B59B8F8" w14:textId="77777777" w:rsidTr="00143745">
        <w:trPr>
          <w:trHeight w:val="4943"/>
        </w:trPr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469AC4B3" w14:textId="6777C1C8" w:rsidR="002820BC" w:rsidRPr="008A56EF" w:rsidRDefault="002820BC" w:rsidP="002820BC">
            <w:pPr>
              <w:ind w:left="142" w:right="137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5.2 </w:t>
            </w:r>
            <w:proofErr w:type="spellStart"/>
            <w:r>
              <w:rPr>
                <w:rStyle w:val="fontstyle01"/>
              </w:rPr>
              <w:t>Hỗ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trợ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kỹ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thuật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khắc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phục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sự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cố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cho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hàng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hóa</w:t>
            </w:r>
            <w:proofErr w:type="spellEnd"/>
          </w:p>
        </w:tc>
        <w:tc>
          <w:tcPr>
            <w:tcW w:w="5271" w:type="dxa"/>
            <w:vAlign w:val="center"/>
          </w:tcPr>
          <w:p w14:paraId="1657681E" w14:textId="77777777" w:rsidR="00143745" w:rsidRDefault="002820BC" w:rsidP="00143745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cử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cán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kỹ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thuật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chuyên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môn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bàn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lắp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đặt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đào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hướng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proofErr w:type="spellEnd"/>
          </w:p>
          <w:p w14:paraId="3A78F433" w14:textId="11A587CC" w:rsidR="002820BC" w:rsidRPr="002820BC" w:rsidRDefault="002820BC" w:rsidP="00143745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án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hỗ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trợ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vòng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24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giờ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cố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khắc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phục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ngay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vòng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48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giờ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cố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chữa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địa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điểm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lắp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đặt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vòng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72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giờ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sửa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chữa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chỗ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vận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chuyển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thì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trách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nhiệm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tạm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hành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đảm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hoạt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tục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2820BC">
              <w:rPr>
                <w:rFonts w:asciiTheme="majorHAnsi" w:hAnsiTheme="majorHAnsi" w:cstheme="majorHAnsi"/>
                <w:sz w:val="26"/>
                <w:szCs w:val="26"/>
              </w:rPr>
              <w:t xml:space="preserve"> tư.</w:t>
            </w:r>
          </w:p>
        </w:tc>
        <w:tc>
          <w:tcPr>
            <w:tcW w:w="1958" w:type="dxa"/>
            <w:vAlign w:val="center"/>
          </w:tcPr>
          <w:p w14:paraId="4D3D14F4" w14:textId="6355D2D4" w:rsidR="002820BC" w:rsidRPr="00914734" w:rsidRDefault="002820BC" w:rsidP="002820B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2820BC" w:rsidRPr="00914734" w14:paraId="68D6DB19" w14:textId="77777777" w:rsidTr="00143745">
        <w:trPr>
          <w:trHeight w:val="562"/>
        </w:trPr>
        <w:tc>
          <w:tcPr>
            <w:tcW w:w="2410" w:type="dxa"/>
            <w:vMerge/>
            <w:vAlign w:val="center"/>
          </w:tcPr>
          <w:p w14:paraId="5E97E5A5" w14:textId="77777777" w:rsidR="002820BC" w:rsidRPr="00914734" w:rsidRDefault="002820BC" w:rsidP="002820BC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0451D1AC" w14:textId="36D3E6E7" w:rsidR="002820BC" w:rsidRPr="00143745" w:rsidRDefault="00143745" w:rsidP="00143745">
            <w:pPr>
              <w:ind w:left="147"/>
              <w:rPr>
                <w:rStyle w:val="fontstyle01"/>
                <w:rFonts w:ascii="Times New Roman" w:hAnsi="Times New Roman"/>
                <w:color w:val="auto"/>
                <w:szCs w:val="20"/>
              </w:rPr>
            </w:pP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nêu</w:t>
            </w:r>
            <w:proofErr w:type="spellEnd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143745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958" w:type="dxa"/>
            <w:vAlign w:val="center"/>
          </w:tcPr>
          <w:p w14:paraId="51E56815" w14:textId="6E85F5D1" w:rsidR="002820BC" w:rsidRPr="00914734" w:rsidRDefault="002820BC" w:rsidP="002820B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4963861B" w14:textId="77777777" w:rsidTr="005E0D2D">
        <w:trPr>
          <w:trHeight w:val="2386"/>
        </w:trPr>
        <w:tc>
          <w:tcPr>
            <w:tcW w:w="2410" w:type="dxa"/>
            <w:vMerge w:val="restart"/>
            <w:vAlign w:val="center"/>
          </w:tcPr>
          <w:p w14:paraId="08F9F89D" w14:textId="1AE76812" w:rsidR="005E0D2D" w:rsidRPr="005E0D2D" w:rsidRDefault="005E0D2D" w:rsidP="005E0D2D">
            <w:pPr>
              <w:ind w:left="142" w:right="137"/>
              <w:rPr>
                <w:rStyle w:val="fontstyle01"/>
              </w:rPr>
            </w:pPr>
            <w:r>
              <w:rPr>
                <w:rStyle w:val="fontstyle01"/>
              </w:rPr>
              <w:t xml:space="preserve">5.3 </w:t>
            </w:r>
            <w:r w:rsidRPr="005E0D2D">
              <w:rPr>
                <w:rStyle w:val="fontstyle01"/>
              </w:rPr>
              <w:t xml:space="preserve">Thu </w:t>
            </w:r>
            <w:proofErr w:type="spellStart"/>
            <w:r w:rsidRPr="005E0D2D">
              <w:rPr>
                <w:rStyle w:val="fontstyle01"/>
              </w:rPr>
              <w:t>hồi</w:t>
            </w:r>
            <w:proofErr w:type="spellEnd"/>
            <w:r w:rsidRPr="005E0D2D">
              <w:rPr>
                <w:rStyle w:val="fontstyle01"/>
              </w:rPr>
              <w:t xml:space="preserve"> </w:t>
            </w:r>
            <w:proofErr w:type="spellStart"/>
            <w:r w:rsidRPr="005E0D2D">
              <w:rPr>
                <w:rStyle w:val="fontstyle01"/>
              </w:rPr>
              <w:t>hàng</w:t>
            </w:r>
            <w:proofErr w:type="spellEnd"/>
            <w:r w:rsidRPr="005E0D2D">
              <w:rPr>
                <w:rStyle w:val="fontstyle01"/>
              </w:rPr>
              <w:t xml:space="preserve"> </w:t>
            </w:r>
            <w:proofErr w:type="spellStart"/>
            <w:r w:rsidRPr="005E0D2D">
              <w:rPr>
                <w:rStyle w:val="fontstyle01"/>
              </w:rPr>
              <w:t>hóa</w:t>
            </w:r>
            <w:proofErr w:type="spellEnd"/>
            <w:r w:rsidRPr="005E0D2D">
              <w:rPr>
                <w:rStyle w:val="fontstyle01"/>
              </w:rPr>
              <w:t xml:space="preserve"> </w:t>
            </w:r>
          </w:p>
          <w:p w14:paraId="13E3F40C" w14:textId="77777777" w:rsidR="005E0D2D" w:rsidRPr="005E0D2D" w:rsidRDefault="005E0D2D" w:rsidP="005E0D2D">
            <w:pPr>
              <w:ind w:left="142" w:right="137"/>
              <w:rPr>
                <w:rStyle w:val="fontstyle01"/>
              </w:rPr>
            </w:pPr>
            <w:r>
              <w:rPr>
                <w:rStyle w:val="fontstyle01"/>
              </w:rPr>
              <w:t>(</w:t>
            </w:r>
            <w:proofErr w:type="spellStart"/>
            <w:r>
              <w:rPr>
                <w:rStyle w:val="fontstyle01"/>
              </w:rPr>
              <w:t>Nhà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thầu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cung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cấp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bản</w:t>
            </w:r>
            <w:proofErr w:type="spellEnd"/>
            <w:r>
              <w:rPr>
                <w:rStyle w:val="fontstyle01"/>
              </w:rPr>
              <w:t xml:space="preserve"> cam </w:t>
            </w:r>
            <w:proofErr w:type="spellStart"/>
            <w:r>
              <w:rPr>
                <w:rStyle w:val="fontstyle01"/>
              </w:rPr>
              <w:t>kết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về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về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hồi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sản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phẩm</w:t>
            </w:r>
            <w:proofErr w:type="spellEnd"/>
            <w:r>
              <w:rPr>
                <w:rStyle w:val="fontstyle01"/>
              </w:rPr>
              <w:t>)</w:t>
            </w:r>
          </w:p>
          <w:p w14:paraId="6F9B9A60" w14:textId="27267241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3271A192" w14:textId="77777777" w:rsidR="005E0D2D" w:rsidRDefault="005E0D2D" w:rsidP="005E0D2D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+ Cam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đảm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báo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thẩm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mà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nguyên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do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lỗi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3F7E42B8" w14:textId="3BFB4ACE" w:rsidR="005E0D2D" w:rsidRPr="005E0D2D" w:rsidRDefault="005E0D2D" w:rsidP="005E0D2D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+ Cam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toàn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phẩm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thay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phẩm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cầu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5E0D2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958" w:type="dxa"/>
            <w:vAlign w:val="center"/>
          </w:tcPr>
          <w:p w14:paraId="69D271C5" w14:textId="1A4A7B44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7B8FBA6E" w14:textId="77777777" w:rsidTr="00487E28">
        <w:trPr>
          <w:trHeight w:val="2689"/>
        </w:trPr>
        <w:tc>
          <w:tcPr>
            <w:tcW w:w="2410" w:type="dxa"/>
            <w:vMerge/>
            <w:vAlign w:val="center"/>
          </w:tcPr>
          <w:p w14:paraId="6D9E372B" w14:textId="77777777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vAlign w:val="center"/>
          </w:tcPr>
          <w:p w14:paraId="310BFAAA" w14:textId="77777777" w:rsidR="00487E28" w:rsidRDefault="00487E28" w:rsidP="00487E28">
            <w:pPr>
              <w:ind w:left="147" w:right="162"/>
              <w:rPr>
                <w:rFonts w:asciiTheme="majorHAnsi" w:hAnsiTheme="majorHAnsi" w:cstheme="majorHAnsi"/>
                <w:sz w:val="26"/>
                <w:szCs w:val="26"/>
              </w:rPr>
            </w:pPr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trường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đảm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báo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thẩm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mà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nguyên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do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lỗi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Chủ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tư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</w:p>
          <w:p w14:paraId="69B75631" w14:textId="1FF264A6" w:rsidR="005E0D2D" w:rsidRPr="00487E28" w:rsidRDefault="00487E28" w:rsidP="00487E28">
            <w:pPr>
              <w:ind w:left="147" w:right="162"/>
            </w:pPr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toàn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bộ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phẩm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thay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phẩm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487E28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958" w:type="dxa"/>
            <w:vAlign w:val="center"/>
          </w:tcPr>
          <w:p w14:paraId="39729375" w14:textId="3667A3F7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5C1AC364" w14:textId="77777777" w:rsidTr="00F14814">
        <w:trPr>
          <w:trHeight w:val="347"/>
        </w:trPr>
        <w:tc>
          <w:tcPr>
            <w:tcW w:w="9639" w:type="dxa"/>
            <w:gridSpan w:val="3"/>
          </w:tcPr>
          <w:p w14:paraId="6BF9756D" w14:textId="008A1C00" w:rsidR="005E0D2D" w:rsidRPr="00914734" w:rsidRDefault="005E0D2D" w:rsidP="005E0D2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Uy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tín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thầu</w:t>
            </w:r>
            <w:proofErr w:type="spellEnd"/>
          </w:p>
        </w:tc>
      </w:tr>
      <w:tr w:rsidR="005E0D2D" w:rsidRPr="00914734" w14:paraId="6210427D" w14:textId="77777777" w:rsidTr="00996A99">
        <w:trPr>
          <w:trHeight w:val="1604"/>
        </w:trPr>
        <w:tc>
          <w:tcPr>
            <w:tcW w:w="2410" w:type="dxa"/>
            <w:vMerge w:val="restart"/>
            <w:vAlign w:val="center"/>
          </w:tcPr>
          <w:p w14:paraId="09C6C9A5" w14:textId="1AA62343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6</w:t>
            </w:r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.1 Uy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tín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5271" w:type="dxa"/>
            <w:vAlign w:val="center"/>
          </w:tcPr>
          <w:p w14:paraId="2A326B27" w14:textId="77777777" w:rsidR="005E0D2D" w:rsidRPr="00914734" w:rsidRDefault="005E0D2D" w:rsidP="005E0D2D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gói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cấp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hàng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bị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uy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tín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việc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tham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dự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theo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tại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19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20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Nghị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214/2025/NĐ-CP.</w:t>
            </w:r>
          </w:p>
        </w:tc>
        <w:tc>
          <w:tcPr>
            <w:tcW w:w="1958" w:type="dxa"/>
            <w:vAlign w:val="center"/>
          </w:tcPr>
          <w:p w14:paraId="6B457116" w14:textId="77777777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5A7155B6" w14:textId="77777777" w:rsidTr="00F14814">
        <w:trPr>
          <w:trHeight w:val="697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D3AC06" w14:textId="77777777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vAlign w:val="center"/>
          </w:tcPr>
          <w:p w14:paraId="677B2A42" w14:textId="77777777" w:rsidR="005E0D2D" w:rsidRPr="00914734" w:rsidRDefault="005E0D2D" w:rsidP="005E0D2D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thầu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uy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tín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7B111C23" w14:textId="77777777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20031021" w14:textId="77777777" w:rsidTr="00F14814">
        <w:trPr>
          <w:trHeight w:val="11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20FA4" w14:textId="77777777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Kết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F55" w14:textId="77777777" w:rsidR="005E0D2D" w:rsidRPr="00914734" w:rsidRDefault="005E0D2D" w:rsidP="005E0D2D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</w:rPr>
            </w:pPr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E-HSDT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được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đánh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giá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là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đáp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ứng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yêu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cầu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về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kỹ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thuật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khi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tất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cả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các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tiêu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chí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tổng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quát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đều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được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đánh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giá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là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đạt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40CF" w14:textId="77777777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5E0D2D" w:rsidRPr="00914734" w14:paraId="3396416F" w14:textId="77777777" w:rsidTr="00F14814">
        <w:trPr>
          <w:trHeight w:val="6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E0B" w14:textId="77777777" w:rsidR="005E0D2D" w:rsidRPr="00914734" w:rsidRDefault="005E0D2D" w:rsidP="005E0D2D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FD7B" w14:textId="77777777" w:rsidR="005E0D2D" w:rsidRPr="00914734" w:rsidRDefault="005E0D2D" w:rsidP="005E0D2D">
            <w:pPr>
              <w:ind w:left="85" w:right="148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Có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1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tiêu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chí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đánh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giá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là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14734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đạt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E71" w14:textId="77777777" w:rsidR="005E0D2D" w:rsidRPr="00914734" w:rsidRDefault="005E0D2D" w:rsidP="005E0D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</w:pPr>
            <w:proofErr w:type="spellStart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>Không</w:t>
            </w:r>
            <w:proofErr w:type="spellEnd"/>
            <w:r w:rsidRPr="00914734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đạt</w:t>
            </w:r>
          </w:p>
        </w:tc>
      </w:tr>
    </w:tbl>
    <w:p w14:paraId="265906E2" w14:textId="77777777" w:rsidR="00BF45DC" w:rsidRPr="00914734" w:rsidRDefault="00BF45DC">
      <w:pPr>
        <w:rPr>
          <w:rFonts w:asciiTheme="majorHAnsi" w:hAnsiTheme="majorHAnsi" w:cstheme="majorHAnsi"/>
          <w:sz w:val="26"/>
          <w:szCs w:val="26"/>
        </w:rPr>
      </w:pPr>
    </w:p>
    <w:sectPr w:rsidR="00BF45DC" w:rsidRPr="00914734" w:rsidSect="00996A99">
      <w:pgSz w:w="11906" w:h="16838"/>
      <w:pgMar w:top="993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221B" w14:textId="77777777" w:rsidR="004F753C" w:rsidRDefault="004F753C" w:rsidP="00E55C39">
      <w:r>
        <w:separator/>
      </w:r>
    </w:p>
  </w:endnote>
  <w:endnote w:type="continuationSeparator" w:id="0">
    <w:p w14:paraId="18F8E6B7" w14:textId="77777777" w:rsidR="004F753C" w:rsidRDefault="004F753C" w:rsidP="00E5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F985" w14:textId="77777777" w:rsidR="004F753C" w:rsidRDefault="004F753C" w:rsidP="00E55C39">
      <w:r>
        <w:separator/>
      </w:r>
    </w:p>
  </w:footnote>
  <w:footnote w:type="continuationSeparator" w:id="0">
    <w:p w14:paraId="18615795" w14:textId="77777777" w:rsidR="004F753C" w:rsidRDefault="004F753C" w:rsidP="00E5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39"/>
    <w:rsid w:val="000174A8"/>
    <w:rsid w:val="00023E40"/>
    <w:rsid w:val="00051A22"/>
    <w:rsid w:val="000A3049"/>
    <w:rsid w:val="000A4B66"/>
    <w:rsid w:val="00141202"/>
    <w:rsid w:val="00143745"/>
    <w:rsid w:val="00144521"/>
    <w:rsid w:val="001C2605"/>
    <w:rsid w:val="001D3FC1"/>
    <w:rsid w:val="0021747D"/>
    <w:rsid w:val="00276F67"/>
    <w:rsid w:val="002820BC"/>
    <w:rsid w:val="002D79BC"/>
    <w:rsid w:val="0034564E"/>
    <w:rsid w:val="0039114C"/>
    <w:rsid w:val="003A2085"/>
    <w:rsid w:val="00487E28"/>
    <w:rsid w:val="004F753C"/>
    <w:rsid w:val="005379FE"/>
    <w:rsid w:val="005E0D2D"/>
    <w:rsid w:val="005F55C4"/>
    <w:rsid w:val="00657F04"/>
    <w:rsid w:val="00663012"/>
    <w:rsid w:val="00705645"/>
    <w:rsid w:val="0070696C"/>
    <w:rsid w:val="007835F6"/>
    <w:rsid w:val="007B011A"/>
    <w:rsid w:val="007F091B"/>
    <w:rsid w:val="007F4AEC"/>
    <w:rsid w:val="0080627A"/>
    <w:rsid w:val="00831DFC"/>
    <w:rsid w:val="008A56EF"/>
    <w:rsid w:val="00914734"/>
    <w:rsid w:val="00921A3D"/>
    <w:rsid w:val="0096321B"/>
    <w:rsid w:val="00996A99"/>
    <w:rsid w:val="00A336F5"/>
    <w:rsid w:val="00B87D17"/>
    <w:rsid w:val="00B94C5A"/>
    <w:rsid w:val="00BB6295"/>
    <w:rsid w:val="00BF45DC"/>
    <w:rsid w:val="00C4183F"/>
    <w:rsid w:val="00CB5377"/>
    <w:rsid w:val="00CF2F7F"/>
    <w:rsid w:val="00DB3702"/>
    <w:rsid w:val="00DD6142"/>
    <w:rsid w:val="00E55C39"/>
    <w:rsid w:val="00E963D3"/>
    <w:rsid w:val="00EE6DEF"/>
    <w:rsid w:val="00F06978"/>
    <w:rsid w:val="00F14814"/>
    <w:rsid w:val="00F66D6C"/>
    <w:rsid w:val="00F7460D"/>
    <w:rsid w:val="00F822F4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7CA70"/>
  <w15:chartTrackingRefBased/>
  <w15:docId w15:val="{76EF908F-5FB7-418E-9026-AC25B40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55C39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5C3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aliases w:val="callout"/>
    <w:uiPriority w:val="99"/>
    <w:rsid w:val="00E55C39"/>
    <w:rPr>
      <w:vertAlign w:val="superscript"/>
    </w:rPr>
  </w:style>
  <w:style w:type="character" w:customStyle="1" w:styleId="fontstyle01">
    <w:name w:val="fontstyle01"/>
    <w:basedOn w:val="DefaultParagraphFont"/>
    <w:rsid w:val="00CF2F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Administrator</cp:lastModifiedBy>
  <cp:revision>68</cp:revision>
  <cp:lastPrinted>2025-08-12T03:56:00Z</cp:lastPrinted>
  <dcterms:created xsi:type="dcterms:W3CDTF">2025-08-12T03:52:00Z</dcterms:created>
  <dcterms:modified xsi:type="dcterms:W3CDTF">2026-07-16T09:53:00Z</dcterms:modified>
</cp:coreProperties>
</file>