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563"/>
        <w:gridCol w:w="3990"/>
        <w:gridCol w:w="1275"/>
        <w:gridCol w:w="1134"/>
      </w:tblGrid>
      <w:tr w:rsidR="00622716" w:rsidRPr="00BD029E" w:rsidTr="00E116AE">
        <w:trPr>
          <w:trHeight w:val="315"/>
        </w:trPr>
        <w:tc>
          <w:tcPr>
            <w:tcW w:w="670" w:type="dxa"/>
            <w:vAlign w:val="center"/>
            <w:hideMark/>
          </w:tcPr>
          <w:p w:rsidR="00622716" w:rsidRPr="00BD029E" w:rsidRDefault="00622716" w:rsidP="00E116AE">
            <w:pPr>
              <w:jc w:val="center"/>
              <w:rPr>
                <w:b/>
                <w:bCs/>
                <w:szCs w:val="24"/>
              </w:rPr>
            </w:pPr>
            <w:r w:rsidRPr="00BD029E">
              <w:rPr>
                <w:b/>
                <w:bCs/>
                <w:szCs w:val="24"/>
              </w:rPr>
              <w:t>STT</w:t>
            </w:r>
          </w:p>
        </w:tc>
        <w:tc>
          <w:tcPr>
            <w:tcW w:w="7553" w:type="dxa"/>
            <w:gridSpan w:val="2"/>
            <w:vMerge w:val="restart"/>
            <w:vAlign w:val="center"/>
          </w:tcPr>
          <w:p w:rsidR="00622716" w:rsidRPr="00BD029E" w:rsidRDefault="00622716" w:rsidP="00E116AE">
            <w:pPr>
              <w:jc w:val="center"/>
              <w:rPr>
                <w:b/>
                <w:bCs/>
                <w:szCs w:val="24"/>
              </w:rPr>
            </w:pPr>
            <w:r w:rsidRPr="00BD029E">
              <w:rPr>
                <w:b/>
                <w:bCs/>
                <w:szCs w:val="24"/>
              </w:rPr>
              <w:t>Yêu cầu chung</w:t>
            </w:r>
          </w:p>
        </w:tc>
        <w:tc>
          <w:tcPr>
            <w:tcW w:w="2409" w:type="dxa"/>
            <w:gridSpan w:val="2"/>
          </w:tcPr>
          <w:p w:rsidR="00622716" w:rsidRPr="00BD029E" w:rsidRDefault="00622716" w:rsidP="00E116AE">
            <w:pPr>
              <w:jc w:val="center"/>
              <w:rPr>
                <w:b/>
                <w:bCs/>
                <w:szCs w:val="24"/>
              </w:rPr>
            </w:pPr>
            <w:r w:rsidRPr="00BD029E">
              <w:rPr>
                <w:b/>
                <w:bCs/>
                <w:szCs w:val="24"/>
              </w:rPr>
              <w:t>Đáp ứng</w:t>
            </w:r>
          </w:p>
        </w:tc>
      </w:tr>
      <w:tr w:rsidR="00622716" w:rsidRPr="00BD029E" w:rsidTr="00E116AE">
        <w:trPr>
          <w:trHeight w:val="315"/>
        </w:trPr>
        <w:tc>
          <w:tcPr>
            <w:tcW w:w="670" w:type="dxa"/>
            <w:vAlign w:val="center"/>
          </w:tcPr>
          <w:p w:rsidR="00622716" w:rsidRPr="00BD029E" w:rsidRDefault="00622716" w:rsidP="00E116AE">
            <w:pPr>
              <w:jc w:val="center"/>
              <w:rPr>
                <w:b/>
                <w:bCs/>
                <w:szCs w:val="24"/>
              </w:rPr>
            </w:pPr>
            <w:r w:rsidRPr="00BD029E">
              <w:rPr>
                <w:b/>
                <w:bCs/>
                <w:szCs w:val="24"/>
              </w:rPr>
              <w:t xml:space="preserve">I </w:t>
            </w:r>
          </w:p>
        </w:tc>
        <w:tc>
          <w:tcPr>
            <w:tcW w:w="7553" w:type="dxa"/>
            <w:gridSpan w:val="2"/>
            <w:vMerge/>
            <w:vAlign w:val="center"/>
          </w:tcPr>
          <w:p w:rsidR="00622716" w:rsidRPr="00BD029E" w:rsidRDefault="00622716" w:rsidP="00E116AE">
            <w:pPr>
              <w:jc w:val="center"/>
              <w:rPr>
                <w:b/>
                <w:bCs/>
                <w:szCs w:val="24"/>
              </w:rPr>
            </w:pPr>
          </w:p>
        </w:tc>
        <w:tc>
          <w:tcPr>
            <w:tcW w:w="1275" w:type="dxa"/>
          </w:tcPr>
          <w:p w:rsidR="00622716" w:rsidRPr="00BD029E" w:rsidRDefault="00622716" w:rsidP="00E116AE">
            <w:pPr>
              <w:jc w:val="center"/>
              <w:rPr>
                <w:b/>
                <w:bCs/>
                <w:szCs w:val="24"/>
              </w:rPr>
            </w:pPr>
            <w:r w:rsidRPr="00BD029E">
              <w:rPr>
                <w:b/>
                <w:bCs/>
                <w:szCs w:val="24"/>
              </w:rPr>
              <w:t xml:space="preserve">Đạt </w:t>
            </w:r>
          </w:p>
        </w:tc>
        <w:tc>
          <w:tcPr>
            <w:tcW w:w="1134" w:type="dxa"/>
          </w:tcPr>
          <w:p w:rsidR="00622716" w:rsidRPr="00BD029E" w:rsidRDefault="00622716" w:rsidP="00E116AE">
            <w:pPr>
              <w:jc w:val="center"/>
              <w:rPr>
                <w:b/>
                <w:bCs/>
                <w:szCs w:val="24"/>
              </w:rPr>
            </w:pPr>
            <w:r w:rsidRPr="00BD029E">
              <w:rPr>
                <w:b/>
                <w:bCs/>
                <w:szCs w:val="24"/>
              </w:rPr>
              <w:t>Không đạt</w:t>
            </w:r>
          </w:p>
        </w:tc>
      </w:tr>
      <w:tr w:rsidR="00622716" w:rsidRPr="00BD029E" w:rsidTr="00E116AE">
        <w:trPr>
          <w:trHeight w:val="315"/>
        </w:trPr>
        <w:tc>
          <w:tcPr>
            <w:tcW w:w="670" w:type="dxa"/>
            <w:vAlign w:val="center"/>
          </w:tcPr>
          <w:p w:rsidR="00622716" w:rsidRPr="00BD029E" w:rsidRDefault="00622716" w:rsidP="00E116AE">
            <w:pPr>
              <w:jc w:val="center"/>
              <w:rPr>
                <w:bCs/>
                <w:szCs w:val="24"/>
              </w:rPr>
            </w:pPr>
            <w:r w:rsidRPr="00BD029E">
              <w:rPr>
                <w:bCs/>
                <w:szCs w:val="24"/>
              </w:rPr>
              <w:t>1</w:t>
            </w:r>
          </w:p>
        </w:tc>
        <w:tc>
          <w:tcPr>
            <w:tcW w:w="7553" w:type="dxa"/>
            <w:gridSpan w:val="2"/>
            <w:vAlign w:val="center"/>
          </w:tcPr>
          <w:p w:rsidR="00622716" w:rsidRPr="009F48F9" w:rsidRDefault="00622716" w:rsidP="00E116AE">
            <w:pPr>
              <w:jc w:val="left"/>
              <w:rPr>
                <w:b/>
                <w:bCs/>
                <w:szCs w:val="24"/>
              </w:rPr>
            </w:pPr>
            <w:r w:rsidRPr="009F48F9">
              <w:rPr>
                <w:rFonts w:asciiTheme="majorHAnsi" w:hAnsiTheme="majorHAnsi" w:cstheme="majorHAnsi"/>
                <w:szCs w:val="24"/>
              </w:rPr>
              <w:t>Các thiết bị yêu cầu cung cấp phải là thiết bị mới 100%</w:t>
            </w:r>
            <w:r w:rsidRPr="009F48F9">
              <w:rPr>
                <w:rFonts w:asciiTheme="majorHAnsi" w:hAnsiTheme="majorHAnsi" w:cstheme="majorHAnsi"/>
                <w:szCs w:val="24"/>
              </w:rPr>
              <w:br/>
              <w:t>Năm sản xuất 202</w:t>
            </w:r>
            <w:r>
              <w:rPr>
                <w:rFonts w:asciiTheme="majorHAnsi" w:hAnsiTheme="majorHAnsi" w:cstheme="majorHAnsi"/>
                <w:szCs w:val="24"/>
              </w:rPr>
              <w:t>6</w:t>
            </w:r>
            <w:r w:rsidRPr="009F48F9">
              <w:rPr>
                <w:rFonts w:asciiTheme="majorHAnsi" w:hAnsiTheme="majorHAnsi" w:cstheme="majorHAnsi"/>
                <w:szCs w:val="24"/>
              </w:rPr>
              <w:t xml:space="preserve"> </w:t>
            </w:r>
            <w:r>
              <w:rPr>
                <w:rFonts w:asciiTheme="majorHAnsi" w:hAnsiTheme="majorHAnsi" w:cstheme="majorHAnsi"/>
                <w:szCs w:val="24"/>
              </w:rPr>
              <w:t>trở về sau</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Align w:val="center"/>
          </w:tcPr>
          <w:p w:rsidR="00622716" w:rsidRPr="00BD029E" w:rsidRDefault="00622716" w:rsidP="00E116AE">
            <w:pPr>
              <w:jc w:val="center"/>
              <w:rPr>
                <w:bCs/>
                <w:szCs w:val="24"/>
              </w:rPr>
            </w:pPr>
            <w:r w:rsidRPr="00BD029E">
              <w:rPr>
                <w:rFonts w:asciiTheme="majorHAnsi" w:hAnsiTheme="majorHAnsi" w:cstheme="majorHAnsi"/>
                <w:szCs w:val="24"/>
              </w:rPr>
              <w:t>2</w:t>
            </w:r>
          </w:p>
        </w:tc>
        <w:tc>
          <w:tcPr>
            <w:tcW w:w="7553" w:type="dxa"/>
            <w:gridSpan w:val="2"/>
            <w:vAlign w:val="center"/>
          </w:tcPr>
          <w:p w:rsidR="00622716" w:rsidRPr="009F48F9" w:rsidRDefault="00622716" w:rsidP="00E116AE">
            <w:pPr>
              <w:jc w:val="left"/>
              <w:rPr>
                <w:rFonts w:asciiTheme="majorHAnsi" w:hAnsiTheme="majorHAnsi" w:cstheme="majorHAnsi"/>
                <w:szCs w:val="24"/>
              </w:rPr>
            </w:pPr>
            <w:r w:rsidRPr="009F48F9">
              <w:rPr>
                <w:rFonts w:asciiTheme="majorHAnsi" w:hAnsiTheme="majorHAnsi" w:cstheme="majorHAnsi"/>
                <w:szCs w:val="24"/>
              </w:rPr>
              <w:t>Toàn bộ thiết bị phải kèm theo tài liệu kỹ thuật (Catalogue) Chứng minh sự đồng bộ, phù hợp của hàng hóa; Hàng hóa phải có ký mã hiệu, nhãn mác, tên hàng sản xuất, nước sản xuất.</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Align w:val="center"/>
          </w:tcPr>
          <w:p w:rsidR="00622716" w:rsidRPr="00BD029E" w:rsidRDefault="00622716" w:rsidP="00E116AE">
            <w:pPr>
              <w:jc w:val="center"/>
              <w:rPr>
                <w:bCs/>
                <w:szCs w:val="24"/>
              </w:rPr>
            </w:pPr>
            <w:r w:rsidRPr="00BD029E">
              <w:rPr>
                <w:bCs/>
                <w:szCs w:val="24"/>
              </w:rPr>
              <w:t>3</w:t>
            </w:r>
          </w:p>
        </w:tc>
        <w:tc>
          <w:tcPr>
            <w:tcW w:w="7553" w:type="dxa"/>
            <w:gridSpan w:val="2"/>
            <w:vAlign w:val="center"/>
          </w:tcPr>
          <w:p w:rsidR="00622716" w:rsidRPr="009F48F9" w:rsidRDefault="00622716" w:rsidP="00E116AE">
            <w:pPr>
              <w:jc w:val="left"/>
              <w:rPr>
                <w:rFonts w:asciiTheme="majorHAnsi" w:hAnsiTheme="majorHAnsi" w:cstheme="majorHAnsi"/>
                <w:szCs w:val="24"/>
              </w:rPr>
            </w:pPr>
            <w:r w:rsidRPr="009F48F9">
              <w:rPr>
                <w:rFonts w:asciiTheme="majorHAnsi" w:hAnsiTheme="majorHAnsi" w:cstheme="majorHAnsi"/>
                <w:szCs w:val="24"/>
              </w:rPr>
              <w:t>Nhà thầu nếu trúng thầu phải cung cấp đầy đủ giấy tờ theo bảng yêu cầu (Phụ lục): Chứng nhận nguồn gốc xuất xứ hàng hoá (CO), Chứng nhận chất lượng hàng hoá (CQ) (Yêu cầu chi tiết kỹ thuật).</w:t>
            </w:r>
          </w:p>
          <w:p w:rsidR="00622716" w:rsidRPr="009F48F9" w:rsidRDefault="00622716" w:rsidP="00E116AE">
            <w:pPr>
              <w:jc w:val="left"/>
              <w:rPr>
                <w:rFonts w:asciiTheme="majorHAnsi" w:hAnsiTheme="majorHAnsi" w:cstheme="majorHAnsi"/>
                <w:szCs w:val="24"/>
              </w:rPr>
            </w:pP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Align w:val="center"/>
          </w:tcPr>
          <w:p w:rsidR="00622716" w:rsidRPr="00BD029E" w:rsidRDefault="00622716" w:rsidP="00E116AE">
            <w:pPr>
              <w:jc w:val="center"/>
              <w:rPr>
                <w:bCs/>
                <w:szCs w:val="24"/>
              </w:rPr>
            </w:pPr>
            <w:r>
              <w:rPr>
                <w:rFonts w:asciiTheme="majorHAnsi" w:hAnsiTheme="majorHAnsi" w:cstheme="majorHAnsi"/>
                <w:szCs w:val="24"/>
              </w:rPr>
              <w:t>4</w:t>
            </w:r>
          </w:p>
        </w:tc>
        <w:tc>
          <w:tcPr>
            <w:tcW w:w="7553" w:type="dxa"/>
            <w:gridSpan w:val="2"/>
            <w:vAlign w:val="center"/>
          </w:tcPr>
          <w:p w:rsidR="00622716" w:rsidRPr="009F48F9" w:rsidRDefault="00622716" w:rsidP="00E116AE">
            <w:pPr>
              <w:jc w:val="left"/>
              <w:rPr>
                <w:rFonts w:asciiTheme="majorHAnsi" w:hAnsiTheme="majorHAnsi" w:cstheme="majorHAnsi"/>
                <w:szCs w:val="24"/>
              </w:rPr>
            </w:pPr>
            <w:r w:rsidRPr="009F48F9">
              <w:rPr>
                <w:rFonts w:asciiTheme="majorHAnsi" w:hAnsiTheme="majorHAnsi" w:cstheme="majorHAnsi"/>
                <w:szCs w:val="24"/>
              </w:rPr>
              <w:t>Yêu cầu hệ thống được tích hợp, lắp đặt hoàn chỉnh.</w:t>
            </w:r>
          </w:p>
          <w:p w:rsidR="00622716" w:rsidRPr="009F48F9" w:rsidRDefault="00622716" w:rsidP="00E116AE">
            <w:pPr>
              <w:jc w:val="left"/>
              <w:rPr>
                <w:rFonts w:asciiTheme="majorHAnsi" w:hAnsiTheme="majorHAnsi" w:cstheme="majorHAnsi"/>
                <w:szCs w:val="24"/>
              </w:rPr>
            </w:pPr>
            <w:r w:rsidRPr="009F48F9">
              <w:rPr>
                <w:rFonts w:asciiTheme="majorHAnsi" w:hAnsiTheme="majorHAnsi" w:cstheme="majorHAnsi"/>
                <w:szCs w:val="24"/>
              </w:rPr>
              <w:t xml:space="preserve">Để phục vụ cho việc tính toán phương án triển khai: Nhà thầu có trách nhiệm thực hiện khảo sát, đưa ra sơ đồ, phương án kỹ thuật chào thầu. Hồ sơ chào thầu cần có: </w:t>
            </w:r>
          </w:p>
          <w:p w:rsidR="00622716" w:rsidRPr="009F48F9" w:rsidRDefault="00622716" w:rsidP="00E116AE">
            <w:pPr>
              <w:jc w:val="left"/>
              <w:rPr>
                <w:rFonts w:asciiTheme="majorHAnsi" w:hAnsiTheme="majorHAnsi" w:cstheme="majorHAnsi"/>
                <w:szCs w:val="24"/>
              </w:rPr>
            </w:pPr>
            <w:r w:rsidRPr="009F48F9">
              <w:rPr>
                <w:rFonts w:asciiTheme="majorHAnsi" w:hAnsiTheme="majorHAnsi" w:cstheme="majorHAnsi"/>
                <w:szCs w:val="24"/>
              </w:rPr>
              <w:t xml:space="preserve">(1) Nhà thầu phải có Thuyết minh kỹ thuật và Biên bản khảo sát có xác nhận với kỹ thuật của VNPT Media. </w:t>
            </w:r>
          </w:p>
          <w:p w:rsidR="00622716" w:rsidRPr="009F48F9" w:rsidRDefault="00622716" w:rsidP="00E116AE">
            <w:pPr>
              <w:jc w:val="left"/>
              <w:rPr>
                <w:rFonts w:asciiTheme="majorHAnsi" w:hAnsiTheme="majorHAnsi" w:cstheme="majorHAnsi"/>
                <w:szCs w:val="24"/>
              </w:rPr>
            </w:pPr>
            <w:r w:rsidRPr="009F48F9">
              <w:rPr>
                <w:rFonts w:asciiTheme="majorHAnsi" w:hAnsiTheme="majorHAnsi" w:cstheme="majorHAnsi"/>
                <w:szCs w:val="24"/>
              </w:rPr>
              <w:t>Đầu mối làm việc về khảo sát của VNPT-Media, xin vui lòng liên hệ:</w:t>
            </w:r>
          </w:p>
          <w:p w:rsidR="00622716" w:rsidRPr="009F48F9" w:rsidRDefault="00622716" w:rsidP="00E116AE">
            <w:pPr>
              <w:jc w:val="left"/>
              <w:rPr>
                <w:rFonts w:asciiTheme="majorHAnsi" w:hAnsiTheme="majorHAnsi" w:cstheme="majorHAnsi"/>
                <w:szCs w:val="24"/>
              </w:rPr>
            </w:pPr>
            <w:r w:rsidRPr="009F48F9">
              <w:rPr>
                <w:rFonts w:asciiTheme="majorHAnsi" w:hAnsiTheme="majorHAnsi" w:cstheme="majorHAnsi"/>
                <w:szCs w:val="24"/>
              </w:rPr>
              <w:t xml:space="preserve">- Anh </w:t>
            </w:r>
            <w:r>
              <w:rPr>
                <w:rFonts w:asciiTheme="majorHAnsi" w:hAnsiTheme="majorHAnsi" w:cstheme="majorHAnsi"/>
                <w:szCs w:val="24"/>
              </w:rPr>
              <w:t>Nguyễn Quang Trung</w:t>
            </w:r>
            <w:r w:rsidRPr="009F48F9">
              <w:rPr>
                <w:rFonts w:asciiTheme="majorHAnsi" w:hAnsiTheme="majorHAnsi" w:cstheme="majorHAnsi"/>
                <w:szCs w:val="24"/>
              </w:rPr>
              <w:t xml:space="preserve">; Điện thoại </w:t>
            </w:r>
            <w:r>
              <w:rPr>
                <w:rFonts w:asciiTheme="majorHAnsi" w:hAnsiTheme="majorHAnsi" w:cstheme="majorHAnsi"/>
                <w:szCs w:val="24"/>
              </w:rPr>
              <w:t>091.929.3988</w:t>
            </w:r>
          </w:p>
          <w:p w:rsidR="00622716" w:rsidRPr="009F48F9" w:rsidRDefault="00622716" w:rsidP="00E116AE">
            <w:pPr>
              <w:jc w:val="left"/>
              <w:rPr>
                <w:rFonts w:asciiTheme="majorHAnsi" w:hAnsiTheme="majorHAnsi" w:cstheme="majorHAnsi"/>
                <w:szCs w:val="24"/>
              </w:rPr>
            </w:pPr>
            <w:r w:rsidRPr="009F48F9">
              <w:rPr>
                <w:rFonts w:asciiTheme="majorHAnsi" w:hAnsiTheme="majorHAnsi" w:cstheme="majorHAnsi"/>
                <w:szCs w:val="24"/>
              </w:rPr>
              <w:t>Thời gian và địa điểm khảo sát : Từ ngày phát hành hồ sơ đến 17h00 ngày .... (trong giờ hành chính) Địa điểm: Hà Nội</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1771"/>
        </w:trPr>
        <w:tc>
          <w:tcPr>
            <w:tcW w:w="670" w:type="dxa"/>
            <w:vAlign w:val="center"/>
          </w:tcPr>
          <w:p w:rsidR="00622716" w:rsidRPr="00BD029E" w:rsidRDefault="00622716" w:rsidP="00E116AE">
            <w:pPr>
              <w:jc w:val="center"/>
              <w:rPr>
                <w:bCs/>
                <w:szCs w:val="24"/>
              </w:rPr>
            </w:pPr>
            <w:r>
              <w:rPr>
                <w:rFonts w:asciiTheme="majorHAnsi" w:hAnsiTheme="majorHAnsi" w:cstheme="majorHAnsi"/>
                <w:szCs w:val="24"/>
              </w:rPr>
              <w:t>5</w:t>
            </w:r>
          </w:p>
        </w:tc>
        <w:tc>
          <w:tcPr>
            <w:tcW w:w="7553" w:type="dxa"/>
            <w:gridSpan w:val="2"/>
            <w:vAlign w:val="center"/>
          </w:tcPr>
          <w:p w:rsidR="00622716" w:rsidRPr="00BB3034" w:rsidRDefault="00622716" w:rsidP="00E116AE">
            <w:pPr>
              <w:jc w:val="left"/>
              <w:rPr>
                <w:rFonts w:asciiTheme="majorHAnsi" w:hAnsiTheme="majorHAnsi" w:cstheme="majorHAnsi"/>
                <w:szCs w:val="24"/>
              </w:rPr>
            </w:pPr>
            <w:r w:rsidRPr="00BB3034">
              <w:rPr>
                <w:rFonts w:asciiTheme="majorHAnsi" w:hAnsiTheme="majorHAnsi" w:cstheme="majorHAnsi"/>
                <w:szCs w:val="24"/>
              </w:rPr>
              <w:t>Nhà thầu chịu trách nhiệm toàn bộ công việc và phụ kiện vật tư khi triển khai lắp đặt, cấu hình thiết bị, tích hợp hoàn thiện hệ thống của VNPT-Media.</w:t>
            </w:r>
          </w:p>
          <w:p w:rsidR="00622716" w:rsidRPr="00BB3034" w:rsidRDefault="00622716" w:rsidP="00E116AE">
            <w:pPr>
              <w:jc w:val="left"/>
              <w:rPr>
                <w:rFonts w:asciiTheme="majorHAnsi" w:hAnsiTheme="majorHAnsi" w:cstheme="majorHAnsi"/>
                <w:szCs w:val="24"/>
                <w:lang w:val="vi-VN"/>
              </w:rPr>
            </w:pPr>
            <w:r w:rsidRPr="00BB3034">
              <w:rPr>
                <w:rFonts w:asciiTheme="majorHAnsi" w:hAnsiTheme="majorHAnsi" w:cstheme="majorHAnsi"/>
                <w:szCs w:val="24"/>
                <w:lang w:val="vi-VN"/>
              </w:rPr>
              <w:t>Yêu cầu nhà thầu thực hiện đào tạo chuyển giao hệ thống</w:t>
            </w:r>
            <w:r w:rsidRPr="00BB3034">
              <w:rPr>
                <w:rFonts w:asciiTheme="majorHAnsi" w:hAnsiTheme="majorHAnsi" w:cstheme="majorHAnsi"/>
                <w:szCs w:val="24"/>
              </w:rPr>
              <w:t xml:space="preserve"> (nếu có)</w:t>
            </w:r>
            <w:r w:rsidRPr="00BB3034">
              <w:rPr>
                <w:rFonts w:asciiTheme="majorHAnsi" w:hAnsiTheme="majorHAnsi" w:cstheme="majorHAnsi"/>
                <w:szCs w:val="24"/>
                <w:lang w:val="vi-VN"/>
              </w:rPr>
              <w:t>.</w:t>
            </w:r>
          </w:p>
          <w:p w:rsidR="00622716" w:rsidRPr="009F48F9" w:rsidRDefault="00622716" w:rsidP="00E116AE">
            <w:pPr>
              <w:jc w:val="left"/>
              <w:rPr>
                <w:rFonts w:asciiTheme="majorHAnsi" w:hAnsiTheme="majorHAnsi" w:cstheme="majorHAnsi"/>
                <w:szCs w:val="24"/>
                <w:lang w:val="vi-VN"/>
              </w:rPr>
            </w:pPr>
            <w:r w:rsidRPr="00BB3034">
              <w:rPr>
                <w:rFonts w:asciiTheme="majorHAnsi" w:hAnsiTheme="majorHAnsi" w:cstheme="majorHAnsi"/>
                <w:szCs w:val="24"/>
                <w:lang w:val="vi-VN"/>
              </w:rPr>
              <w:t>Nhà thầu có trách nhiệm cung cấp dịch vụ bảo trì, hỗ trợ kỹ thuật hệ thống tối thiểu 36 tháng</w:t>
            </w:r>
            <w:r w:rsidRPr="00B92E97">
              <w:rPr>
                <w:rFonts w:asciiTheme="majorHAnsi" w:hAnsiTheme="majorHAnsi" w:cstheme="majorHAnsi"/>
                <w:color w:val="FF0000"/>
                <w:szCs w:val="24"/>
                <w:lang w:val="vi-VN"/>
              </w:rPr>
              <w:t>.</w:t>
            </w:r>
          </w:p>
        </w:tc>
        <w:tc>
          <w:tcPr>
            <w:tcW w:w="1275" w:type="dxa"/>
          </w:tcPr>
          <w:p w:rsidR="00622716" w:rsidRPr="00BD029E" w:rsidRDefault="00622716" w:rsidP="00E116AE">
            <w:pPr>
              <w:jc w:val="center"/>
              <w:rPr>
                <w:b/>
                <w:bCs/>
                <w:szCs w:val="24"/>
                <w:lang w:val="vi-VN"/>
              </w:rPr>
            </w:pPr>
          </w:p>
        </w:tc>
        <w:tc>
          <w:tcPr>
            <w:tcW w:w="1134" w:type="dxa"/>
          </w:tcPr>
          <w:p w:rsidR="00622716" w:rsidRPr="00BD029E" w:rsidRDefault="00622716" w:rsidP="00E116AE">
            <w:pPr>
              <w:jc w:val="center"/>
              <w:rPr>
                <w:b/>
                <w:bCs/>
                <w:szCs w:val="24"/>
                <w:lang w:val="vi-VN"/>
              </w:rPr>
            </w:pPr>
          </w:p>
        </w:tc>
      </w:tr>
      <w:tr w:rsidR="00622716" w:rsidRPr="00BD029E" w:rsidTr="00E116AE">
        <w:trPr>
          <w:trHeight w:val="315"/>
        </w:trPr>
        <w:tc>
          <w:tcPr>
            <w:tcW w:w="670" w:type="dxa"/>
            <w:vAlign w:val="center"/>
          </w:tcPr>
          <w:p w:rsidR="00622716" w:rsidRPr="00BD029E" w:rsidRDefault="00622716" w:rsidP="00E116AE">
            <w:pPr>
              <w:jc w:val="center"/>
              <w:rPr>
                <w:b/>
                <w:bCs/>
                <w:szCs w:val="24"/>
              </w:rPr>
            </w:pPr>
            <w:r w:rsidRPr="00BD029E">
              <w:rPr>
                <w:b/>
                <w:bCs/>
                <w:szCs w:val="24"/>
              </w:rPr>
              <w:t>II</w:t>
            </w:r>
          </w:p>
        </w:tc>
        <w:tc>
          <w:tcPr>
            <w:tcW w:w="7553" w:type="dxa"/>
            <w:gridSpan w:val="2"/>
            <w:vAlign w:val="center"/>
          </w:tcPr>
          <w:p w:rsidR="00622716" w:rsidRPr="00BD029E" w:rsidRDefault="00622716" w:rsidP="00E116AE">
            <w:pPr>
              <w:jc w:val="center"/>
              <w:rPr>
                <w:b/>
                <w:bCs/>
                <w:szCs w:val="24"/>
              </w:rPr>
            </w:pPr>
            <w:r w:rsidRPr="00BD029E">
              <w:rPr>
                <w:b/>
                <w:bCs/>
                <w:szCs w:val="24"/>
              </w:rPr>
              <w:t>Yêu cầu chi tiết kỹ thuật</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Align w:val="center"/>
          </w:tcPr>
          <w:p w:rsidR="00622716" w:rsidRDefault="00622716" w:rsidP="00E116AE">
            <w:pPr>
              <w:jc w:val="center"/>
              <w:rPr>
                <w:b/>
                <w:bCs/>
                <w:szCs w:val="24"/>
              </w:rPr>
            </w:pPr>
            <w:r>
              <w:rPr>
                <w:b/>
                <w:bCs/>
                <w:szCs w:val="24"/>
              </w:rPr>
              <w:t>STT</w:t>
            </w:r>
          </w:p>
        </w:tc>
        <w:tc>
          <w:tcPr>
            <w:tcW w:w="3563" w:type="dxa"/>
            <w:vAlign w:val="center"/>
          </w:tcPr>
          <w:p w:rsidR="00622716" w:rsidRPr="00BD029E" w:rsidRDefault="00622716" w:rsidP="00E116AE">
            <w:pPr>
              <w:rPr>
                <w:b/>
                <w:bCs/>
                <w:szCs w:val="24"/>
              </w:rPr>
            </w:pPr>
            <w:r>
              <w:rPr>
                <w:b/>
                <w:bCs/>
                <w:szCs w:val="24"/>
              </w:rPr>
              <w:t>Tính năng</w:t>
            </w:r>
          </w:p>
        </w:tc>
        <w:tc>
          <w:tcPr>
            <w:tcW w:w="3990" w:type="dxa"/>
            <w:vAlign w:val="center"/>
          </w:tcPr>
          <w:p w:rsidR="00622716" w:rsidRPr="00BD029E" w:rsidRDefault="00622716" w:rsidP="00E116AE">
            <w:pPr>
              <w:rPr>
                <w:b/>
                <w:bCs/>
                <w:szCs w:val="24"/>
              </w:rPr>
            </w:pPr>
            <w:r>
              <w:rPr>
                <w:b/>
                <w:bCs/>
                <w:szCs w:val="24"/>
              </w:rPr>
              <w:t>Yêu cầu kỹ thuật</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restart"/>
            <w:vAlign w:val="center"/>
          </w:tcPr>
          <w:p w:rsidR="00622716" w:rsidRDefault="00622716" w:rsidP="00E116AE">
            <w:pPr>
              <w:jc w:val="center"/>
              <w:rPr>
                <w:b/>
                <w:bCs/>
                <w:szCs w:val="24"/>
              </w:rPr>
            </w:pPr>
            <w:r>
              <w:rPr>
                <w:b/>
                <w:bCs/>
                <w:szCs w:val="24"/>
              </w:rPr>
              <w:t>1</w:t>
            </w:r>
          </w:p>
        </w:tc>
        <w:tc>
          <w:tcPr>
            <w:tcW w:w="3563" w:type="dxa"/>
            <w:vMerge w:val="restart"/>
            <w:vAlign w:val="center"/>
          </w:tcPr>
          <w:p w:rsidR="00622716" w:rsidRPr="00866676" w:rsidRDefault="00622716" w:rsidP="00E116AE">
            <w:pPr>
              <w:rPr>
                <w:bCs/>
                <w:szCs w:val="24"/>
              </w:rPr>
            </w:pPr>
            <w:r>
              <w:rPr>
                <w:b/>
                <w:bCs/>
                <w:szCs w:val="24"/>
              </w:rPr>
              <w:t>Năng lực thiết bị</w:t>
            </w:r>
          </w:p>
        </w:tc>
        <w:tc>
          <w:tcPr>
            <w:tcW w:w="3990" w:type="dxa"/>
            <w:vAlign w:val="bottom"/>
          </w:tcPr>
          <w:p w:rsidR="00622716" w:rsidRDefault="00622716" w:rsidP="00E116AE">
            <w:pPr>
              <w:rPr>
                <w:b/>
                <w:bCs/>
                <w:szCs w:val="24"/>
              </w:rPr>
            </w:pPr>
            <w:r>
              <w:rPr>
                <w:color w:val="303030"/>
              </w:rPr>
              <w:t>Thông lượng tường lửa (Firewall Throughput) tối thiểu ≥ 50 Gbps</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center"/>
          </w:tcPr>
          <w:p w:rsidR="00622716" w:rsidRDefault="00622716" w:rsidP="00E116AE">
            <w:pPr>
              <w:rPr>
                <w:b/>
                <w:bCs/>
                <w:szCs w:val="24"/>
              </w:rPr>
            </w:pPr>
            <w:r>
              <w:rPr>
                <w:color w:val="303030"/>
              </w:rPr>
              <w:t>Thông lượng tường lửa thế hệ mới (</w:t>
            </w:r>
            <w:r w:rsidRPr="003E1256">
              <w:rPr>
                <w:color w:val="303030"/>
              </w:rPr>
              <w:t>NGFW Throughput được đo khi đã bật tính năng application control hoặc tương đương</w:t>
            </w:r>
            <w:r>
              <w:rPr>
                <w:color w:val="303030"/>
              </w:rPr>
              <w:t>) tối thiểu ≥ 34 Gbps</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000000"/>
              </w:rPr>
              <w:t>Thông lượng phòng chống mối đe dọa tổng hợp (Threat Prevention/Protection Throughput - bao gồm IPS, Antivirus, Application Control...) tối thiểu ≥ 26 Gbps</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303030"/>
              </w:rPr>
              <w:t>Số lượng phiên kết nối đồng thời (Concurrent Sessions) tối thiểu ≥ 5.000.000 phiên</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restart"/>
            <w:vAlign w:val="center"/>
          </w:tcPr>
          <w:p w:rsidR="00622716" w:rsidRDefault="00622716" w:rsidP="00E116AE">
            <w:pPr>
              <w:jc w:val="center"/>
              <w:rPr>
                <w:b/>
                <w:bCs/>
                <w:szCs w:val="24"/>
              </w:rPr>
            </w:pPr>
            <w:r>
              <w:rPr>
                <w:b/>
                <w:bCs/>
                <w:szCs w:val="24"/>
              </w:rPr>
              <w:t>2</w:t>
            </w:r>
          </w:p>
        </w:tc>
        <w:tc>
          <w:tcPr>
            <w:tcW w:w="3563" w:type="dxa"/>
            <w:vMerge w:val="restart"/>
            <w:vAlign w:val="center"/>
          </w:tcPr>
          <w:p w:rsidR="00622716" w:rsidRDefault="00622716" w:rsidP="00E116AE">
            <w:pPr>
              <w:rPr>
                <w:b/>
                <w:bCs/>
                <w:szCs w:val="24"/>
              </w:rPr>
            </w:pPr>
            <w:r>
              <w:rPr>
                <w:b/>
                <w:bCs/>
                <w:szCs w:val="24"/>
              </w:rPr>
              <w:t>Tính năng thiết bị</w:t>
            </w:r>
          </w:p>
        </w:tc>
        <w:tc>
          <w:tcPr>
            <w:tcW w:w="3990" w:type="dxa"/>
            <w:vAlign w:val="bottom"/>
          </w:tcPr>
          <w:p w:rsidR="00622716" w:rsidRPr="00866676" w:rsidRDefault="00622716" w:rsidP="00E116AE">
            <w:pPr>
              <w:rPr>
                <w:b/>
                <w:bCs/>
                <w:szCs w:val="24"/>
              </w:rPr>
            </w:pPr>
            <w:r w:rsidRPr="00866676">
              <w:t xml:space="preserve">Tích hợp sẵn các tính năng bảo mật nâng cao: Hệ thống phòng chống xâm nhập (IPS), Phòng chống mã độc (Antivirus), Kiểm soát ứng dụng </w:t>
            </w:r>
            <w:r w:rsidRPr="00866676">
              <w:lastRenderedPageBreak/>
              <w:t>(Application Control), Lọc web (Web Filtering cho phép quản trị viên có thể chủ động cấu hình các domain độc hại)  hoặc các tính năng tương đương.</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Pr="00866676" w:rsidRDefault="00622716" w:rsidP="00E116AE">
            <w:pPr>
              <w:rPr>
                <w:b/>
                <w:bCs/>
                <w:szCs w:val="24"/>
              </w:rPr>
            </w:pPr>
            <w:r w:rsidRPr="00866676">
              <w:t>Hỗ trợ các giao thức định tuyến: OSPF, BGP, Static Route, Policy-based Routing (PBR/PBF) hoặc tương đương.</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262626"/>
              </w:rPr>
              <w:t>Hỗ trợ thiết lập dự phòng độ sẵn sàng cao (High Availability) theo các chế độ: Active/Passive, Active/Active hoặc tương đương.</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262626"/>
              </w:rPr>
              <w:t>Hỗ trợ đa dạng phương thức quản trị: Console, SSH, Web/HTTPS.</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262626"/>
              </w:rPr>
              <w:t>Thời hạn bản quyền (License) cho các tính năng bảo mật: tối thiểu ≥ 3 năm</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restart"/>
            <w:vAlign w:val="center"/>
          </w:tcPr>
          <w:p w:rsidR="00622716" w:rsidRDefault="00622716" w:rsidP="00E116AE">
            <w:pPr>
              <w:jc w:val="center"/>
              <w:rPr>
                <w:b/>
                <w:bCs/>
                <w:szCs w:val="24"/>
              </w:rPr>
            </w:pPr>
            <w:r>
              <w:rPr>
                <w:b/>
                <w:bCs/>
                <w:szCs w:val="24"/>
              </w:rPr>
              <w:t>3</w:t>
            </w:r>
          </w:p>
        </w:tc>
        <w:tc>
          <w:tcPr>
            <w:tcW w:w="3563" w:type="dxa"/>
            <w:vMerge w:val="restart"/>
            <w:vAlign w:val="center"/>
          </w:tcPr>
          <w:p w:rsidR="00622716" w:rsidRDefault="00622716" w:rsidP="00E116AE">
            <w:pPr>
              <w:rPr>
                <w:b/>
                <w:bCs/>
                <w:szCs w:val="24"/>
              </w:rPr>
            </w:pPr>
            <w:r w:rsidRPr="00866676">
              <w:rPr>
                <w:b/>
                <w:bCs/>
                <w:szCs w:val="24"/>
              </w:rPr>
              <w:t>Cổng kết nối</w:t>
            </w:r>
          </w:p>
        </w:tc>
        <w:tc>
          <w:tcPr>
            <w:tcW w:w="3990" w:type="dxa"/>
            <w:vAlign w:val="bottom"/>
          </w:tcPr>
          <w:p w:rsidR="00622716" w:rsidRDefault="00622716" w:rsidP="00E116AE">
            <w:pPr>
              <w:rPr>
                <w:b/>
                <w:bCs/>
                <w:szCs w:val="24"/>
              </w:rPr>
            </w:pPr>
            <w:r>
              <w:rPr>
                <w:color w:val="262626"/>
              </w:rPr>
              <w:t>Cung cấp tối thiểu 08 cổng quang tốc độ 10Gbps (chuẩn SFP+ hoặc tương đương), bao gồm đầy đủ module quang Multimode (MM) tương ứng.</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000000"/>
              </w:rPr>
              <w:t>Cung cấp tối thiểu 04 cổng quang tốc độ 100Gbps (chuẩn QSFP28 hoặc tương đương), bao gồm đầy đủ module quang Multimode (MM) tương ứng.</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Align w:val="center"/>
          </w:tcPr>
          <w:p w:rsidR="00622716" w:rsidRPr="00866676" w:rsidRDefault="00622716" w:rsidP="00E116AE">
            <w:pPr>
              <w:jc w:val="center"/>
              <w:rPr>
                <w:b/>
                <w:bCs/>
                <w:szCs w:val="24"/>
              </w:rPr>
            </w:pPr>
            <w:r w:rsidRPr="00866676">
              <w:rPr>
                <w:b/>
                <w:bCs/>
                <w:szCs w:val="24"/>
              </w:rPr>
              <w:t>4</w:t>
            </w:r>
          </w:p>
        </w:tc>
        <w:tc>
          <w:tcPr>
            <w:tcW w:w="3563" w:type="dxa"/>
            <w:vAlign w:val="center"/>
          </w:tcPr>
          <w:p w:rsidR="00622716" w:rsidRPr="00866676" w:rsidRDefault="00622716" w:rsidP="00E116AE">
            <w:pPr>
              <w:rPr>
                <w:b/>
                <w:bCs/>
                <w:szCs w:val="24"/>
              </w:rPr>
            </w:pPr>
            <w:r w:rsidRPr="00866676">
              <w:rPr>
                <w:b/>
                <w:bCs/>
                <w:szCs w:val="24"/>
              </w:rPr>
              <w:t>Cổng quản trị</w:t>
            </w:r>
          </w:p>
        </w:tc>
        <w:tc>
          <w:tcPr>
            <w:tcW w:w="3990" w:type="dxa"/>
            <w:vAlign w:val="center"/>
          </w:tcPr>
          <w:p w:rsidR="00622716" w:rsidRDefault="00622716" w:rsidP="00E116AE">
            <w:pPr>
              <w:rPr>
                <w:color w:val="262626"/>
              </w:rPr>
            </w:pPr>
            <w:r>
              <w:rPr>
                <w:color w:val="262626"/>
              </w:rPr>
              <w:t>Cung cấp tối thiểu 01 cổng Console (RJ45) và tối thiểu 01 cổng quản trị Management (RJ45/SFP).</w:t>
            </w:r>
          </w:p>
          <w:p w:rsidR="00622716" w:rsidRDefault="00622716" w:rsidP="00E116AE">
            <w:pPr>
              <w:rPr>
                <w:b/>
                <w:bCs/>
                <w:szCs w:val="24"/>
              </w:rPr>
            </w:pP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Align w:val="center"/>
          </w:tcPr>
          <w:p w:rsidR="00622716" w:rsidRPr="00866676" w:rsidRDefault="00622716" w:rsidP="00E116AE">
            <w:pPr>
              <w:jc w:val="center"/>
              <w:rPr>
                <w:b/>
                <w:bCs/>
                <w:szCs w:val="24"/>
              </w:rPr>
            </w:pPr>
            <w:r w:rsidRPr="00866676">
              <w:rPr>
                <w:b/>
                <w:bCs/>
                <w:szCs w:val="24"/>
              </w:rPr>
              <w:t>5</w:t>
            </w:r>
          </w:p>
        </w:tc>
        <w:tc>
          <w:tcPr>
            <w:tcW w:w="3563" w:type="dxa"/>
            <w:vAlign w:val="center"/>
          </w:tcPr>
          <w:p w:rsidR="00622716" w:rsidRPr="00866676" w:rsidRDefault="00622716" w:rsidP="00E116AE">
            <w:pPr>
              <w:rPr>
                <w:b/>
                <w:bCs/>
                <w:szCs w:val="24"/>
              </w:rPr>
            </w:pPr>
            <w:r w:rsidRPr="00866676">
              <w:rPr>
                <w:b/>
                <w:color w:val="000000"/>
              </w:rPr>
              <w:t>Lưu trữ SSD</w:t>
            </w:r>
          </w:p>
        </w:tc>
        <w:tc>
          <w:tcPr>
            <w:tcW w:w="3990" w:type="dxa"/>
            <w:vAlign w:val="bottom"/>
          </w:tcPr>
          <w:p w:rsidR="00622716" w:rsidRDefault="00622716" w:rsidP="00E116AE">
            <w:pPr>
              <w:rPr>
                <w:b/>
                <w:bCs/>
                <w:szCs w:val="24"/>
              </w:rPr>
            </w:pPr>
            <w:r>
              <w:rPr>
                <w:color w:val="000000"/>
              </w:rPr>
              <w:t>Thiết bị trang bị không gian lưu trữ sử dụng công nghệ SSD hoặc tương đương, với tổng dung lượng khả dụng tối thiểu ≥ 960 GB</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restart"/>
            <w:vAlign w:val="center"/>
          </w:tcPr>
          <w:p w:rsidR="00622716" w:rsidRPr="00866676" w:rsidRDefault="00622716" w:rsidP="00E116AE">
            <w:pPr>
              <w:jc w:val="center"/>
              <w:rPr>
                <w:b/>
                <w:bCs/>
                <w:szCs w:val="24"/>
              </w:rPr>
            </w:pPr>
            <w:r w:rsidRPr="00866676">
              <w:rPr>
                <w:b/>
                <w:bCs/>
                <w:szCs w:val="24"/>
              </w:rPr>
              <w:t>6</w:t>
            </w:r>
          </w:p>
        </w:tc>
        <w:tc>
          <w:tcPr>
            <w:tcW w:w="3563" w:type="dxa"/>
            <w:vMerge w:val="restart"/>
            <w:vAlign w:val="center"/>
          </w:tcPr>
          <w:p w:rsidR="00622716" w:rsidRPr="00866676" w:rsidRDefault="00622716" w:rsidP="00E116AE">
            <w:pPr>
              <w:rPr>
                <w:b/>
                <w:bCs/>
                <w:szCs w:val="24"/>
              </w:rPr>
            </w:pPr>
            <w:r w:rsidRPr="00866676">
              <w:rPr>
                <w:b/>
                <w:bCs/>
                <w:szCs w:val="24"/>
              </w:rPr>
              <w:t>Nguồn điện</w:t>
            </w:r>
          </w:p>
        </w:tc>
        <w:tc>
          <w:tcPr>
            <w:tcW w:w="3990" w:type="dxa"/>
            <w:vAlign w:val="bottom"/>
          </w:tcPr>
          <w:p w:rsidR="00622716" w:rsidRDefault="00622716" w:rsidP="00E116AE">
            <w:pPr>
              <w:rPr>
                <w:b/>
                <w:bCs/>
                <w:szCs w:val="24"/>
              </w:rPr>
            </w:pPr>
            <w:r>
              <w:rPr>
                <w:color w:val="262626"/>
              </w:rPr>
              <w:t>Hỗ trợ nguồn điện xoay chiều 100–240VAC, tần số 50/60 Hz.</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Pr="00866676" w:rsidRDefault="00622716" w:rsidP="00E116AE">
            <w:pPr>
              <w:jc w:val="center"/>
              <w:rPr>
                <w:b/>
                <w:bCs/>
                <w:szCs w:val="24"/>
              </w:rPr>
            </w:pPr>
          </w:p>
        </w:tc>
        <w:tc>
          <w:tcPr>
            <w:tcW w:w="3563" w:type="dxa"/>
            <w:vMerge/>
            <w:vAlign w:val="center"/>
          </w:tcPr>
          <w:p w:rsidR="00622716" w:rsidRPr="00866676" w:rsidRDefault="00622716" w:rsidP="00E116AE">
            <w:pPr>
              <w:rPr>
                <w:b/>
                <w:bCs/>
                <w:szCs w:val="24"/>
              </w:rPr>
            </w:pPr>
          </w:p>
        </w:tc>
        <w:tc>
          <w:tcPr>
            <w:tcW w:w="3990" w:type="dxa"/>
            <w:vAlign w:val="bottom"/>
          </w:tcPr>
          <w:p w:rsidR="00622716" w:rsidRDefault="00622716" w:rsidP="00E116AE">
            <w:pPr>
              <w:rPr>
                <w:b/>
                <w:bCs/>
                <w:szCs w:val="24"/>
              </w:rPr>
            </w:pPr>
            <w:r>
              <w:rPr>
                <w:color w:val="262626"/>
              </w:rPr>
              <w:t>Trang bị nguồn dự phòng chạy song song (Redundant Power Supply 1+1).</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Align w:val="center"/>
          </w:tcPr>
          <w:p w:rsidR="00622716" w:rsidRPr="00866676" w:rsidRDefault="00622716" w:rsidP="00E116AE">
            <w:pPr>
              <w:jc w:val="center"/>
              <w:rPr>
                <w:b/>
                <w:bCs/>
                <w:szCs w:val="24"/>
              </w:rPr>
            </w:pPr>
            <w:r w:rsidRPr="00866676">
              <w:rPr>
                <w:b/>
                <w:bCs/>
                <w:szCs w:val="24"/>
              </w:rPr>
              <w:t>7</w:t>
            </w:r>
          </w:p>
        </w:tc>
        <w:tc>
          <w:tcPr>
            <w:tcW w:w="3563" w:type="dxa"/>
            <w:vAlign w:val="center"/>
          </w:tcPr>
          <w:p w:rsidR="00622716" w:rsidRPr="00866676" w:rsidRDefault="00622716" w:rsidP="00E116AE">
            <w:pPr>
              <w:rPr>
                <w:b/>
                <w:bCs/>
                <w:szCs w:val="24"/>
              </w:rPr>
            </w:pPr>
            <w:r w:rsidRPr="00866676">
              <w:rPr>
                <w:b/>
                <w:color w:val="262626"/>
              </w:rPr>
              <w:t>Mức độ phổ biến</w:t>
            </w:r>
          </w:p>
        </w:tc>
        <w:tc>
          <w:tcPr>
            <w:tcW w:w="3990" w:type="dxa"/>
            <w:vAlign w:val="bottom"/>
          </w:tcPr>
          <w:p w:rsidR="00622716" w:rsidRPr="0083788F" w:rsidRDefault="00622716" w:rsidP="00E116AE">
            <w:pPr>
              <w:rPr>
                <w:color w:val="262626"/>
              </w:rPr>
            </w:pPr>
            <w:r w:rsidRPr="000F1792">
              <w:rPr>
                <w:color w:val="262626"/>
              </w:rPr>
              <w:t>Sản phẩm/Hãng sản xuất được xếp hạng trong nhóm Dẫn đầu (Leaders) theo Gartner Magic Quadrant cho Hybrid Mesh Firewall/NextGen Firewall tại báo cáo mới nhất tính đến thời điểm đóng thầu</w:t>
            </w:r>
            <w:r>
              <w:rPr>
                <w:color w:val="262626"/>
              </w:rPr>
              <w:t>.</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restart"/>
            <w:vAlign w:val="center"/>
          </w:tcPr>
          <w:p w:rsidR="00622716" w:rsidRDefault="00622716" w:rsidP="00E116AE">
            <w:pPr>
              <w:jc w:val="center"/>
              <w:rPr>
                <w:b/>
                <w:bCs/>
                <w:szCs w:val="24"/>
              </w:rPr>
            </w:pPr>
            <w:r>
              <w:rPr>
                <w:b/>
                <w:bCs/>
                <w:szCs w:val="24"/>
              </w:rPr>
              <w:t>8</w:t>
            </w:r>
          </w:p>
        </w:tc>
        <w:tc>
          <w:tcPr>
            <w:tcW w:w="3563" w:type="dxa"/>
            <w:vMerge w:val="restart"/>
            <w:vAlign w:val="center"/>
          </w:tcPr>
          <w:p w:rsidR="00622716" w:rsidRDefault="00622716" w:rsidP="00E116AE">
            <w:pPr>
              <w:rPr>
                <w:b/>
                <w:bCs/>
                <w:szCs w:val="24"/>
              </w:rPr>
            </w:pPr>
            <w:r>
              <w:rPr>
                <w:b/>
                <w:bCs/>
                <w:szCs w:val="24"/>
              </w:rPr>
              <w:t xml:space="preserve">Dịch vụ </w:t>
            </w:r>
          </w:p>
        </w:tc>
        <w:tc>
          <w:tcPr>
            <w:tcW w:w="3990" w:type="dxa"/>
            <w:vAlign w:val="bottom"/>
          </w:tcPr>
          <w:p w:rsidR="00622716" w:rsidRDefault="00622716" w:rsidP="00E116AE">
            <w:pPr>
              <w:rPr>
                <w:b/>
                <w:bCs/>
                <w:szCs w:val="24"/>
              </w:rPr>
            </w:pPr>
            <w:r>
              <w:rPr>
                <w:color w:val="262626"/>
              </w:rPr>
              <w:t>Cung cấp quyền tải về và nâng cấp các phiên bản phần mềm (Firmware/OS) và cập nhật cơ sở dữ liệu nhận dạng bảo mật (Signature database) mới nhất trong suốt thời gian bảo hành.</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262626"/>
              </w:rPr>
              <w:t xml:space="preserve">Đảm bảo tính liên tục của hệ thống: Khi hết hạn bản quyền (License), các tính năng đã được cấp phép (như IPS, Anti-virus, Application Control) vẫn tiếp tục </w:t>
            </w:r>
            <w:r>
              <w:rPr>
                <w:color w:val="262626"/>
              </w:rPr>
              <w:lastRenderedPageBreak/>
              <w:t>hoạt động dựa trên cơ sở dữ liệu nhận dạng tại thời điểm hết hạn, không làm gián đoạn luồng dữ liệu của hệ thống.</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262626"/>
              </w:rPr>
              <w:t>Cung cấp đầy đủ tài liệu: Hướng dẫn sử dụng, quy trình vận hành, khai báo cấu hình thiết bị nhằm đảm bảo an toàn, ổn định hệ thống và an toàn thông tin.</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262626"/>
              </w:rPr>
              <w:t>Đào tạo chuyển giao công nghệ: Cung cấp khóa đào tạo chính hãng cho tối thiểu 06 nhân sự của Chủ đầu tư. Yêu cầu: Học viên được cấp chứng chỉ/chứng nhận hoàn thành khóa học bởi hãng sản xuất; Giảng viên đào tạo phải có chứng chỉ giảng dạy/chuyên gia do hãng cấp.</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000000"/>
              </w:rPr>
              <w:t>Hỗ trợ Chủ đầu tư thực hiện cấu hình, tích hợp hoà mạng thiết bị và hỗ trợ chủ đầu tư triển khai phương án chuyển đổi dịch vụ qua thiết bị mới.</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r w:rsidR="00622716" w:rsidRPr="00BD029E" w:rsidTr="00E116AE">
        <w:trPr>
          <w:trHeight w:val="315"/>
        </w:trPr>
        <w:tc>
          <w:tcPr>
            <w:tcW w:w="670" w:type="dxa"/>
            <w:vMerge/>
            <w:vAlign w:val="center"/>
          </w:tcPr>
          <w:p w:rsidR="00622716" w:rsidRDefault="00622716" w:rsidP="00E116AE">
            <w:pPr>
              <w:jc w:val="center"/>
              <w:rPr>
                <w:b/>
                <w:bCs/>
                <w:szCs w:val="24"/>
              </w:rPr>
            </w:pPr>
          </w:p>
        </w:tc>
        <w:tc>
          <w:tcPr>
            <w:tcW w:w="3563" w:type="dxa"/>
            <w:vMerge/>
            <w:vAlign w:val="center"/>
          </w:tcPr>
          <w:p w:rsidR="00622716" w:rsidRDefault="00622716" w:rsidP="00E116AE">
            <w:pPr>
              <w:rPr>
                <w:b/>
                <w:bCs/>
                <w:szCs w:val="24"/>
              </w:rPr>
            </w:pPr>
          </w:p>
        </w:tc>
        <w:tc>
          <w:tcPr>
            <w:tcW w:w="3990" w:type="dxa"/>
            <w:vAlign w:val="bottom"/>
          </w:tcPr>
          <w:p w:rsidR="00622716" w:rsidRDefault="00622716" w:rsidP="00E116AE">
            <w:pPr>
              <w:rPr>
                <w:b/>
                <w:bCs/>
                <w:szCs w:val="24"/>
              </w:rPr>
            </w:pPr>
            <w:r>
              <w:rPr>
                <w:color w:val="262626"/>
              </w:rPr>
              <w:t>Dịch vụ hỗ trợ kỹ thuật: 24/7 trong suốt thời gian bảo hành. Cam kết thay thế phần cứng lỗi hoặc cung cấp thiết bị ứng cứu thay thế tương đương để hệ thống hoạt động bình thường theo tiêu chuẩn của hãng.</w:t>
            </w:r>
          </w:p>
        </w:tc>
        <w:tc>
          <w:tcPr>
            <w:tcW w:w="1275" w:type="dxa"/>
          </w:tcPr>
          <w:p w:rsidR="00622716" w:rsidRPr="00BD029E" w:rsidRDefault="00622716" w:rsidP="00E116AE">
            <w:pPr>
              <w:jc w:val="center"/>
              <w:rPr>
                <w:b/>
                <w:bCs/>
                <w:szCs w:val="24"/>
              </w:rPr>
            </w:pPr>
          </w:p>
        </w:tc>
        <w:tc>
          <w:tcPr>
            <w:tcW w:w="1134" w:type="dxa"/>
          </w:tcPr>
          <w:p w:rsidR="00622716" w:rsidRPr="00BD029E" w:rsidRDefault="00622716" w:rsidP="00E116AE">
            <w:pPr>
              <w:jc w:val="center"/>
              <w:rPr>
                <w:b/>
                <w:bCs/>
                <w:szCs w:val="24"/>
              </w:rPr>
            </w:pPr>
          </w:p>
        </w:tc>
      </w:tr>
    </w:tbl>
    <w:p w:rsidR="00622716" w:rsidRDefault="00622716" w:rsidP="00942860">
      <w:pPr>
        <w:spacing w:before="120" w:after="120" w:line="264" w:lineRule="auto"/>
        <w:ind w:hanging="284"/>
        <w:rPr>
          <w:b/>
          <w:i/>
          <w:color w:val="000000" w:themeColor="text1"/>
          <w:szCs w:val="24"/>
          <w:lang w:val="nl-NL"/>
        </w:rPr>
      </w:pPr>
      <w:bookmarkStart w:id="0" w:name="_GoBack"/>
      <w:bookmarkEnd w:id="0"/>
    </w:p>
    <w:p w:rsidR="00942860" w:rsidRPr="00942860" w:rsidRDefault="00942860" w:rsidP="00942860">
      <w:pPr>
        <w:spacing w:before="120" w:after="120" w:line="264" w:lineRule="auto"/>
        <w:ind w:hanging="284"/>
        <w:rPr>
          <w:b/>
          <w:i/>
          <w:color w:val="000000" w:themeColor="text1"/>
          <w:szCs w:val="24"/>
          <w:lang w:val="nl-NL"/>
        </w:rPr>
      </w:pPr>
      <w:r w:rsidRPr="00942860">
        <w:rPr>
          <w:b/>
          <w:i/>
          <w:color w:val="000000" w:themeColor="text1"/>
          <w:szCs w:val="24"/>
          <w:lang w:val="nl-NL"/>
        </w:rPr>
        <w:t>1.3. Các yêu cầu khác</w:t>
      </w:r>
    </w:p>
    <w:p w:rsidR="00942860" w:rsidRPr="00942860" w:rsidRDefault="00942860" w:rsidP="00942860">
      <w:pPr>
        <w:pStyle w:val="SectionVIHeader"/>
        <w:spacing w:after="120" w:line="264" w:lineRule="auto"/>
        <w:ind w:hanging="284"/>
        <w:jc w:val="left"/>
        <w:rPr>
          <w:b w:val="0"/>
          <w:color w:val="000000" w:themeColor="text1"/>
          <w:sz w:val="24"/>
          <w:szCs w:val="24"/>
          <w:lang w:val="nl-NL"/>
        </w:rPr>
      </w:pPr>
      <w:r w:rsidRPr="00942860">
        <w:rPr>
          <w:b w:val="0"/>
          <w:color w:val="000000" w:themeColor="text1"/>
          <w:sz w:val="24"/>
          <w:szCs w:val="24"/>
          <w:lang w:val="nl-NL"/>
        </w:rPr>
        <w:t>Thời gian thực hiện gói thầu: 90 ngày. Trong đó:</w:t>
      </w:r>
    </w:p>
    <w:p w:rsidR="00942860" w:rsidRPr="00942860" w:rsidRDefault="00942860" w:rsidP="00942860">
      <w:pPr>
        <w:pStyle w:val="SectionVIHeader"/>
        <w:numPr>
          <w:ilvl w:val="0"/>
          <w:numId w:val="1"/>
        </w:numPr>
        <w:spacing w:after="120" w:line="264" w:lineRule="auto"/>
        <w:ind w:left="284" w:hanging="426"/>
        <w:jc w:val="left"/>
        <w:rPr>
          <w:b w:val="0"/>
          <w:color w:val="000000" w:themeColor="text1"/>
          <w:sz w:val="24"/>
          <w:szCs w:val="24"/>
          <w:lang w:val="nl-NL"/>
        </w:rPr>
      </w:pPr>
      <w:r w:rsidRPr="00942860">
        <w:rPr>
          <w:b w:val="0"/>
          <w:color w:val="000000" w:themeColor="text1"/>
          <w:sz w:val="24"/>
          <w:szCs w:val="24"/>
          <w:lang w:val="nl-NL"/>
        </w:rPr>
        <w:t>Tiến độ bàn giao hàng hóa tối đa là: 80 ngày.</w:t>
      </w:r>
    </w:p>
    <w:p w:rsidR="00942860" w:rsidRPr="00942860" w:rsidRDefault="00942860" w:rsidP="00942860">
      <w:pPr>
        <w:pStyle w:val="SectionVIHeader"/>
        <w:numPr>
          <w:ilvl w:val="0"/>
          <w:numId w:val="1"/>
        </w:numPr>
        <w:spacing w:after="120" w:line="264" w:lineRule="auto"/>
        <w:ind w:left="284"/>
        <w:jc w:val="both"/>
        <w:rPr>
          <w:b w:val="0"/>
          <w:color w:val="000000" w:themeColor="text1"/>
          <w:sz w:val="24"/>
          <w:szCs w:val="24"/>
          <w:lang w:val="nl-NL"/>
        </w:rPr>
      </w:pPr>
      <w:r w:rsidRPr="00942860">
        <w:rPr>
          <w:b w:val="0"/>
          <w:color w:val="000000" w:themeColor="text1"/>
          <w:sz w:val="24"/>
          <w:szCs w:val="24"/>
          <w:lang w:val="nl-NL"/>
        </w:rPr>
        <w:t xml:space="preserve">Tiến độ lắp đặt, nghiệm thu sơ bộ (PAC) thiết bị, hàng hóa: Trong vòng 5 ngày sau khi bàn giao hàng hóa. Khi toàn bộ các công tác lắp đặt, chạy thử sơ bộ đã được hoàn thành tại hiện trường, Nhà thầu phải tiến hành việc kiểm Tra Nghiệm Thu sơ bộ dưới sự chứng kiến của Bên sử dụng theo các quy trình kiểm tra nhằm bảo đảm rằng Thiết bị, hàng hóa đáp ứng các Yêu cầu kỹ thuật. </w:t>
      </w:r>
    </w:p>
    <w:p w:rsidR="00942860" w:rsidRPr="00942860" w:rsidRDefault="00942860" w:rsidP="00942860">
      <w:pPr>
        <w:pStyle w:val="SectionVIHeader"/>
        <w:numPr>
          <w:ilvl w:val="0"/>
          <w:numId w:val="1"/>
        </w:numPr>
        <w:spacing w:after="120" w:line="264" w:lineRule="auto"/>
        <w:ind w:left="284"/>
        <w:jc w:val="both"/>
        <w:rPr>
          <w:b w:val="0"/>
          <w:color w:val="000000" w:themeColor="text1"/>
          <w:sz w:val="24"/>
          <w:szCs w:val="24"/>
          <w:lang w:val="nl-NL"/>
        </w:rPr>
      </w:pPr>
      <w:r w:rsidRPr="00942860">
        <w:rPr>
          <w:b w:val="0"/>
          <w:color w:val="000000" w:themeColor="text1"/>
          <w:sz w:val="24"/>
          <w:szCs w:val="24"/>
          <w:lang w:val="nl-NL"/>
        </w:rPr>
        <w:t>Thời gian chạy thử thiết bị, hàng hóa, nghiệm thu kỹ thuật và đưa vào sử dụng chính thức (FAC): Trong vòng 5 ngày kể từ ngày Biên bản nghiệm thu kỹ thuật và thương mại (PAC) được cấp. Trong trường hợp hiệu suất của Thiết bị, hàng hóa đáp ứng tất cả các yêu cầu và thông số kỹ thuật được quy định tại Hợp đồng, Bên mua/Bên sử dụng sẽ ký biên bản Nghiệm thu đưa vào sử dụng chính thức (FAC).</w:t>
      </w:r>
    </w:p>
    <w:p w:rsidR="00942860" w:rsidRPr="00942860" w:rsidRDefault="00942860" w:rsidP="00942860">
      <w:pPr>
        <w:pStyle w:val="SectionVIHeader"/>
        <w:spacing w:after="120" w:line="264" w:lineRule="auto"/>
        <w:ind w:left="-76"/>
        <w:jc w:val="both"/>
        <w:rPr>
          <w:b w:val="0"/>
          <w:color w:val="000000" w:themeColor="text1"/>
          <w:sz w:val="24"/>
          <w:szCs w:val="24"/>
          <w:lang w:val="nl-NL"/>
        </w:rPr>
      </w:pPr>
      <w:r w:rsidRPr="00942860">
        <w:rPr>
          <w:b w:val="0"/>
          <w:color w:val="000000" w:themeColor="text1"/>
          <w:sz w:val="24"/>
          <w:szCs w:val="24"/>
          <w:lang w:val="nl-NL"/>
        </w:rPr>
        <w:t>Đối với các nội dung này, Tổng công ty Truyền thông – Chi nhánh Tập đoàn Bưu chính Viễn thông Việt Nam chủ trì xây dựng các bài kiểm tra nghiệm thu các thiết bị theo đúng yêu cầu đã nêu tại Hồ sơ mời thầu và Hợp đồng đã ký. Bên mua và bên bán có trách nhiệm phối hợp, thống nhất nội dung các bài kiểm tra, nghiệm thu với Tổng công ty Truyền thông trước khi 2 bên tiến hành thực hiện. Nhà thầu trúng thầu phải hỗ trợ trong suốt quá trình lắp đặt, nghiệm thu, chạy thử thiết bị.</w:t>
      </w:r>
    </w:p>
    <w:p w:rsidR="00942860" w:rsidRPr="00942860" w:rsidRDefault="00942860" w:rsidP="00942860">
      <w:pPr>
        <w:pStyle w:val="SectionVIHeader"/>
        <w:spacing w:after="120" w:line="264" w:lineRule="auto"/>
        <w:jc w:val="both"/>
        <w:rPr>
          <w:color w:val="000000" w:themeColor="text1"/>
          <w:sz w:val="24"/>
          <w:szCs w:val="24"/>
          <w:lang w:val="nl-NL"/>
        </w:rPr>
      </w:pPr>
      <w:r w:rsidRPr="00942860">
        <w:rPr>
          <w:color w:val="000000" w:themeColor="text1"/>
          <w:sz w:val="24"/>
          <w:szCs w:val="24"/>
          <w:lang w:val="nl-NL"/>
        </w:rPr>
        <w:lastRenderedPageBreak/>
        <w:t>Mục 2. Bản vẽ</w:t>
      </w:r>
    </w:p>
    <w:p w:rsidR="00942860" w:rsidRPr="00942860" w:rsidRDefault="00942860" w:rsidP="00942860">
      <w:pPr>
        <w:pStyle w:val="SectionVIHeader"/>
        <w:widowControl w:val="0"/>
        <w:spacing w:after="120" w:line="264" w:lineRule="auto"/>
        <w:ind w:firstLine="709"/>
        <w:jc w:val="left"/>
        <w:rPr>
          <w:b w:val="0"/>
          <w:color w:val="000000" w:themeColor="text1"/>
          <w:sz w:val="24"/>
          <w:szCs w:val="24"/>
        </w:rPr>
      </w:pPr>
      <w:r w:rsidRPr="00942860">
        <w:rPr>
          <w:b w:val="0"/>
          <w:color w:val="000000" w:themeColor="text1"/>
          <w:sz w:val="24"/>
          <w:szCs w:val="24"/>
        </w:rPr>
        <w:t>Không có bản vẽ</w:t>
      </w:r>
    </w:p>
    <w:p w:rsidR="0079424A" w:rsidRPr="00942860" w:rsidRDefault="00942860" w:rsidP="00942860">
      <w:r w:rsidRPr="00942860">
        <w:rPr>
          <w:color w:val="000000" w:themeColor="text1"/>
          <w:szCs w:val="24"/>
        </w:rPr>
        <w:t>Mục 3. Kiểm tra và thử nghiệm</w:t>
      </w:r>
    </w:p>
    <w:sectPr w:rsidR="0079424A" w:rsidRPr="00942860" w:rsidSect="00203B8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D0AAE"/>
    <w:multiLevelType w:val="hybridMultilevel"/>
    <w:tmpl w:val="5FA0088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60"/>
    <w:rsid w:val="00032C7C"/>
    <w:rsid w:val="001D789C"/>
    <w:rsid w:val="00203B81"/>
    <w:rsid w:val="004C295B"/>
    <w:rsid w:val="00622716"/>
    <w:rsid w:val="00623A43"/>
    <w:rsid w:val="006A7C8E"/>
    <w:rsid w:val="0079424A"/>
    <w:rsid w:val="00942860"/>
    <w:rsid w:val="00993A0C"/>
    <w:rsid w:val="009F4F31"/>
    <w:rsid w:val="00B01785"/>
    <w:rsid w:val="00B22E37"/>
    <w:rsid w:val="00B77199"/>
    <w:rsid w:val="00C87D13"/>
    <w:rsid w:val="00D460A1"/>
    <w:rsid w:val="00D6431D"/>
    <w:rsid w:val="00F30A65"/>
    <w:rsid w:val="00F6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DDCC"/>
  <w15:chartTrackingRefBased/>
  <w15:docId w15:val="{C5381B14-4DFC-40FB-AADF-7BAFEA96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86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IHeader">
    <w:name w:val="Section VI. Header"/>
    <w:basedOn w:val="Normal"/>
    <w:rsid w:val="00942860"/>
    <w:pPr>
      <w:spacing w:before="120" w:after="240"/>
      <w:jc w:val="center"/>
    </w:pPr>
    <w:rPr>
      <w:b/>
      <w:sz w:val="36"/>
    </w:rPr>
  </w:style>
  <w:style w:type="paragraph" w:styleId="BalloonText">
    <w:name w:val="Balloon Text"/>
    <w:basedOn w:val="Normal"/>
    <w:link w:val="BalloonTextChar"/>
    <w:uiPriority w:val="99"/>
    <w:semiHidden/>
    <w:unhideWhenUsed/>
    <w:rsid w:val="00203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B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95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2026-07-17T10:47:00Z</cp:lastPrinted>
  <dcterms:created xsi:type="dcterms:W3CDTF">2026-07-15T03:31:00Z</dcterms:created>
  <dcterms:modified xsi:type="dcterms:W3CDTF">2026-07-17T11:27:00Z</dcterms:modified>
</cp:coreProperties>
</file>